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5918" w14:textId="77777777" w:rsidR="00CA1F3A" w:rsidRPr="00CA1F3A" w:rsidRDefault="00CA1F3A" w:rsidP="00CA1F3A">
      <w:pPr>
        <w:spacing w:line="480" w:lineRule="auto"/>
        <w:rPr>
          <w:rFonts w:ascii="Arial" w:eastAsia="Times New Roman" w:hAnsi="Arial" w:cs="Arial"/>
          <w:b/>
          <w:bCs/>
          <w:lang w:val="en-GB"/>
        </w:rPr>
      </w:pPr>
      <w:r w:rsidRPr="00CA1F3A">
        <w:rPr>
          <w:rFonts w:ascii="Arial" w:eastAsia="Times New Roman" w:hAnsi="Arial" w:cs="Arial"/>
          <w:b/>
          <w:bCs/>
          <w:lang w:val="en-GB"/>
        </w:rPr>
        <w:t>Article</w:t>
      </w:r>
    </w:p>
    <w:p w14:paraId="2162CB9B" w14:textId="77777777" w:rsidR="00CA1F3A" w:rsidRPr="00CA1F3A" w:rsidRDefault="00CA1F3A" w:rsidP="00CA1F3A">
      <w:pPr>
        <w:spacing w:line="480" w:lineRule="auto"/>
        <w:rPr>
          <w:rFonts w:ascii="Arial" w:eastAsia="Times New Roman" w:hAnsi="Arial" w:cs="Arial"/>
          <w:lang w:val="en-GB"/>
        </w:rPr>
      </w:pPr>
      <w:r w:rsidRPr="00CA1F3A">
        <w:rPr>
          <w:rFonts w:ascii="Arial" w:eastAsia="Times New Roman" w:hAnsi="Arial" w:cs="Arial"/>
          <w:lang w:val="en-GB"/>
        </w:rPr>
        <w:t xml:space="preserve">(Epi)genetic control of secondary seed dormancy depth and germination in </w:t>
      </w:r>
      <w:r w:rsidRPr="00CA1F3A">
        <w:rPr>
          <w:rFonts w:ascii="Arial" w:eastAsia="Times New Roman" w:hAnsi="Arial" w:cs="Arial"/>
          <w:i/>
          <w:iCs/>
          <w:lang w:val="en-GB"/>
        </w:rPr>
        <w:t>Capsella bursa-pastoris</w:t>
      </w:r>
    </w:p>
    <w:p w14:paraId="57512872" w14:textId="72F106EF" w:rsidR="00CA1F3A" w:rsidRDefault="00CA1F3A" w:rsidP="006A00C1">
      <w:pPr>
        <w:pStyle w:val="Ttulo3"/>
        <w:rPr>
          <w:rStyle w:val="nfasissutil"/>
          <w:rFonts w:asciiTheme="majorHAnsi" w:hAnsiTheme="majorHAnsi"/>
          <w:lang w:val="en-GB"/>
        </w:rPr>
      </w:pPr>
      <w:r>
        <w:rPr>
          <w:rFonts w:ascii="Arial" w:hAnsi="Arial" w:cs="Arial"/>
          <w:b/>
          <w:iCs/>
          <w:color w:val="000000" w:themeColor="text1"/>
        </w:rPr>
        <w:t>Supplem</w:t>
      </w:r>
      <w:r w:rsidR="00D37BF6">
        <w:rPr>
          <w:rFonts w:ascii="Arial" w:hAnsi="Arial" w:cs="Arial"/>
          <w:b/>
          <w:iCs/>
          <w:color w:val="000000" w:themeColor="text1"/>
        </w:rPr>
        <w:t>en</w:t>
      </w:r>
      <w:r>
        <w:rPr>
          <w:rFonts w:ascii="Arial" w:hAnsi="Arial" w:cs="Arial"/>
          <w:b/>
          <w:iCs/>
          <w:color w:val="000000" w:themeColor="text1"/>
        </w:rPr>
        <w:t xml:space="preserve">tary </w:t>
      </w:r>
      <w:r w:rsidR="00F33F0C">
        <w:rPr>
          <w:rFonts w:ascii="Arial" w:hAnsi="Arial" w:cs="Arial"/>
          <w:b/>
          <w:iCs/>
          <w:color w:val="000000" w:themeColor="text1"/>
        </w:rPr>
        <w:t>Data</w:t>
      </w:r>
      <w:r>
        <w:rPr>
          <w:rFonts w:ascii="Arial" w:hAnsi="Arial" w:cs="Arial"/>
          <w:b/>
          <w:iCs/>
          <w:color w:val="000000" w:themeColor="text1"/>
        </w:rPr>
        <w:t xml:space="preserve"> </w:t>
      </w:r>
      <w:r w:rsidR="00F33F0C">
        <w:rPr>
          <w:rFonts w:ascii="Arial" w:hAnsi="Arial" w:cs="Arial"/>
          <w:b/>
          <w:iCs/>
          <w:color w:val="000000" w:themeColor="text1"/>
        </w:rPr>
        <w:t>S</w:t>
      </w:r>
      <w:r w:rsidR="0033334F">
        <w:rPr>
          <w:rFonts w:ascii="Arial" w:hAnsi="Arial" w:cs="Arial"/>
          <w:b/>
          <w:iCs/>
          <w:color w:val="000000" w:themeColor="text1"/>
        </w:rPr>
        <w:t>5</w:t>
      </w:r>
      <w:r>
        <w:rPr>
          <w:rFonts w:ascii="Arial" w:hAnsi="Arial" w:cs="Arial"/>
          <w:b/>
          <w:iCs/>
          <w:color w:val="000000" w:themeColor="text1"/>
        </w:rPr>
        <w:t xml:space="preserve">: </w:t>
      </w:r>
      <w:r w:rsidR="00E63B58">
        <w:rPr>
          <w:rFonts w:ascii="Arial" w:hAnsi="Arial" w:cs="Arial"/>
          <w:b/>
          <w:iCs/>
          <w:color w:val="000000" w:themeColor="text1"/>
          <w:lang w:val="en-GB"/>
        </w:rPr>
        <w:t>Over- and under</w:t>
      </w:r>
      <w:r w:rsidR="00E93D93">
        <w:rPr>
          <w:rFonts w:ascii="Arial" w:hAnsi="Arial" w:cs="Arial"/>
          <w:b/>
          <w:iCs/>
          <w:color w:val="000000" w:themeColor="text1"/>
          <w:lang w:val="en-GB"/>
        </w:rPr>
        <w:t>-</w:t>
      </w:r>
      <w:r w:rsidR="00E63B58">
        <w:rPr>
          <w:rFonts w:ascii="Arial" w:hAnsi="Arial" w:cs="Arial"/>
          <w:b/>
          <w:iCs/>
          <w:color w:val="000000" w:themeColor="text1"/>
          <w:lang w:val="en-GB"/>
        </w:rPr>
        <w:t xml:space="preserve">represented </w:t>
      </w:r>
      <w:r w:rsidR="004279E2" w:rsidRPr="004279E2">
        <w:rPr>
          <w:rFonts w:ascii="Arial" w:hAnsi="Arial" w:cs="Arial"/>
          <w:b/>
          <w:iCs/>
          <w:color w:val="000000" w:themeColor="text1"/>
          <w:lang w:val="en-GB"/>
        </w:rPr>
        <w:t>GO categories organised according to function</w:t>
      </w:r>
      <w:r w:rsidR="004279E2" w:rsidRPr="004279E2">
        <w:rPr>
          <w:rFonts w:ascii="Arial" w:hAnsi="Arial" w:cs="Arial"/>
          <w:b/>
          <w:color w:val="000000" w:themeColor="text1"/>
          <w:lang w:val="en-GB"/>
        </w:rPr>
        <w:t xml:space="preserve"> </w:t>
      </w:r>
      <w:r>
        <w:rPr>
          <w:rStyle w:val="nfasissutil"/>
          <w:rFonts w:asciiTheme="majorHAnsi" w:hAnsiTheme="majorHAnsi"/>
          <w:lang w:val="en-GB"/>
        </w:rPr>
        <w:br w:type="page"/>
      </w:r>
    </w:p>
    <w:p w14:paraId="39F902A5" w14:textId="4C5E4385" w:rsidR="006A00C1" w:rsidRPr="00961772" w:rsidRDefault="006A00C1" w:rsidP="006A00C1">
      <w:pPr>
        <w:pStyle w:val="Ttulo3"/>
        <w:rPr>
          <w:rStyle w:val="nfasissutil"/>
          <w:rFonts w:asciiTheme="majorHAnsi" w:hAnsiTheme="majorHAnsi"/>
          <w:i w:val="0"/>
          <w:iCs w:val="0"/>
          <w:lang w:val="en-GB"/>
        </w:rPr>
      </w:pPr>
      <w:r w:rsidRPr="00961772">
        <w:rPr>
          <w:rStyle w:val="nfasissutil"/>
          <w:rFonts w:asciiTheme="majorHAnsi" w:hAnsiTheme="majorHAnsi"/>
          <w:lang w:val="en-GB"/>
        </w:rPr>
        <w:lastRenderedPageBreak/>
        <w:t>D water vs ND water</w:t>
      </w:r>
    </w:p>
    <w:p w14:paraId="20E73C66" w14:textId="77777777" w:rsidR="006A00C1" w:rsidRPr="00961772" w:rsidRDefault="006A00C1" w:rsidP="006A00C1">
      <w:pPr>
        <w:rPr>
          <w:lang w:val="en-GB"/>
        </w:rPr>
      </w:pPr>
    </w:p>
    <w:p w14:paraId="6204E154" w14:textId="77777777" w:rsidR="006A00C1" w:rsidRPr="00961772" w:rsidRDefault="006A00C1" w:rsidP="006A00C1">
      <w:pPr>
        <w:spacing w:before="120" w:after="120" w:line="360" w:lineRule="auto"/>
        <w:jc w:val="both"/>
        <w:rPr>
          <w:rStyle w:val="Ttulodellibro"/>
          <w:lang w:val="en-GB"/>
        </w:rPr>
      </w:pPr>
      <w:r w:rsidRPr="00C07B31">
        <w:rPr>
          <w:rStyle w:val="Ttulodellibro"/>
          <w:lang w:val="en-GB"/>
        </w:rPr>
        <w:t>Up-regulated genes</w:t>
      </w:r>
    </w:p>
    <w:p w14:paraId="70455045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u w:val="single"/>
          <w:lang w:val="en-GB"/>
        </w:rPr>
      </w:pPr>
      <w:r w:rsidRPr="00961772">
        <w:rPr>
          <w:lang w:val="en-GB"/>
        </w:rPr>
        <w:t>Functional GO</w:t>
      </w:r>
      <w:r>
        <w:rPr>
          <w:lang w:val="en-GB"/>
        </w:rPr>
        <w:t>-</w:t>
      </w:r>
      <w:r w:rsidRPr="00961772">
        <w:rPr>
          <w:lang w:val="en-GB"/>
        </w:rPr>
        <w:t>enrichment a</w:t>
      </w:r>
      <w:r>
        <w:rPr>
          <w:lang w:val="en-GB"/>
        </w:rPr>
        <w:t>nalyses were performed on the 2,</w:t>
      </w:r>
      <w:r w:rsidRPr="00961772">
        <w:rPr>
          <w:lang w:val="en-GB"/>
        </w:rPr>
        <w:t>414 functionally annotated up-regulated DEGs from the comparison of the deep dormant accession (-367) vs the non-deep dormant accession (-799)</w:t>
      </w:r>
      <w:r>
        <w:rPr>
          <w:lang w:val="en-GB"/>
        </w:rPr>
        <w:t>,</w:t>
      </w:r>
      <w:r w:rsidRPr="00961772">
        <w:rPr>
          <w:lang w:val="en-GB"/>
        </w:rPr>
        <w:t xml:space="preserve"> both imbibed in water </w:t>
      </w:r>
      <w:r>
        <w:rPr>
          <w:lang w:val="en-GB"/>
        </w:rPr>
        <w:t>for 3 d</w:t>
      </w:r>
      <w:r w:rsidRPr="00961772">
        <w:rPr>
          <w:lang w:val="en-GB"/>
        </w:rPr>
        <w:t xml:space="preserve"> at 30 °C in darkness.</w:t>
      </w:r>
    </w:p>
    <w:p w14:paraId="2E255177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u w:val="single"/>
          <w:lang w:val="en-GB"/>
        </w:rPr>
        <w:t>1</w:t>
      </w:r>
      <w:r w:rsidRPr="00961772">
        <w:rPr>
          <w:u w:val="single"/>
          <w:lang w:val="en-GB"/>
        </w:rPr>
        <w:t>.1.</w:t>
      </w:r>
      <w:r>
        <w:rPr>
          <w:u w:val="single"/>
          <w:lang w:val="en-GB"/>
        </w:rPr>
        <w:t xml:space="preserve"> </w:t>
      </w:r>
      <w:r w:rsidRPr="00961772">
        <w:rPr>
          <w:u w:val="single"/>
          <w:lang w:val="en-GB"/>
        </w:rPr>
        <w:t>Over-represented GOs</w:t>
      </w:r>
    </w:p>
    <w:p w14:paraId="68B3195F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.1.1.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 xml:space="preserve">Related to cell walls, </w:t>
      </w:r>
      <w:r>
        <w:rPr>
          <w:i/>
          <w:lang w:val="en-GB"/>
        </w:rPr>
        <w:t xml:space="preserve">mobilization of storage reserves </w:t>
      </w:r>
      <w:r w:rsidRPr="00961772">
        <w:rPr>
          <w:i/>
          <w:lang w:val="en-GB"/>
        </w:rPr>
        <w:t>or lipids</w:t>
      </w:r>
      <w:r>
        <w:rPr>
          <w:i/>
          <w:lang w:val="en-GB"/>
        </w:rPr>
        <w:t>.</w:t>
      </w:r>
    </w:p>
    <w:p w14:paraId="39E134DE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Within the GOs related to these terms, the most abundant were related to lipids, including terms such as “seed oil body biogenesis” (GO:0010344), “fatty acid catabolic process” (GO:0009062), “fatty acid beta-oxidation using acyl-CoA oxidase” (GO:0033540), “fatty acid beta-oxidation using acyl-CoA dehydrogenase” (GO:0033539), “fatty acid oxidation” (GO:0019395), “lipid oxidation” (GO:0034440), “lipid storage” (GO:0019915), “cellular lipid catabolic process” (GO:0044242) or “nutrient reservoir activity” (GO:0045735). There were other related to carbohydrates like “galactose catabolic process via UDP-galactose” (GO:0033499), “galactose catabolic process” (GO:0019388), “galactose metabolic process” (GO:0006012) or “alpha, alpha-trehalose-phosphate synthase (UDP-forming) activity” (GO:0003825).</w:t>
      </w:r>
    </w:p>
    <w:p w14:paraId="53B590A7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.1.2.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oxidati</w:t>
      </w:r>
      <w:r>
        <w:rPr>
          <w:i/>
          <w:lang w:val="en-GB"/>
        </w:rPr>
        <w:t>on</w:t>
      </w:r>
      <w:r w:rsidRPr="00961772">
        <w:rPr>
          <w:i/>
          <w:lang w:val="en-GB"/>
        </w:rPr>
        <w:t>-reduction processes or ROS species</w:t>
      </w:r>
      <w:r>
        <w:rPr>
          <w:i/>
          <w:lang w:val="en-GB"/>
        </w:rPr>
        <w:t>.</w:t>
      </w:r>
    </w:p>
    <w:p w14:paraId="777B2E1B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enriched up-regulated GO-terms related to this subcategory were “response to hydrogen peroxide” (GO:0042542), “response to reactive oxygen species” (GO:0000302), “response to oxidative stress” (GO:0006979), “oxidation-reduction process” (GO:0055114), “response to oxygen-containing compound” (GO:1901700), “positive regulation of response to oxidative stress” (GO:1902882), “regulation of response to oxidative stress” (GO:1902882), “cellular response to oxidative stress” (GO:0034599), “oxoacid metabolic process” (GO:0043436), “oxidoreductase activity” (GO:0016491), “oxidoreductase activity, acting on single donors with incorporation of molecular oxygen” (GO:0016701) and “oxidoreductase activity, acting on single donors with incorporation of molecular oxygen, incorporation of two atoms of oxygen” (GO:0016702)</w:t>
      </w:r>
      <w:r>
        <w:rPr>
          <w:lang w:val="en-GB"/>
        </w:rPr>
        <w:t>.</w:t>
      </w:r>
    </w:p>
    <w:p w14:paraId="0A8E6099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lastRenderedPageBreak/>
        <w:t>1</w:t>
      </w:r>
      <w:r w:rsidRPr="00961772">
        <w:rPr>
          <w:i/>
          <w:lang w:val="en-GB"/>
        </w:rPr>
        <w:t>.1.3.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photosynthesis, chloroplasts or mitochondria</w:t>
      </w:r>
      <w:r>
        <w:rPr>
          <w:i/>
          <w:lang w:val="en-GB"/>
        </w:rPr>
        <w:t>.</w:t>
      </w:r>
    </w:p>
    <w:p w14:paraId="131C7765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 xml:space="preserve">The enriched GO-terms that </w:t>
      </w:r>
      <w:r>
        <w:rPr>
          <w:lang w:val="en-GB"/>
        </w:rPr>
        <w:t xml:space="preserve">were </w:t>
      </w:r>
      <w:r w:rsidRPr="00961772">
        <w:rPr>
          <w:lang w:val="en-GB"/>
        </w:rPr>
        <w:t xml:space="preserve">found related to photosynthesis seem to be </w:t>
      </w:r>
      <w:r>
        <w:rPr>
          <w:lang w:val="en-GB"/>
        </w:rPr>
        <w:t>implicated in the</w:t>
      </w:r>
      <w:r w:rsidRPr="00961772">
        <w:rPr>
          <w:lang w:val="en-GB"/>
        </w:rPr>
        <w:t xml:space="preserve"> regulation of the cataboli</w:t>
      </w:r>
      <w:r>
        <w:rPr>
          <w:lang w:val="en-GB"/>
        </w:rPr>
        <w:t>sm</w:t>
      </w:r>
      <w:r w:rsidRPr="00961772">
        <w:rPr>
          <w:lang w:val="en-GB"/>
        </w:rPr>
        <w:t xml:space="preserve"> and synthesis of chlorophyll. These terms were: “plastid organization” (GO:0009657), “chlorophyll catabolic process” (GO:0015996), “pigment catabolic process” (GO:0046149), “negative regulation of chlorophyll catabolic process” (GO:1903647) and “regulation of chlorophyll catabolic process” (GO:0010271).</w:t>
      </w:r>
    </w:p>
    <w:p w14:paraId="6CDA2E57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.1.4.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light responses, circadian clock or photomorphogenesis</w:t>
      </w:r>
      <w:r>
        <w:rPr>
          <w:i/>
          <w:lang w:val="en-GB"/>
        </w:rPr>
        <w:t>.</w:t>
      </w:r>
    </w:p>
    <w:p w14:paraId="0930BCF7" w14:textId="11C4FD68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t>There were two GO-terms related to light responses after a Fisher’s Exact Test</w:t>
      </w:r>
      <w:r>
        <w:rPr>
          <w:lang w:val="en-GB"/>
        </w:rPr>
        <w:t>:</w:t>
      </w:r>
      <w:r w:rsidRPr="00961772">
        <w:rPr>
          <w:lang w:val="en-GB"/>
        </w:rPr>
        <w:t xml:space="preserve"> “response to light intensity” (GO:0009642) and “response to high light intensity” (GO:0009644).</w:t>
      </w:r>
    </w:p>
    <w:p w14:paraId="52B7216D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.1.5.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ubiquitination or misfolded proteins</w:t>
      </w:r>
      <w:r>
        <w:rPr>
          <w:i/>
          <w:lang w:val="en-GB"/>
        </w:rPr>
        <w:t>.</w:t>
      </w:r>
    </w:p>
    <w:p w14:paraId="568A34D4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 xml:space="preserve">There were a large number of GO-terms related to ubiquitination and proteasomes, including: “proteasomal ubiquitin-independent protein catabolic process” (GO:0010499), “proteasomal protein catabolic process” (GO:0010498), “proteasome-mediated ubiquitin-dependent protein catabolic process” (GO:0043161), “ubiquitin-dependent protein catabolic process” (GO:0006511), “protein monoubiquitination” (GO:0006513). </w:t>
      </w:r>
      <w:r>
        <w:rPr>
          <w:lang w:val="en-GB"/>
        </w:rPr>
        <w:t>In addition</w:t>
      </w:r>
      <w:r w:rsidRPr="00961772">
        <w:rPr>
          <w:lang w:val="en-GB"/>
        </w:rPr>
        <w:t>, the list was especially enriched in terms related to response to proteins incorrectly folded or to protein catabolic processes</w:t>
      </w:r>
      <w:r>
        <w:rPr>
          <w:lang w:val="en-GB"/>
        </w:rPr>
        <w:t>,</w:t>
      </w:r>
      <w:r w:rsidRPr="00961772">
        <w:rPr>
          <w:lang w:val="en-GB"/>
        </w:rPr>
        <w:t xml:space="preserve"> such as</w:t>
      </w:r>
      <w:r>
        <w:rPr>
          <w:lang w:val="en-GB"/>
        </w:rPr>
        <w:t>:</w:t>
      </w:r>
      <w:r w:rsidRPr="00961772">
        <w:rPr>
          <w:lang w:val="en-GB"/>
        </w:rPr>
        <w:t xml:space="preserve"> “ERAD pathway” (GO:0036503), “cellular response to topologically incorrect protein” (GO:0035967), “response to topologically incorrect protein” (GO:0035966), “cellular response to</w:t>
      </w:r>
      <w:r>
        <w:rPr>
          <w:lang w:val="en-GB"/>
        </w:rPr>
        <w:t xml:space="preserve"> unfolded protein” (GO:0034620),</w:t>
      </w:r>
      <w:r w:rsidRPr="00961772">
        <w:rPr>
          <w:lang w:val="en-GB"/>
        </w:rPr>
        <w:t xml:space="preserve"> “protein folding” (GO:0006457), “response to unfolded protein” (GO:0006986), “cellular protein catabolic process” (GO:0044257), “modification-dependent protein catabolic process” (GO:0019941), “proteolysis involved in cellular protein catabolic process” (GO:0051603), “protein catabolic process” (GO:0030163), </w:t>
      </w:r>
      <w:r>
        <w:rPr>
          <w:lang w:val="en-GB"/>
        </w:rPr>
        <w:t>“protein refolding” (GO:0042026),</w:t>
      </w:r>
      <w:r w:rsidRPr="00961772">
        <w:rPr>
          <w:lang w:val="en-GB"/>
        </w:rPr>
        <w:t xml:space="preserve"> “misfolded protein binding” (GO:0051787) or “unfolded protein binding” (GO:0051082).</w:t>
      </w:r>
    </w:p>
    <w:p w14:paraId="617E7490" w14:textId="598EE0B0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t>GO-terms related to transport of proteins were also enriched</w:t>
      </w:r>
      <w:r>
        <w:rPr>
          <w:lang w:val="en-GB"/>
        </w:rPr>
        <w:t>.</w:t>
      </w:r>
      <w:r w:rsidRPr="00961772">
        <w:rPr>
          <w:lang w:val="en-GB"/>
        </w:rPr>
        <w:t xml:space="preserve"> Some terms were: “dipeptide transport” (GO:0042938), “protein transmembrane import into intracellular organelle” (GO:0044743), “intracellular protein transmembrane transport” (GO:0065002), </w:t>
      </w:r>
      <w:r w:rsidRPr="00961772">
        <w:rPr>
          <w:lang w:val="en-GB"/>
        </w:rPr>
        <w:lastRenderedPageBreak/>
        <w:t>“cellular localization” (GO:0051641), “protein transport” (GO:0015031), “peptide transport” (GO:0015833), “tripeptide transmembrane transporter activity” (GO:0042937).</w:t>
      </w:r>
    </w:p>
    <w:p w14:paraId="4B4AB07F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.1.6.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phytohormones</w:t>
      </w:r>
      <w:r>
        <w:rPr>
          <w:i/>
          <w:lang w:val="en-GB"/>
        </w:rPr>
        <w:t>.</w:t>
      </w:r>
    </w:p>
    <w:p w14:paraId="0B61DF77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 xml:space="preserve">The number of enriched GO-terms of the up-regulated DEGs related to phytohormones was much smaller than that of the down-regulated set, presenting only two terms: “positive regulation of cytokine production” (GO:00018119) and “response </w:t>
      </w:r>
      <w:r>
        <w:rPr>
          <w:lang w:val="en-GB"/>
        </w:rPr>
        <w:t>to abscisic acid” (GO:0009737).</w:t>
      </w:r>
    </w:p>
    <w:p w14:paraId="15D809FC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.1.7.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response to stimul</w:t>
      </w:r>
      <w:r>
        <w:rPr>
          <w:i/>
          <w:lang w:val="en-GB"/>
        </w:rPr>
        <w:t>i</w:t>
      </w:r>
      <w:r w:rsidRPr="00961772">
        <w:rPr>
          <w:i/>
          <w:lang w:val="en-GB"/>
        </w:rPr>
        <w:t xml:space="preserve"> or stress</w:t>
      </w:r>
      <w:r>
        <w:rPr>
          <w:i/>
          <w:lang w:val="en-GB"/>
        </w:rPr>
        <w:t>.</w:t>
      </w:r>
    </w:p>
    <w:p w14:paraId="1C03C039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t>“Response to heat” (GO:0009408), “heat shock protein binding” (GO:0031072), “cellular response to stress” (GO:0033554), “response to temperature stimulus” (GO:0009266), “response to inorganic substance” (GO:0010035), “response to stimulus” (GO:0050896), “response to toxic substance” (GO:0009636), “response to stress” (GO:0006950), “response to abiotic stimulus” (GO:0009628), “heat acclimation” (GO:0010286), “cellular response to heat” (GO:0034605), “response to metal ion” (GO:0010038), “response to osmotic stress” (GO:0006970), “response to alcohol” (GO:0097305) and “response to endoplasmic reticulum stress” (GO:0034976) were the enriched GO-terms related to responses to stimul</w:t>
      </w:r>
      <w:r>
        <w:rPr>
          <w:lang w:val="en-GB"/>
        </w:rPr>
        <w:t>i</w:t>
      </w:r>
      <w:r w:rsidRPr="00961772">
        <w:rPr>
          <w:lang w:val="en-GB"/>
        </w:rPr>
        <w:t xml:space="preserve"> or to stress obtained after a Fisher’s Exact Test with FDR &lt;0.05.</w:t>
      </w:r>
    </w:p>
    <w:p w14:paraId="56F1FC9C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.1.8.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seed dormancy</w:t>
      </w:r>
      <w:r>
        <w:rPr>
          <w:i/>
          <w:lang w:val="en-GB"/>
        </w:rPr>
        <w:t xml:space="preserve"> or developmental processes.</w:t>
      </w:r>
    </w:p>
    <w:p w14:paraId="1C74C577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enriched GO-terms directly related to seed dormancy or developmental processes were</w:t>
      </w:r>
      <w:r>
        <w:rPr>
          <w:lang w:val="en-GB"/>
        </w:rPr>
        <w:t>:</w:t>
      </w:r>
      <w:r w:rsidRPr="00961772">
        <w:rPr>
          <w:lang w:val="en-GB"/>
        </w:rPr>
        <w:t xml:space="preserve"> “seed maturation” (GO:0010431), “seed dormancy process” (GO:0010162), “dormancy process” (GO:002611), “invasive growth in response to glucose limitation” (GO:0001403), “positive regulation of invasive growth in response to glucose limitation” (GO:2000219), “maintenance of dormancy”</w:t>
      </w:r>
      <w:r>
        <w:rPr>
          <w:lang w:val="en-GB"/>
        </w:rPr>
        <w:t xml:space="preserve"> </w:t>
      </w:r>
      <w:r w:rsidRPr="00961772">
        <w:rPr>
          <w:lang w:val="en-GB"/>
        </w:rPr>
        <w:t>(GO:0097437) and “maintenance of seed dormancy” (GO:0010231).</w:t>
      </w:r>
    </w:p>
    <w:p w14:paraId="46C82312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However, some terms, which seem opposite to these, were also enriched such as</w:t>
      </w:r>
      <w:r>
        <w:rPr>
          <w:lang w:val="en-GB"/>
        </w:rPr>
        <w:t>:</w:t>
      </w:r>
      <w:r w:rsidRPr="00961772">
        <w:rPr>
          <w:lang w:val="en-GB"/>
        </w:rPr>
        <w:t xml:space="preserve"> “seedling development” (GO:0090351), “multicellular organismal reproductive process” (GO:0048609) and “seed germi</w:t>
      </w:r>
      <w:r>
        <w:rPr>
          <w:lang w:val="en-GB"/>
        </w:rPr>
        <w:t>nation” (GO:0009845).</w:t>
      </w:r>
    </w:p>
    <w:p w14:paraId="07DCDBFD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.1.9.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nitrogen</w:t>
      </w:r>
      <w:r>
        <w:rPr>
          <w:i/>
          <w:lang w:val="en-GB"/>
        </w:rPr>
        <w:t>.</w:t>
      </w:r>
    </w:p>
    <w:p w14:paraId="3EF0317B" w14:textId="0907C3D1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lastRenderedPageBreak/>
        <w:t>Enriched GO-terms related to nitrogen were: “organonitrogen compound catabolic process” (GO:1901565), “negative regulation of nitrogen compound metabolic process” (GO:0051172), “regulation of nitrogen utilization”</w:t>
      </w:r>
      <w:r>
        <w:rPr>
          <w:lang w:val="en-GB"/>
        </w:rPr>
        <w:t xml:space="preserve"> </w:t>
      </w:r>
      <w:r w:rsidRPr="00961772">
        <w:rPr>
          <w:lang w:val="en-GB"/>
        </w:rPr>
        <w:t>(GO:0006808), “reactive nitrogen species metabolic process” (GO:2001057), “nitrogen compound transport” (GO:0071705) and “response to nitrogen compound” (GO:1901698).</w:t>
      </w:r>
    </w:p>
    <w:p w14:paraId="1FA71AD8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.1.10.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DNA, RNA, transposons or transcription processes.</w:t>
      </w:r>
    </w:p>
    <w:p w14:paraId="68BD9E2B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There were multiple enriched GO-terms related</w:t>
      </w:r>
      <w:r>
        <w:rPr>
          <w:lang w:val="en-GB"/>
        </w:rPr>
        <w:t xml:space="preserve"> </w:t>
      </w:r>
      <w:r w:rsidRPr="00961772">
        <w:rPr>
          <w:lang w:val="en-GB"/>
        </w:rPr>
        <w:t>to transcription</w:t>
      </w:r>
      <w:r>
        <w:rPr>
          <w:lang w:val="en-GB"/>
        </w:rPr>
        <w:t>.</w:t>
      </w:r>
      <w:r w:rsidRPr="00961772">
        <w:rPr>
          <w:lang w:val="en-GB"/>
        </w:rPr>
        <w:t xml:space="preserve"> These GOs were: “negative regulation of mRNA processing” (GO:0050686), “regulation of DNA-templated transcription in response to stress” (GO:0043620), “negative regulation of mRNA splicing, via spliceosome” (GO:0048025), “negative regulation of RNA splicing” (GO:0033119), “negative regulation of RNA metabolic process” (GO:0051253), “positive regulation of transcription from RNA polymerase II promoter in response to stress” (GO:0036003), “negative regulation of nucleobase-containing compound metabolic process” (GO:0045934), “regulation of transcription from RNA polymerase II promoter in response to stress” (GO:0043618), “regulation of mRNA processing” (GO:0050684), “negative regulation of mRNA metabolic process” (GO: 1903312), “positive regulation of transcription from RNA polymerase II promoter in response to amino acid starvation” (GO:0061412), “regulation of transcription initiation from RNA polymerase II promoter” (GO:00606260), “RNA polymerase III preinitiation complex assembly” (GO:0070898), “poly(A)-specific ribonuclease activity” (GO:004535), “RNA polymerase II cis-regulatory region sequence-specific DNA binding” (GO:0000978), “RNA polymerase III type 3 promoter sequence-specific DNA binding” (GO:0001006), “transcription coactivator activity” (GO:0003713) or “poly(A)-specific ribonuclease activity” (GO:0004535).</w:t>
      </w:r>
    </w:p>
    <w:p w14:paraId="1A49D892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.1.11.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DNA damage</w:t>
      </w:r>
      <w:r>
        <w:rPr>
          <w:i/>
          <w:lang w:val="en-GB"/>
        </w:rPr>
        <w:t xml:space="preserve"> or</w:t>
      </w:r>
      <w:r w:rsidRPr="00961772">
        <w:rPr>
          <w:i/>
          <w:lang w:val="en-GB"/>
        </w:rPr>
        <w:t xml:space="preserve"> chromosome maintenance.</w:t>
      </w:r>
    </w:p>
    <w:p w14:paraId="1E060D0B" w14:textId="26E3C607" w:rsidR="006A00C1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GO-terms “telomere maintenance via telomere trimming” (GO:0090737) and “cellular response to DNA damage stimulus” (GO:0006974) were within the enriched terms.</w:t>
      </w:r>
    </w:p>
    <w:p w14:paraId="692F14B8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.1.12.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</w:t>
      </w:r>
      <w:r>
        <w:rPr>
          <w:i/>
          <w:lang w:val="en-GB"/>
        </w:rPr>
        <w:t>elated to epigenetic regulation or</w:t>
      </w:r>
      <w:r w:rsidRPr="00961772">
        <w:rPr>
          <w:i/>
          <w:lang w:val="en-GB"/>
        </w:rPr>
        <w:t xml:space="preserve"> chromatin remodelling</w:t>
      </w:r>
      <w:r>
        <w:rPr>
          <w:i/>
          <w:lang w:val="en-GB"/>
        </w:rPr>
        <w:t>.</w:t>
      </w:r>
    </w:p>
    <w:p w14:paraId="21BC8A92" w14:textId="07B44232" w:rsidR="006A00C1" w:rsidRDefault="006A00C1" w:rsidP="00AD4003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lastRenderedPageBreak/>
        <w:t>The GO-terms “chromatin remodelling” (GO:0006338), “lysine-acetylated histone binding” (GO:0070577) and “acetylation-dependent protein binding” (GO:0140033) were within the enriched terms.</w:t>
      </w:r>
    </w:p>
    <w:p w14:paraId="591CB5EA" w14:textId="77777777" w:rsidR="006A00C1" w:rsidRPr="00961772" w:rsidRDefault="006A00C1" w:rsidP="006A00C1">
      <w:pPr>
        <w:spacing w:before="120" w:after="120" w:line="360" w:lineRule="auto"/>
        <w:jc w:val="both"/>
        <w:rPr>
          <w:u w:val="single"/>
          <w:lang w:val="en-GB"/>
        </w:rPr>
      </w:pPr>
      <w:r>
        <w:rPr>
          <w:u w:val="single"/>
          <w:lang w:val="en-GB"/>
        </w:rPr>
        <w:t>1</w:t>
      </w:r>
      <w:r w:rsidRPr="00961772">
        <w:rPr>
          <w:u w:val="single"/>
          <w:lang w:val="en-GB"/>
        </w:rPr>
        <w:t>.2.</w:t>
      </w:r>
      <w:r>
        <w:rPr>
          <w:u w:val="single"/>
          <w:lang w:val="en-GB"/>
        </w:rPr>
        <w:t xml:space="preserve"> </w:t>
      </w:r>
      <w:r w:rsidRPr="00961772">
        <w:rPr>
          <w:u w:val="single"/>
          <w:lang w:val="en-GB"/>
        </w:rPr>
        <w:t>Under-represented GOs</w:t>
      </w:r>
    </w:p>
    <w:p w14:paraId="3D7BB8A9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.2.1.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cell walls</w:t>
      </w:r>
      <w:r>
        <w:rPr>
          <w:i/>
          <w:lang w:val="en-GB"/>
        </w:rPr>
        <w:t xml:space="preserve"> or mobilization of storage reserves.</w:t>
      </w:r>
    </w:p>
    <w:p w14:paraId="4E67FF63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t>The under-represented GOs were especially enriched in terms related to cell walls, including “cell wall organization or biogenesis” (GO:0071554), “plant-type cell wall” (GO:0009505), “plant-type cell wall organization” (GO:0009664) “pectin catabolic process” (GO:0045490), “cell wall modification” (GO:0042545) and “galacturonan metabolic process” (GO:0010393).</w:t>
      </w:r>
    </w:p>
    <w:p w14:paraId="06BD6A8F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.2.2.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 xml:space="preserve">Related to </w:t>
      </w:r>
      <w:r>
        <w:rPr>
          <w:i/>
          <w:lang w:val="en-GB"/>
        </w:rPr>
        <w:t>seed dormancy or developmental processes.</w:t>
      </w:r>
    </w:p>
    <w:p w14:paraId="2BADB183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A few terms were in relation to development or seed dormancy, such as: “external encapsulating structure organization” (GO:0045229), “cellular developmental process” (GO:0048869), “cell cortex”</w:t>
      </w:r>
      <w:r>
        <w:rPr>
          <w:lang w:val="en-GB"/>
        </w:rPr>
        <w:t xml:space="preserve"> </w:t>
      </w:r>
      <w:r w:rsidRPr="00961772">
        <w:rPr>
          <w:lang w:val="en-GB"/>
        </w:rPr>
        <w:t>(GO:0005938), “cell differentiation”</w:t>
      </w:r>
      <w:r>
        <w:rPr>
          <w:lang w:val="en-GB"/>
        </w:rPr>
        <w:t xml:space="preserve"> </w:t>
      </w:r>
      <w:r w:rsidRPr="00961772">
        <w:rPr>
          <w:lang w:val="en-GB"/>
        </w:rPr>
        <w:t>(GO:0030154), “anatomical structure morphogenesis”</w:t>
      </w:r>
      <w:r>
        <w:rPr>
          <w:lang w:val="en-GB"/>
        </w:rPr>
        <w:t xml:space="preserve"> </w:t>
      </w:r>
      <w:r w:rsidRPr="00961772">
        <w:rPr>
          <w:lang w:val="en-GB"/>
        </w:rPr>
        <w:t>(GO:0009653) or “external encapsulating structure”</w:t>
      </w:r>
      <w:r>
        <w:rPr>
          <w:lang w:val="en-GB"/>
        </w:rPr>
        <w:t xml:space="preserve"> </w:t>
      </w:r>
      <w:r w:rsidRPr="00961772">
        <w:rPr>
          <w:lang w:val="en-GB"/>
        </w:rPr>
        <w:t>(GO:0030312).</w:t>
      </w:r>
    </w:p>
    <w:p w14:paraId="417FC5F5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.2.3.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protein kinases</w:t>
      </w:r>
      <w:r>
        <w:rPr>
          <w:i/>
          <w:lang w:val="en-GB"/>
        </w:rPr>
        <w:t>.</w:t>
      </w:r>
    </w:p>
    <w:p w14:paraId="5DDA19E6" w14:textId="530281B8" w:rsidR="006A00C1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Another “group” of under-represented GOs was related to protein kinases and their transmembrane signalling, including terms such as: “transmembrane signalling receptor activity” (GO:0004888), “transmembrane receptor protein kinase activity” (GO:0019199), “transmembrane receptor protein serine/threonine kinase signalling pathway” (GO:0007178), “protein serine/threonine kinase activity”</w:t>
      </w:r>
      <w:r>
        <w:rPr>
          <w:lang w:val="en-GB"/>
        </w:rPr>
        <w:t xml:space="preserve"> </w:t>
      </w:r>
      <w:r w:rsidRPr="00961772">
        <w:rPr>
          <w:lang w:val="en-GB"/>
        </w:rPr>
        <w:t>(GO:0004674) or “transmembrane receptor protein serine/threonine kinase activity”</w:t>
      </w:r>
      <w:r>
        <w:rPr>
          <w:lang w:val="en-GB"/>
        </w:rPr>
        <w:t xml:space="preserve"> </w:t>
      </w:r>
      <w:r w:rsidRPr="00961772">
        <w:rPr>
          <w:lang w:val="en-GB"/>
        </w:rPr>
        <w:t>(GO:0004675).</w:t>
      </w:r>
    </w:p>
    <w:p w14:paraId="0A638B1D" w14:textId="77777777" w:rsidR="00AD4003" w:rsidRDefault="00AD4003" w:rsidP="006A00C1">
      <w:pPr>
        <w:spacing w:before="120" w:after="120" w:line="360" w:lineRule="auto"/>
        <w:ind w:firstLine="709"/>
        <w:jc w:val="both"/>
        <w:rPr>
          <w:lang w:val="en-GB"/>
        </w:rPr>
      </w:pPr>
    </w:p>
    <w:p w14:paraId="4FA035E4" w14:textId="77777777" w:rsidR="006A00C1" w:rsidRPr="00961772" w:rsidRDefault="006A00C1" w:rsidP="006A00C1">
      <w:pPr>
        <w:spacing w:before="120" w:after="120" w:line="360" w:lineRule="auto"/>
        <w:jc w:val="both"/>
        <w:rPr>
          <w:rStyle w:val="Ttulodellibro"/>
          <w:lang w:val="en-GB"/>
        </w:rPr>
      </w:pPr>
      <w:r w:rsidRPr="00961772">
        <w:rPr>
          <w:rStyle w:val="Ttulodellibro"/>
          <w:lang w:val="en-GB"/>
        </w:rPr>
        <w:t>Down-regulated genes</w:t>
      </w:r>
    </w:p>
    <w:p w14:paraId="504045F7" w14:textId="77777777" w:rsidR="006A00C1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Functional GO</w:t>
      </w:r>
      <w:r>
        <w:rPr>
          <w:lang w:val="en-GB"/>
        </w:rPr>
        <w:t>-</w:t>
      </w:r>
      <w:r w:rsidRPr="00961772">
        <w:rPr>
          <w:lang w:val="en-GB"/>
        </w:rPr>
        <w:t xml:space="preserve">enrichment analyses were performed on the 3,317 functionally annotated down-regulated DEGs from the comparison of the deep dormant accession (-367) vs the non-deep dormant accession (-799), </w:t>
      </w:r>
      <w:r>
        <w:rPr>
          <w:lang w:val="en-GB"/>
        </w:rPr>
        <w:t>both imbibed in water for 3 d</w:t>
      </w:r>
      <w:r w:rsidRPr="00961772">
        <w:rPr>
          <w:lang w:val="en-GB"/>
        </w:rPr>
        <w:t xml:space="preserve"> at 30 °C in darkness.</w:t>
      </w:r>
    </w:p>
    <w:p w14:paraId="4CC90246" w14:textId="77777777" w:rsidR="006A00C1" w:rsidRPr="00961772" w:rsidRDefault="006A00C1" w:rsidP="006A00C1">
      <w:pPr>
        <w:spacing w:before="120" w:after="120" w:line="360" w:lineRule="auto"/>
        <w:jc w:val="both"/>
        <w:rPr>
          <w:u w:val="single"/>
          <w:lang w:val="en-GB"/>
        </w:rPr>
      </w:pPr>
      <w:r w:rsidRPr="00054842">
        <w:rPr>
          <w:u w:val="single"/>
          <w:lang w:val="en-GB"/>
        </w:rPr>
        <w:lastRenderedPageBreak/>
        <w:t>2.1. Over-represented GOs</w:t>
      </w:r>
    </w:p>
    <w:p w14:paraId="566926B2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.1.1.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cell walls</w:t>
      </w:r>
      <w:r>
        <w:rPr>
          <w:i/>
          <w:lang w:val="en-GB"/>
        </w:rPr>
        <w:t xml:space="preserve"> or mobilization of storage reserves.</w:t>
      </w:r>
    </w:p>
    <w:p w14:paraId="1AFE70C1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terms related to cell wall biogenesis, organization or degradation and those related to carbohydrates or sugars were especially enriched, finding GO-terms such as</w:t>
      </w:r>
      <w:r>
        <w:rPr>
          <w:lang w:val="en-GB"/>
        </w:rPr>
        <w:t>:</w:t>
      </w:r>
      <w:r w:rsidRPr="00961772">
        <w:rPr>
          <w:lang w:val="en-GB"/>
        </w:rPr>
        <w:t xml:space="preserve"> “cell wall organization or biogenesis” (GO:007155), “cell wall organization” (GO:0071555), “plant-type cell wall organization or biogenesis” (GO:0071669), “plant-type cell wall organization” (GO:0009664), “cell wall macromolecule catabolic process” (GO:0044036), “cell wall biogenesis” (GO:0042546), “cellulose metabolic process” (GO:0010383), “hemicellulose metabolic process” (GO:0010410), “cell wall biogenesis” (GO:0042546), “cellulose metabolic process” (GO:0030243), “plant-type cell wall biogenesis” (GO:0009832), “cellulose catabolic process” (GO:0030245), “cell wall modification” (GO:0042545), “carbohydrate metabolic process” (GO:0005975), “polysaccharide metabolic process” (GO:0005976), “carbohydrate catabolic process” (GO:0016052), “polysaccharide catabolic process” (GO:0000272), “cellular carbohydrate metabolic process” (GO:0044275), “cellular polysaccharide catabolic process” (GO:0044247), “carbohydrate biosynthetic process” (GO:0016051), “polysaccharide biosynthetic process” (GO:0000271), “disaccharide metabolic process” (GO: 0046352) or “maltose metabolic process” (GO: 0000023).</w:t>
      </w:r>
    </w:p>
    <w:p w14:paraId="1CDEC691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.1.2.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lipids</w:t>
      </w:r>
      <w:r>
        <w:rPr>
          <w:i/>
          <w:lang w:val="en-GB"/>
        </w:rPr>
        <w:t>.</w:t>
      </w:r>
    </w:p>
    <w:p w14:paraId="29745D21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GO-terms related to lipid biosynthesis “response to lipid” (GO:0033993), “positive regulation of lipid biosynthesis process” (GO: 0046889), “regulation of lipid biosynthetic process” (GO:0046890), “lipid biosynthetic process”</w:t>
      </w:r>
      <w:r>
        <w:rPr>
          <w:lang w:val="en-GB"/>
        </w:rPr>
        <w:t xml:space="preserve"> </w:t>
      </w:r>
      <w:r w:rsidRPr="00961772">
        <w:rPr>
          <w:lang w:val="en-GB"/>
        </w:rPr>
        <w:t>(GO:0008610), “cellular lipid biosynthetic process” (GO:0097384) and “positive regulation of lipid metabolic process” (GO:0045834) were within the enriched terms.</w:t>
      </w:r>
    </w:p>
    <w:p w14:paraId="67E61312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.1.3.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transmembrane transport and ion or water transport</w:t>
      </w:r>
      <w:r>
        <w:rPr>
          <w:i/>
          <w:lang w:val="en-GB"/>
        </w:rPr>
        <w:t>.</w:t>
      </w:r>
    </w:p>
    <w:p w14:paraId="00769327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Some GO-terms related to transmembrane transport, such as “transmembrane transport” (GO:0055085), “regulation of transmembrane transporter activity” (GO:0022898), “regulation of transporter activity” (GO:0032409), “transmembrane transporter activity” (GO:0022857), “channel activity”</w:t>
      </w:r>
      <w:r>
        <w:rPr>
          <w:lang w:val="en-GB"/>
        </w:rPr>
        <w:t xml:space="preserve"> </w:t>
      </w:r>
      <w:r w:rsidRPr="00961772">
        <w:rPr>
          <w:lang w:val="en-GB"/>
        </w:rPr>
        <w:t>(GO:0015267), “passive transmembrane transporter activity”</w:t>
      </w:r>
      <w:r>
        <w:rPr>
          <w:lang w:val="en-GB"/>
        </w:rPr>
        <w:t xml:space="preserve"> </w:t>
      </w:r>
      <w:r w:rsidRPr="00961772">
        <w:rPr>
          <w:lang w:val="en-GB"/>
        </w:rPr>
        <w:t xml:space="preserve">(GO:0022803), “active transmembrane transport activity” (GO:0022804), “ATP:ADP antiporter </w:t>
      </w:r>
      <w:r w:rsidRPr="00961772">
        <w:rPr>
          <w:lang w:val="en-GB"/>
        </w:rPr>
        <w:lastRenderedPageBreak/>
        <w:t>activity” (GO:0005471), “ATPase-coupled transmembrane transporter activity” (GO:0042626), “ATPase activity, couple to movement of substances” (GO:0043492), were within the enriched ones after a Fisher’s Exact Test.</w:t>
      </w:r>
    </w:p>
    <w:p w14:paraId="5FF7EB13" w14:textId="25084F94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>
        <w:rPr>
          <w:lang w:val="en-GB"/>
        </w:rPr>
        <w:t>T</w:t>
      </w:r>
      <w:r w:rsidRPr="00961772">
        <w:rPr>
          <w:lang w:val="en-GB"/>
        </w:rPr>
        <w:t>he great amount of enriched GOs related to ions, including their transport</w:t>
      </w:r>
      <w:r>
        <w:rPr>
          <w:lang w:val="en-GB"/>
        </w:rPr>
        <w:t xml:space="preserve">, </w:t>
      </w:r>
      <w:r w:rsidRPr="00961772">
        <w:rPr>
          <w:lang w:val="en-GB"/>
        </w:rPr>
        <w:t>should be highlighted. Some of these terms were</w:t>
      </w:r>
      <w:r>
        <w:rPr>
          <w:lang w:val="en-GB"/>
        </w:rPr>
        <w:t>:</w:t>
      </w:r>
      <w:r w:rsidRPr="00961772">
        <w:rPr>
          <w:lang w:val="en-GB"/>
        </w:rPr>
        <w:t xml:space="preserve"> “response to cadmium ion” (GO:0046686), “response to metal ion” (GO:0010038), “response to zinc ion” (GO:0010043), “ion transport” (GO:0006811), “iron ion transport” (GO:0006826), “iron ion homeostasis” (GO:0055072), “manganese ion transport” (GO:0006828)</w:t>
      </w:r>
      <w:r>
        <w:rPr>
          <w:lang w:val="en-GB"/>
        </w:rPr>
        <w:t>,</w:t>
      </w:r>
      <w:r w:rsidRPr="00961772">
        <w:rPr>
          <w:lang w:val="en-GB"/>
        </w:rPr>
        <w:t xml:space="preserve"> “ion transmembrane transport” (GO:0034220), “regulation of anion channel activity” (GO:0010359), “regulation of ion transmembrane transporter activity” (GO:0032412), “anion binding” (GO:0043168), “ion binding” (GO:0043167).</w:t>
      </w:r>
    </w:p>
    <w:p w14:paraId="450222AD" w14:textId="4DF4DE2F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GO-terms specifically related to water and to water transport were also enriched, including</w:t>
      </w:r>
      <w:r>
        <w:rPr>
          <w:lang w:val="en-GB"/>
        </w:rPr>
        <w:t>:</w:t>
      </w:r>
      <w:r w:rsidRPr="00961772">
        <w:rPr>
          <w:lang w:val="en-GB"/>
        </w:rPr>
        <w:t xml:space="preserve"> “fluid transport”</w:t>
      </w:r>
      <w:r>
        <w:rPr>
          <w:lang w:val="en-GB"/>
        </w:rPr>
        <w:t xml:space="preserve"> </w:t>
      </w:r>
      <w:r w:rsidRPr="00961772">
        <w:rPr>
          <w:lang w:val="en-GB"/>
        </w:rPr>
        <w:t>(GO:0042044), “water transport” (GO:0006833), “response to osmotic stress” (GO:0006970), “response to water” (GO:0009415), “detection of hypoxia” (GO:0070483), “response to water deprivation” (GO:0009414), “water channel activity” (GO:0015250) and “water transmembrane transporter activity” (GO:0005372).</w:t>
      </w:r>
    </w:p>
    <w:p w14:paraId="5A31088E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.1.4.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oxidati</w:t>
      </w:r>
      <w:r>
        <w:rPr>
          <w:i/>
          <w:lang w:val="en-GB"/>
        </w:rPr>
        <w:t>on</w:t>
      </w:r>
      <w:r w:rsidRPr="00961772">
        <w:rPr>
          <w:i/>
          <w:lang w:val="en-GB"/>
        </w:rPr>
        <w:t>-reduction processes or ROS species</w:t>
      </w:r>
      <w:r>
        <w:rPr>
          <w:i/>
          <w:lang w:val="en-GB"/>
        </w:rPr>
        <w:t>.</w:t>
      </w:r>
    </w:p>
    <w:p w14:paraId="26221B69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Within the enriched GOs there were terms related to oxidati</w:t>
      </w:r>
      <w:r>
        <w:rPr>
          <w:lang w:val="en-GB"/>
        </w:rPr>
        <w:t>on</w:t>
      </w:r>
      <w:r w:rsidRPr="00961772">
        <w:rPr>
          <w:lang w:val="en-GB"/>
        </w:rPr>
        <w:t>-reduction processes, especially to hydrogen peroxide reactions, such as</w:t>
      </w:r>
      <w:r>
        <w:rPr>
          <w:lang w:val="en-GB"/>
        </w:rPr>
        <w:t>:</w:t>
      </w:r>
      <w:r w:rsidRPr="00961772">
        <w:rPr>
          <w:lang w:val="en-GB"/>
        </w:rPr>
        <w:t xml:space="preserve"> “response to oxygen-containing compound” (GO:1901700), “cellular oxidant detoxification” (GO:0098869), “antioxidant activity” (GO:0016209), “hydrogen peroxide transmembrane transport” (GO:0080170), “hydrogen peroxide metabolic process”</w:t>
      </w:r>
      <w:r>
        <w:rPr>
          <w:lang w:val="en-GB"/>
        </w:rPr>
        <w:t xml:space="preserve"> </w:t>
      </w:r>
      <w:r w:rsidRPr="00961772">
        <w:rPr>
          <w:lang w:val="en-GB"/>
        </w:rPr>
        <w:t>(GO:0042743), “oxidation-reduction process” (GO:005514), “hydrogen peroxide catabolic process” (GO:0042744), “organic hydroxy compound biosynthetic process” (GO:1901617), “reactive oxygen species metabolic process” (GO:0072593), “detection of oxygen”</w:t>
      </w:r>
      <w:r>
        <w:rPr>
          <w:lang w:val="en-GB"/>
        </w:rPr>
        <w:t xml:space="preserve"> </w:t>
      </w:r>
      <w:r w:rsidRPr="00961772">
        <w:rPr>
          <w:lang w:val="en-GB"/>
        </w:rPr>
        <w:t>(GO:0003032), “oxidoreductase activity, acting on CH or CH</w:t>
      </w:r>
      <w:r w:rsidRPr="00454038">
        <w:rPr>
          <w:vertAlign w:val="subscript"/>
          <w:lang w:val="en-GB"/>
        </w:rPr>
        <w:t>2</w:t>
      </w:r>
      <w:r w:rsidRPr="00961772">
        <w:rPr>
          <w:lang w:val="en-GB"/>
        </w:rPr>
        <w:t xml:space="preserve"> groups” (GO:0016725), “peroxidase activity” (GO:0004601), “oxidoreductase activity, acting on peroxide as receptor” (GO:0016684), “oxidoreductase activity, acting on CH or CH</w:t>
      </w:r>
      <w:r w:rsidRPr="00454038">
        <w:rPr>
          <w:vertAlign w:val="subscript"/>
          <w:lang w:val="en-GB"/>
        </w:rPr>
        <w:t>2</w:t>
      </w:r>
      <w:r w:rsidRPr="00961772">
        <w:rPr>
          <w:lang w:val="en-GB"/>
        </w:rPr>
        <w:t xml:space="preserve"> groups, disulphide as acceptor” (GO:0016728) and “oxidoreductase activity” (GO:0016491).</w:t>
      </w:r>
    </w:p>
    <w:p w14:paraId="72D9B236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.1.5.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photosynthesis, chloroplasts or mitochondria</w:t>
      </w:r>
      <w:r>
        <w:rPr>
          <w:i/>
          <w:lang w:val="en-GB"/>
        </w:rPr>
        <w:t>.</w:t>
      </w:r>
    </w:p>
    <w:p w14:paraId="2496C365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lastRenderedPageBreak/>
        <w:t>Furthermore, some of the enriched GO-terms were related to chloroplasts, photosynthesis or respiration, like</w:t>
      </w:r>
      <w:r>
        <w:rPr>
          <w:lang w:val="en-GB"/>
        </w:rPr>
        <w:t>:</w:t>
      </w:r>
      <w:r w:rsidRPr="00961772">
        <w:rPr>
          <w:lang w:val="en-GB"/>
        </w:rPr>
        <w:t xml:space="preserve"> “positive regulation of phytol biosynthetic process” (GO:1904964), “regulation of phytol biosynthetic process” (GO:0033520), “phytol biosynthetic process” (GO:0033520), “respiratory burst” (GO:0045730), “positive regulation of chlorophyll biosynthetic process” (GO:1902326) and “phytoene synthase activity” (GO:0046905).</w:t>
      </w:r>
    </w:p>
    <w:p w14:paraId="1EBF7477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.1.6.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responses to light or circadian clock</w:t>
      </w:r>
      <w:r>
        <w:rPr>
          <w:i/>
          <w:lang w:val="en-GB"/>
        </w:rPr>
        <w:t>.</w:t>
      </w:r>
    </w:p>
    <w:p w14:paraId="31E3A8F6" w14:textId="2C6C60AE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t>The two enriched GO-terms related to light responses or circadian clock were “rhythmic process” (GO:0048511) and “response to absence of light” (GO:0009646).</w:t>
      </w:r>
    </w:p>
    <w:p w14:paraId="05D5B3E5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.1.7.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phytohormones</w:t>
      </w:r>
      <w:r>
        <w:rPr>
          <w:i/>
          <w:lang w:val="en-GB"/>
        </w:rPr>
        <w:t>.</w:t>
      </w:r>
    </w:p>
    <w:p w14:paraId="72631974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Phytohormone</w:t>
      </w:r>
      <w:r>
        <w:rPr>
          <w:lang w:val="en-GB"/>
        </w:rPr>
        <w:t>-</w:t>
      </w:r>
      <w:r w:rsidRPr="00961772">
        <w:rPr>
          <w:lang w:val="en-GB"/>
        </w:rPr>
        <w:t>associated GO-terms were enriched in the down-regulated DEGs. Terms such as</w:t>
      </w:r>
      <w:r>
        <w:rPr>
          <w:lang w:val="en-GB"/>
        </w:rPr>
        <w:t>:</w:t>
      </w:r>
      <w:r w:rsidRPr="00961772">
        <w:rPr>
          <w:lang w:val="en-GB"/>
        </w:rPr>
        <w:t xml:space="preserve"> “response to hormone” (GO:0009725), “hormone-mediated signalling pathway” (GO:0009755), “cellular response to hormone stimulus” (GO:0032870), “regulation of hormone biosynthetic process” (GO:0046885), “regulation of hormone metabolic process” (GO:0032350), “positive regulation of hormone metabolic process” (GO:0032352), “positive regulation of hormone biosynthetic process” (GO:0046886), “regulation of hormone levels” (GO:0010817), “hormone biosynthetic process” (GO:0042446), “hormone binding” (GO:0042562) and “peptide hormone binding” (GO:0017046)</w:t>
      </w:r>
      <w:r>
        <w:rPr>
          <w:lang w:val="en-GB"/>
        </w:rPr>
        <w:t>,</w:t>
      </w:r>
      <w:r w:rsidRPr="00961772">
        <w:rPr>
          <w:lang w:val="en-GB"/>
        </w:rPr>
        <w:t xml:space="preserve"> were within them</w:t>
      </w:r>
      <w:r>
        <w:rPr>
          <w:lang w:val="en-GB"/>
        </w:rPr>
        <w:t>.</w:t>
      </w:r>
    </w:p>
    <w:p w14:paraId="5ED458FF" w14:textId="3B689A4C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 xml:space="preserve">Besides, GO-terms related to specific hormones were also enriched. Examples related to </w:t>
      </w:r>
      <w:r>
        <w:rPr>
          <w:lang w:val="en-GB"/>
        </w:rPr>
        <w:t xml:space="preserve">gibberellins </w:t>
      </w:r>
      <w:r w:rsidRPr="00961772">
        <w:rPr>
          <w:lang w:val="en-GB"/>
        </w:rPr>
        <w:t>(GA</w:t>
      </w:r>
      <w:r>
        <w:rPr>
          <w:lang w:val="en-GB"/>
        </w:rPr>
        <w:t>s</w:t>
      </w:r>
      <w:r w:rsidRPr="00961772">
        <w:rPr>
          <w:lang w:val="en-GB"/>
        </w:rPr>
        <w:t>) as “regulation of gibberellin biosynthetic process” (GO:0010371), “positive regulation of gibberellin biosynthetic process” (GO:0010372), “gibberellin biosynthetic process” (GO:0009686), “gibberellin metabolic process” (GO:0009685), “negative regulation of gibberellic acid mediated signalling pathway” (GO:0009938) could be found.</w:t>
      </w:r>
    </w:p>
    <w:p w14:paraId="1367112C" w14:textId="5E4AA55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 xml:space="preserve">Related to ethylene, the terms “ethylene-activated signalling pathway” (GO:0009873), “response to ethylene” (GO:009723), “negative regulation of ethylene-activated signalling pathway” (GO:0010105) or “cellular response to ethylene stimulus” (GO:0071369) were within the over-represented GO-terms in comparison to the whole genome of </w:t>
      </w:r>
      <w:r w:rsidRPr="00961772">
        <w:rPr>
          <w:i/>
          <w:lang w:val="en-GB"/>
        </w:rPr>
        <w:t>C</w:t>
      </w:r>
      <w:r>
        <w:rPr>
          <w:i/>
          <w:lang w:val="en-GB"/>
        </w:rPr>
        <w:t>.</w:t>
      </w:r>
      <w:r w:rsidRPr="00961772">
        <w:rPr>
          <w:i/>
          <w:lang w:val="en-GB"/>
        </w:rPr>
        <w:t xml:space="preserve"> bursa-pastoris.</w:t>
      </w:r>
    </w:p>
    <w:p w14:paraId="740A72FD" w14:textId="575424F1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lastRenderedPageBreak/>
        <w:t>However, the phytohormone</w:t>
      </w:r>
      <w:r>
        <w:rPr>
          <w:lang w:val="en-GB"/>
        </w:rPr>
        <w:t>s</w:t>
      </w:r>
      <w:r w:rsidRPr="00961772">
        <w:rPr>
          <w:lang w:val="en-GB"/>
        </w:rPr>
        <w:t xml:space="preserve"> to w</w:t>
      </w:r>
      <w:r>
        <w:rPr>
          <w:lang w:val="en-GB"/>
        </w:rPr>
        <w:t>hich more terms were related were</w:t>
      </w:r>
      <w:r w:rsidRPr="00961772">
        <w:rPr>
          <w:lang w:val="en-GB"/>
        </w:rPr>
        <w:t xml:space="preserve"> auxin</w:t>
      </w:r>
      <w:r>
        <w:rPr>
          <w:lang w:val="en-GB"/>
        </w:rPr>
        <w:t>s</w:t>
      </w:r>
      <w:r w:rsidRPr="00961772">
        <w:rPr>
          <w:lang w:val="en-GB"/>
        </w:rPr>
        <w:t>. The GO-terms were</w:t>
      </w:r>
      <w:r>
        <w:rPr>
          <w:lang w:val="en-GB"/>
        </w:rPr>
        <w:t>:</w:t>
      </w:r>
      <w:r w:rsidRPr="00961772">
        <w:rPr>
          <w:lang w:val="en-GB"/>
        </w:rPr>
        <w:t xml:space="preserve"> “auxin receptor activity” (GO:0038198), “auxin binding” (GO:0010011), “auxin transmembrane transporter activity” (GO:0080161), “auxin efflux transmembrane transporter activity” (GO:0010329), “cellular response to auxin stimulus” (GO:0071365), “auxin activated signalling pathway” (GO:0009734), “regulation of auxin mediated signalling pathway” (GO:0010988), “auxin efflux” (GO:0010315), “auxin polar transport” (GO:0009926) and “response to auxin” (GO:009733).</w:t>
      </w:r>
    </w:p>
    <w:p w14:paraId="4FEA41FB" w14:textId="4F1A2395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</w:t>
      </w:r>
      <w:r>
        <w:rPr>
          <w:lang w:val="en-GB"/>
        </w:rPr>
        <w:t>here were two other enriched GO-</w:t>
      </w:r>
      <w:r w:rsidRPr="00961772">
        <w:rPr>
          <w:lang w:val="en-GB"/>
        </w:rPr>
        <w:t>terms related to hormones: “response to cytokinin” (GO:0009735) and “response to abscisic acid” (GO:0009737).</w:t>
      </w:r>
    </w:p>
    <w:p w14:paraId="28FFC6FA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.1.8.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flowering, reproduction or photoperiodism</w:t>
      </w:r>
      <w:r>
        <w:rPr>
          <w:i/>
          <w:lang w:val="en-GB"/>
        </w:rPr>
        <w:t>.</w:t>
      </w:r>
    </w:p>
    <w:p w14:paraId="778120FC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Some of the enriched GO-terms were related to flowering or reproduction, including</w:t>
      </w:r>
      <w:r>
        <w:rPr>
          <w:lang w:val="en-GB"/>
        </w:rPr>
        <w:t>:</w:t>
      </w:r>
      <w:r w:rsidRPr="00961772">
        <w:rPr>
          <w:lang w:val="en-GB"/>
        </w:rPr>
        <w:t xml:space="preserve"> “reproductive structure development” (GO:0048608), “reproductive system development” (GO:0061458), “developmental process involved in reproduction” (GO:0003006), “reproductive shoot system development” (GO:0090567), “reproduction” (GO:0000003), “reproductive process” (GO:0022414), “flower development”</w:t>
      </w:r>
      <w:r>
        <w:rPr>
          <w:lang w:val="en-GB"/>
        </w:rPr>
        <w:t xml:space="preserve"> </w:t>
      </w:r>
      <w:r w:rsidRPr="00961772">
        <w:rPr>
          <w:lang w:val="en-GB"/>
        </w:rPr>
        <w:t>(GO:0009908), “floral whorl development” (GO:0048438) and “floral organ development” (GO:0048437).</w:t>
      </w:r>
    </w:p>
    <w:p w14:paraId="1BEC2C59" w14:textId="77777777" w:rsidR="006A00C1" w:rsidRPr="00961772" w:rsidRDefault="006A00C1" w:rsidP="006A00C1">
      <w:pPr>
        <w:spacing w:before="120" w:after="120" w:line="360" w:lineRule="auto"/>
        <w:jc w:val="both"/>
        <w:rPr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.1.9.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responses to stimul</w:t>
      </w:r>
      <w:r>
        <w:rPr>
          <w:i/>
          <w:lang w:val="en-GB"/>
        </w:rPr>
        <w:t>i</w:t>
      </w:r>
      <w:r w:rsidRPr="00961772">
        <w:rPr>
          <w:i/>
          <w:lang w:val="en-GB"/>
        </w:rPr>
        <w:t xml:space="preserve"> or stress</w:t>
      </w:r>
      <w:r>
        <w:rPr>
          <w:i/>
          <w:lang w:val="en-GB"/>
        </w:rPr>
        <w:t>.</w:t>
      </w:r>
    </w:p>
    <w:p w14:paraId="4E6E2354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It is important to highlight the down-regulation of genes related to response towards stimul</w:t>
      </w:r>
      <w:r>
        <w:rPr>
          <w:lang w:val="en-GB"/>
        </w:rPr>
        <w:t>i</w:t>
      </w:r>
      <w:r w:rsidRPr="00961772">
        <w:rPr>
          <w:lang w:val="en-GB"/>
        </w:rPr>
        <w:t>, as demonstrated by the enrichment of GO-terms related to these responses, such as</w:t>
      </w:r>
      <w:r>
        <w:rPr>
          <w:lang w:val="en-GB"/>
        </w:rPr>
        <w:t>:</w:t>
      </w:r>
      <w:r w:rsidRPr="00961772">
        <w:rPr>
          <w:lang w:val="en-GB"/>
        </w:rPr>
        <w:t xml:space="preserve"> “response to stimulus” (GO:0050896), “response to chemical” (GO:0042221), “response to abiotic stimulus” (GO:0009628), “response to inorganic substance” (GO:0010035), “response to endogenous stimulus” (GO:0009719), “response to stress” (GO:0006950), “response to organic substance” (GO:0010033), “response to external stimulus” (GO:0009605), “response to toxic substance” (GO:0009636), “response to alcohol”</w:t>
      </w:r>
      <w:r>
        <w:rPr>
          <w:lang w:val="en-GB"/>
        </w:rPr>
        <w:t xml:space="preserve"> </w:t>
      </w:r>
      <w:r w:rsidRPr="00961772">
        <w:rPr>
          <w:lang w:val="en-GB"/>
        </w:rPr>
        <w:t>(GO:0097305), “response to bacterium” (GO:0009617), “response to salt stress” (GO:0009651), “defence response” (GO:0006952), “cellular response to stimulus” (GO:0051716), “response to other organism” (GO:0051707), “response to external biotic stimulus”</w:t>
      </w:r>
      <w:r>
        <w:rPr>
          <w:lang w:val="en-GB"/>
        </w:rPr>
        <w:t xml:space="preserve"> </w:t>
      </w:r>
      <w:r w:rsidRPr="00961772">
        <w:rPr>
          <w:lang w:val="en-GB"/>
        </w:rPr>
        <w:t>(GO:0043207), “response to mechanical stimulus”</w:t>
      </w:r>
      <w:r>
        <w:rPr>
          <w:lang w:val="en-GB"/>
        </w:rPr>
        <w:t xml:space="preserve"> </w:t>
      </w:r>
      <w:r w:rsidRPr="00961772">
        <w:rPr>
          <w:lang w:val="en-GB"/>
        </w:rPr>
        <w:t>(GO:0009612), “response to biotic stimulus”</w:t>
      </w:r>
      <w:r>
        <w:rPr>
          <w:lang w:val="en-GB"/>
        </w:rPr>
        <w:t xml:space="preserve"> </w:t>
      </w:r>
      <w:r w:rsidRPr="00961772">
        <w:rPr>
          <w:lang w:val="en-GB"/>
        </w:rPr>
        <w:t>(GO:0009607), “response to temperature stimulus” (GO:0009266) or “response to acid chemical”</w:t>
      </w:r>
      <w:r>
        <w:rPr>
          <w:lang w:val="en-GB"/>
        </w:rPr>
        <w:t xml:space="preserve"> </w:t>
      </w:r>
      <w:r w:rsidRPr="00961772">
        <w:rPr>
          <w:lang w:val="en-GB"/>
        </w:rPr>
        <w:t>(GO:0001101).</w:t>
      </w:r>
    </w:p>
    <w:p w14:paraId="3D50E853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.1.10.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seed dormancy</w:t>
      </w:r>
      <w:r>
        <w:rPr>
          <w:i/>
          <w:lang w:val="en-GB"/>
        </w:rPr>
        <w:t xml:space="preserve"> or developmental processes.</w:t>
      </w:r>
    </w:p>
    <w:p w14:paraId="63ED809B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There was a large list of enriched GO-terms related to seed dormanc</w:t>
      </w:r>
      <w:r>
        <w:rPr>
          <w:lang w:val="en-GB"/>
        </w:rPr>
        <w:t>y or to developmental processes. S</w:t>
      </w:r>
      <w:r w:rsidRPr="00961772">
        <w:rPr>
          <w:lang w:val="en-GB"/>
        </w:rPr>
        <w:t xml:space="preserve">ome terms could be </w:t>
      </w:r>
      <w:r>
        <w:rPr>
          <w:lang w:val="en-GB"/>
        </w:rPr>
        <w:t xml:space="preserve">highlighted </w:t>
      </w:r>
      <w:r w:rsidRPr="00961772">
        <w:rPr>
          <w:lang w:val="en-GB"/>
        </w:rPr>
        <w:t>such as</w:t>
      </w:r>
      <w:r>
        <w:rPr>
          <w:lang w:val="en-GB"/>
        </w:rPr>
        <w:t>:</w:t>
      </w:r>
      <w:r w:rsidRPr="00961772">
        <w:rPr>
          <w:lang w:val="en-GB"/>
        </w:rPr>
        <w:t xml:space="preserve"> “plant organ development” (GO:0099402), “external encapsulating structure organization” (GO:0045229), “post-embryonic development” (GO:0009791), “system development” (GO:0048731), “anatomical structure development” (GO:0048856), “multicellular organism development” (GO:0007275), “root development” (GO:0048364), “root system development” (GO:0022622), “developmental process” (GO:0032502), “shoot system development” (GO:0048367), “phyllome development” (GO:0048827), “post-embryonic root development” (GO:0048528), “tissue development” (GO:0009888), “seed development”</w:t>
      </w:r>
      <w:r>
        <w:rPr>
          <w:lang w:val="en-GB"/>
        </w:rPr>
        <w:t xml:space="preserve"> </w:t>
      </w:r>
      <w:r w:rsidRPr="00961772">
        <w:rPr>
          <w:lang w:val="en-GB"/>
        </w:rPr>
        <w:t>(GO:0048316), “primary meristem tissue development” (GO:0010065), “fruit development” (GO:0010154), “phloem or xylem histogenesis” (GO:0010087), “adaxial/abaxial pattern specification” (GO:0009955), “post-embryonic plant organ development”</w:t>
      </w:r>
      <w:r>
        <w:rPr>
          <w:lang w:val="en-GB"/>
        </w:rPr>
        <w:t xml:space="preserve"> </w:t>
      </w:r>
      <w:r w:rsidRPr="00961772">
        <w:rPr>
          <w:lang w:val="en-GB"/>
        </w:rPr>
        <w:t>(GO:0090696), “specification of axis polarity” (GO:0065001), “root morphogenesis” (GO:0010015), “leaf development” (GO:0048366), “lateral root development” (GO:0048527), “meristem development” (GO:0048507), “pattern specification process” (GO:0007389), “meristem growth” (GO:0035266), “seed coat development” (GO:0010214), “embryonic meristem development” (GO:0048508), “cell growth” (GO:0016049), “seed germination” (GO:0009845), “seedling development” (GO:0090351), “mucilage metabolic process involved in seed coat development” (GO:0048359), “post-embryonic plant morphogenesis” (GO:0090698), “growth” (GO:0040007), and “asymmetric cell division” (GO:0008356).</w:t>
      </w:r>
    </w:p>
    <w:p w14:paraId="22D6BCAC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.1.11.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DNA, RNA</w:t>
      </w:r>
      <w:r>
        <w:rPr>
          <w:i/>
          <w:lang w:val="en-GB"/>
        </w:rPr>
        <w:t>, transposons</w:t>
      </w:r>
      <w:r w:rsidRPr="00961772">
        <w:rPr>
          <w:i/>
          <w:lang w:val="en-GB"/>
        </w:rPr>
        <w:t xml:space="preserve"> or transcription.</w:t>
      </w:r>
    </w:p>
    <w:p w14:paraId="2310D685" w14:textId="71677A22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A great number of GO-terms related to nucleotides and transcription regulation were also enriched. Some examples were: “carbon catabolite repression of transcription by glucose” (GO:0045014), “negative regulation of transcription by glucose” (GO:0061986), “regulation of transcription by glucose” (GO:0046015), “adenine transport” (GO:0015853), “guanine transport” (GO:0015854), “‘de novo’ UMP biosynthetic process</w:t>
      </w:r>
      <w:r>
        <w:rPr>
          <w:lang w:val="en-GB"/>
        </w:rPr>
        <w:t>”</w:t>
      </w:r>
      <w:r w:rsidRPr="00961772">
        <w:rPr>
          <w:lang w:val="en-GB"/>
        </w:rPr>
        <w:t xml:space="preserve"> (GO: 0044205), “nucleotide biosynthetic process” (GO:0009165), “nucleotide metabolic process” (GO:0009117), “ribonucleotide biosynthetic process” (GO:0009260), “mRNA binding” (GO:0003729), “nucleotide binding” (GO:000166), “purine ribonucleotide binding” (GO:0032555), “purine nucleotide binding” (GO:0017076) or “ribonucleotide binding”.</w:t>
      </w:r>
    </w:p>
    <w:p w14:paraId="58028375" w14:textId="36709A19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t>Furthermore, two GO-terms were related to DNA replication: “DNA strand elongation” (GO:00226116) and “DNA strand elongation involved in DNA replication” (GO:0006271).</w:t>
      </w:r>
    </w:p>
    <w:p w14:paraId="737A02DB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.1.12.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ribosomes or translation processes</w:t>
      </w:r>
      <w:r>
        <w:rPr>
          <w:i/>
          <w:lang w:val="en-GB"/>
        </w:rPr>
        <w:t>.</w:t>
      </w:r>
    </w:p>
    <w:p w14:paraId="2ACC8638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Some of the</w:t>
      </w:r>
      <w:r>
        <w:rPr>
          <w:lang w:val="en-GB"/>
        </w:rPr>
        <w:t xml:space="preserve"> related</w:t>
      </w:r>
      <w:r w:rsidRPr="00961772">
        <w:rPr>
          <w:lang w:val="en-GB"/>
        </w:rPr>
        <w:t xml:space="preserve"> terms were</w:t>
      </w:r>
      <w:r>
        <w:rPr>
          <w:lang w:val="en-GB"/>
        </w:rPr>
        <w:t>:</w:t>
      </w:r>
      <w:r w:rsidRPr="00961772">
        <w:rPr>
          <w:lang w:val="en-GB"/>
        </w:rPr>
        <w:t xml:space="preserve"> “translation” (GO:0006412), “peptide biosynthetic process” (GO:0043043), “isoleucine metabolic process” (GO:0006549), “isoleucine biosynthetic process” (GO:0009097), “peptide metabolic process” (GO:0006518), “cytoplasmic translation” (GO:0002181), “ribosomal large subunit biogenesis” (GO:0042273), “alpha-amino acid metabolic process</w:t>
      </w:r>
      <w:r>
        <w:rPr>
          <w:lang w:val="en-GB"/>
        </w:rPr>
        <w:t>”</w:t>
      </w:r>
      <w:r w:rsidRPr="00961772">
        <w:rPr>
          <w:lang w:val="en-GB"/>
        </w:rPr>
        <w:t xml:space="preserve"> (GO:1901605), “ribosomal small subunit assembly” (GO:0000028), “ribosome assembly” (GO:0042255), “alpha-amino acid biosynthetic process” (GO:1901607), “cellular amino acid metabolic process” (GO:0006520), “positive regulation of protein polymerization” (GO:0032273), “negative regulation of protein complex disassembly”</w:t>
      </w:r>
      <w:r>
        <w:rPr>
          <w:lang w:val="en-GB"/>
        </w:rPr>
        <w:t xml:space="preserve"> </w:t>
      </w:r>
      <w:r w:rsidRPr="00961772">
        <w:rPr>
          <w:lang w:val="en-GB"/>
        </w:rPr>
        <w:t>(GO:0043242), “cellular amino acid biosynthetic process” (GO:0008652), “ribosomal small subunit biogenesis” (GO:0042274),</w:t>
      </w:r>
      <w:r>
        <w:rPr>
          <w:lang w:val="en-GB"/>
        </w:rPr>
        <w:t xml:space="preserve"> </w:t>
      </w:r>
      <w:r w:rsidRPr="00961772">
        <w:rPr>
          <w:lang w:val="en-GB"/>
        </w:rPr>
        <w:t>“alpha-amino acid catabolic process” (GO:1901606), “structural constituent of ribosome” (GO:0003735) and “molecular transducer activity” (GO:0060089).</w:t>
      </w:r>
    </w:p>
    <w:p w14:paraId="28C283F1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.1.13.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microtubules</w:t>
      </w:r>
      <w:r>
        <w:rPr>
          <w:i/>
          <w:lang w:val="en-GB"/>
        </w:rPr>
        <w:t>.</w:t>
      </w:r>
    </w:p>
    <w:p w14:paraId="494C894C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Enriched GO-terms related to microtubules, actin and cell division were especially abundant. Within them some were: “microtubule-based process” (GO:0007017), “microtubule nucleation” (GO:0007020), “cytoskeleton organization” (GO:0007010), “regulation of microtubule polymerization or depolymerization” (GO:0031110), “cell division” (GO:0051301), “nuclear migration along microfilament” (GO:0031022), “actin filament-based transport” (GO:0099515), “asymmetric cell division” (GO:0008356), “barbed-end actin filament capping” (GO:0051016), “cortical microtubule organization” (GO:0043622), “cytoskeletal protein binding” (GO:0008092), “tubulin binding” (GO:0015631), “microtubule binding” (GO:0008017), “actin binding” (GO:0003779) or “kinase activity” (GO:0003779).</w:t>
      </w:r>
    </w:p>
    <w:p w14:paraId="396E0C0A" w14:textId="77777777" w:rsidR="006A00C1" w:rsidRPr="00961772" w:rsidRDefault="006A00C1" w:rsidP="006A00C1">
      <w:pPr>
        <w:spacing w:before="120" w:after="120" w:line="360" w:lineRule="auto"/>
        <w:jc w:val="both"/>
        <w:rPr>
          <w:u w:val="single"/>
          <w:lang w:val="en-GB"/>
        </w:rPr>
      </w:pPr>
      <w:r>
        <w:rPr>
          <w:u w:val="single"/>
          <w:lang w:val="en-GB"/>
        </w:rPr>
        <w:t>2</w:t>
      </w:r>
      <w:r w:rsidRPr="00961772">
        <w:rPr>
          <w:u w:val="single"/>
          <w:lang w:val="en-GB"/>
        </w:rPr>
        <w:t>.2.</w:t>
      </w:r>
      <w:r>
        <w:rPr>
          <w:u w:val="single"/>
          <w:lang w:val="en-GB"/>
        </w:rPr>
        <w:t xml:space="preserve"> </w:t>
      </w:r>
      <w:r w:rsidRPr="00961772">
        <w:rPr>
          <w:u w:val="single"/>
          <w:lang w:val="en-GB"/>
        </w:rPr>
        <w:t>Under-represented GOs</w:t>
      </w:r>
    </w:p>
    <w:p w14:paraId="4DD0A6DC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t>Inside the under-represented GOs</w:t>
      </w:r>
      <w:r>
        <w:rPr>
          <w:lang w:val="en-GB"/>
        </w:rPr>
        <w:t xml:space="preserve"> of the down-regulated DEGs derived</w:t>
      </w:r>
      <w:r w:rsidRPr="00961772">
        <w:rPr>
          <w:lang w:val="en-GB"/>
        </w:rPr>
        <w:t xml:space="preserve"> after a Fisher’s Exact Test against the whole genome of </w:t>
      </w:r>
      <w:r w:rsidRPr="00961772">
        <w:rPr>
          <w:i/>
          <w:lang w:val="en-GB"/>
        </w:rPr>
        <w:t>C</w:t>
      </w:r>
      <w:r>
        <w:rPr>
          <w:i/>
          <w:lang w:val="en-GB"/>
        </w:rPr>
        <w:t>.</w:t>
      </w:r>
      <w:r w:rsidRPr="00961772">
        <w:rPr>
          <w:i/>
          <w:lang w:val="en-GB"/>
        </w:rPr>
        <w:t xml:space="preserve"> bursa-pastoris</w:t>
      </w:r>
      <w:r w:rsidRPr="00961772">
        <w:rPr>
          <w:lang w:val="en-GB"/>
        </w:rPr>
        <w:t>, the presence of terms related to chromatin remodelling could be highlighted, especially those related to acetylation of histones.</w:t>
      </w:r>
    </w:p>
    <w:p w14:paraId="589E2DD9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.2.1.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 xml:space="preserve">Related to </w:t>
      </w:r>
      <w:r>
        <w:rPr>
          <w:i/>
          <w:lang w:val="en-GB"/>
        </w:rPr>
        <w:t>epigenetic regulation and chromatin remodelling.</w:t>
      </w:r>
    </w:p>
    <w:p w14:paraId="4751B533" w14:textId="57E6676C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t>GO-terms related to protein or histone acetylation modifications such as</w:t>
      </w:r>
      <w:r>
        <w:rPr>
          <w:lang w:val="en-GB"/>
        </w:rPr>
        <w:t>:</w:t>
      </w:r>
      <w:r w:rsidRPr="00961772">
        <w:rPr>
          <w:lang w:val="en-GB"/>
        </w:rPr>
        <w:t xml:space="preserve"> “histone acetylation” (GO:0016573), “peptidyl-lysine acetylation” (GO:0018394), “inter</w:t>
      </w:r>
      <w:r>
        <w:rPr>
          <w:lang w:val="en-GB"/>
        </w:rPr>
        <w:t>n</w:t>
      </w:r>
      <w:r w:rsidRPr="00961772">
        <w:rPr>
          <w:lang w:val="en-GB"/>
        </w:rPr>
        <w:t>al peptidyl-lysine acetylation” (GO:0018393), “chromosome organization” (GO:0051276), “protein-DNA complex assembly” (GO:0065004), “histone modification” (GO:0016570), “peptidyl-lysine modification” (GO</w:t>
      </w:r>
      <w:r>
        <w:rPr>
          <w:lang w:val="en-GB"/>
        </w:rPr>
        <w:t>:</w:t>
      </w:r>
      <w:r w:rsidRPr="00961772">
        <w:rPr>
          <w:lang w:val="en-GB"/>
        </w:rPr>
        <w:t>0018205), “protein-DNA complex subunit organization” (GO:0071824), “protein acetylation” (GO:0006473), “chromatin organization” (GO:0006325), “N-acetyltransferase activity” (GO:0008080), “histone acetyltransferase activity” (GO:0004402) and “peptide-lysine-N-acetyltransferase activity” (GO:0061733) were within the enriched under-represented GO-terms.</w:t>
      </w:r>
    </w:p>
    <w:p w14:paraId="24A1376D" w14:textId="77777777" w:rsidR="006A00C1" w:rsidRPr="00961772" w:rsidRDefault="006A00C1" w:rsidP="006A00C1">
      <w:pPr>
        <w:spacing w:before="120" w:after="120" w:line="360" w:lineRule="auto"/>
        <w:jc w:val="both"/>
        <w:rPr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.2.2.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DNA, RNA or transcription</w:t>
      </w:r>
      <w:r>
        <w:rPr>
          <w:i/>
          <w:lang w:val="en-GB"/>
        </w:rPr>
        <w:t>.</w:t>
      </w:r>
    </w:p>
    <w:p w14:paraId="57D81887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i/>
          <w:lang w:val="en-GB"/>
        </w:rPr>
      </w:pPr>
      <w:r w:rsidRPr="00961772">
        <w:rPr>
          <w:lang w:val="en-GB"/>
        </w:rPr>
        <w:t>Some of the terms were: “transcription by RNA polymerase II” (GO:0006366), “RNA modification” (GO:0009451), “nucleic acid metabolic process” (GO:0090304), “regulation of transcription by RNA polymerase II” (GO:0006357), “RNA metabolic process” (GO:0016070), “RNA splicing” (GO:0008380), “RNA splicing, via transesterification reactions” (GO:0000375), “mRNA metabolic process” (GO:0016071), “mRNA processing” (GO:0006397), “mRNA splicing, via spliceosome” (GO:0000398), “negative regulation of transcription by RNA polymerase II”</w:t>
      </w:r>
      <w:r>
        <w:rPr>
          <w:lang w:val="en-GB"/>
        </w:rPr>
        <w:t xml:space="preserve"> </w:t>
      </w:r>
      <w:r w:rsidRPr="00961772">
        <w:rPr>
          <w:lang w:val="en-GB"/>
        </w:rPr>
        <w:t>(GO:0000122).</w:t>
      </w:r>
    </w:p>
    <w:p w14:paraId="1831DB45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.2.3.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protein modification, localization or transport</w:t>
      </w:r>
      <w:r>
        <w:rPr>
          <w:i/>
          <w:lang w:val="en-GB"/>
        </w:rPr>
        <w:t>.</w:t>
      </w:r>
    </w:p>
    <w:p w14:paraId="4BB5B2F1" w14:textId="00936A7A" w:rsidR="006A00C1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 xml:space="preserve">“Modification-dependent protein catabolic process” (GO:0019941), “intracellular protein transport” (GO:0006886), “establishment of protein localization to organelle” (GO:00725694), “protein transport” (GO:0015031), “protein targeting” (GO:0006605), “establishment of protein localization” (GO:0045184), “cellular protein localization” (GO:0034613), “regulation of proteolysis” (GO:0030162), “protein localization” (GO:0008104), “proteolysis” (GO:0006508) and “protein modification by small protein conjugation or removal” (GO:00700647) were some of the enriched </w:t>
      </w:r>
      <w:r>
        <w:rPr>
          <w:lang w:val="en-GB"/>
        </w:rPr>
        <w:t>under-represented GO-terms.</w:t>
      </w:r>
    </w:p>
    <w:p w14:paraId="32687E66" w14:textId="0042ADDA" w:rsidR="000233FF" w:rsidRDefault="000233FF">
      <w:pPr>
        <w:rPr>
          <w:lang w:val="en-GB"/>
        </w:rPr>
      </w:pPr>
      <w:r>
        <w:rPr>
          <w:lang w:val="en-GB"/>
        </w:rPr>
        <w:br w:type="page"/>
      </w:r>
    </w:p>
    <w:p w14:paraId="204D080E" w14:textId="186EEDDF" w:rsidR="006A00C1" w:rsidRDefault="006A00C1" w:rsidP="006A00C1">
      <w:pPr>
        <w:pStyle w:val="Ttulo4"/>
        <w:spacing w:before="120" w:after="120" w:line="360" w:lineRule="auto"/>
        <w:jc w:val="both"/>
        <w:rPr>
          <w:rStyle w:val="nfasissutil"/>
          <w:lang w:val="en-GB"/>
        </w:rPr>
      </w:pPr>
      <w:r w:rsidRPr="00961772">
        <w:rPr>
          <w:rStyle w:val="nfasissutil"/>
          <w:lang w:val="en-GB"/>
        </w:rPr>
        <w:t>ND valproic acid vs ND water</w:t>
      </w:r>
    </w:p>
    <w:p w14:paraId="72A84520" w14:textId="77777777" w:rsidR="003A01FB" w:rsidRPr="003A01FB" w:rsidRDefault="003A01FB" w:rsidP="003A01FB">
      <w:pPr>
        <w:rPr>
          <w:lang w:val="en-GB"/>
        </w:rPr>
      </w:pPr>
    </w:p>
    <w:p w14:paraId="463AC845" w14:textId="77777777" w:rsidR="006A00C1" w:rsidRPr="00961772" w:rsidRDefault="006A00C1" w:rsidP="006A00C1">
      <w:pPr>
        <w:spacing w:before="120" w:after="120" w:line="360" w:lineRule="auto"/>
        <w:jc w:val="both"/>
        <w:rPr>
          <w:rStyle w:val="Ttulodellibro"/>
          <w:b w:val="0"/>
          <w:bCs w:val="0"/>
          <w:smallCaps w:val="0"/>
          <w:lang w:val="en-GB"/>
        </w:rPr>
      </w:pPr>
      <w:r w:rsidRPr="00961772">
        <w:rPr>
          <w:rStyle w:val="Ttulodellibro"/>
          <w:lang w:val="en-GB"/>
        </w:rPr>
        <w:t>Up-regulated genes</w:t>
      </w:r>
    </w:p>
    <w:p w14:paraId="5821C7F8" w14:textId="3D33F3EF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Functional enrichment analyses were performed on the 110 functionally annotated up-regulated DEGs. As the list of genes with fold-changes higher than 2 is short and Fisher’s Exact Test was done with the conditions of fold change ≤ |1| and FDR &lt; 0.05, examples of genes with lower fold changes will be included in this subsection.</w:t>
      </w:r>
    </w:p>
    <w:p w14:paraId="23016B2F" w14:textId="77777777" w:rsidR="006A00C1" w:rsidRPr="00961772" w:rsidRDefault="006A00C1" w:rsidP="006A00C1">
      <w:pPr>
        <w:spacing w:before="120" w:after="120" w:line="360" w:lineRule="auto"/>
        <w:jc w:val="both"/>
        <w:rPr>
          <w:u w:val="single"/>
          <w:lang w:val="en-GB"/>
        </w:rPr>
      </w:pPr>
      <w:r>
        <w:rPr>
          <w:u w:val="single"/>
          <w:lang w:val="en-GB"/>
        </w:rPr>
        <w:t>1</w:t>
      </w:r>
      <w:r w:rsidRPr="00961772">
        <w:rPr>
          <w:u w:val="single"/>
          <w:lang w:val="en-GB"/>
        </w:rPr>
        <w:t>.1.</w:t>
      </w:r>
      <w:r>
        <w:rPr>
          <w:u w:val="single"/>
          <w:lang w:val="en-GB"/>
        </w:rPr>
        <w:t xml:space="preserve"> </w:t>
      </w:r>
      <w:r w:rsidRPr="00961772">
        <w:rPr>
          <w:u w:val="single"/>
          <w:lang w:val="en-GB"/>
        </w:rPr>
        <w:t>Over-represented GOs</w:t>
      </w:r>
    </w:p>
    <w:p w14:paraId="0879A7BE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.1.1.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cell walls</w:t>
      </w:r>
      <w:r>
        <w:rPr>
          <w:i/>
          <w:lang w:val="en-GB"/>
        </w:rPr>
        <w:t xml:space="preserve"> or mobilization of storage reserves.</w:t>
      </w:r>
    </w:p>
    <w:p w14:paraId="3E24EA4E" w14:textId="19561F85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Enriched GO-terms like “cell junction” (GO:0030054), “cell-cell junction” (GO:0005911) and “plasmodesma” (GO:0009506) were within the list of GOs, which are specifically implicated in communication between cells.</w:t>
      </w:r>
    </w:p>
    <w:p w14:paraId="293D9AB6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.1.2.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protein transport or localization</w:t>
      </w:r>
      <w:r>
        <w:rPr>
          <w:i/>
          <w:lang w:val="en-GB"/>
        </w:rPr>
        <w:t>.</w:t>
      </w:r>
    </w:p>
    <w:p w14:paraId="3B6512EE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list of GO-terms was especially enriched in terms related to protein transport and localization, including the terms</w:t>
      </w:r>
      <w:r>
        <w:rPr>
          <w:lang w:val="en-GB"/>
        </w:rPr>
        <w:t>:</w:t>
      </w:r>
      <w:r w:rsidRPr="00961772">
        <w:rPr>
          <w:lang w:val="en-GB"/>
        </w:rPr>
        <w:t xml:space="preserve"> “protein localization to Golgi apparatus” (GO:0034067), “protein targeting to vacuole” (GO:0006623), “establishment of protein localization to vacuole” (GO:0072666), “cellular localization” (GO:0051641), “establishment of localization” (GO:0051234), “maintenance of protein location in cell” (GO:0032507), “protein localization to organelle” (GO:0033365), “regulation of vacuolar transport” (GO:1903335), “protein localization to cortical microtubule cytoskeleton” (GO:0072699) or “protein localization to cell cortex” (GO:0072697) within others.</w:t>
      </w:r>
    </w:p>
    <w:p w14:paraId="5ECFE7D0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</w:t>
      </w:r>
      <w:r>
        <w:rPr>
          <w:i/>
          <w:lang w:val="en-GB"/>
        </w:rPr>
        <w:t>3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flowering, reproduction or photoperiodism</w:t>
      </w:r>
      <w:r>
        <w:rPr>
          <w:i/>
          <w:lang w:val="en-GB"/>
        </w:rPr>
        <w:t>.</w:t>
      </w:r>
    </w:p>
    <w:p w14:paraId="68FD1005" w14:textId="678FBB60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>
        <w:rPr>
          <w:lang w:val="en-GB"/>
        </w:rPr>
        <w:t>T</w:t>
      </w:r>
      <w:r w:rsidRPr="00961772">
        <w:rPr>
          <w:lang w:val="en-GB"/>
        </w:rPr>
        <w:t>he GO-terms “reproductive system development” (GO:0061458), “reproductive structure development” (GO:0048608), “vegetative to reproductive phase transition of meristem” (GO:0010228) and “developmental process involved in reproduction” (GO:0003006)</w:t>
      </w:r>
      <w:r>
        <w:rPr>
          <w:lang w:val="en-GB"/>
        </w:rPr>
        <w:t xml:space="preserve"> could be found</w:t>
      </w:r>
      <w:r w:rsidRPr="00961772">
        <w:rPr>
          <w:lang w:val="en-GB"/>
        </w:rPr>
        <w:t xml:space="preserve"> within the enriched terms.</w:t>
      </w:r>
    </w:p>
    <w:p w14:paraId="4F5C7A84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</w:t>
      </w:r>
      <w:r>
        <w:rPr>
          <w:i/>
          <w:lang w:val="en-GB"/>
        </w:rPr>
        <w:t>4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phytohormones</w:t>
      </w:r>
      <w:r>
        <w:rPr>
          <w:i/>
          <w:lang w:val="en-GB"/>
        </w:rPr>
        <w:t>.</w:t>
      </w:r>
    </w:p>
    <w:p w14:paraId="29D4E69B" w14:textId="23C37211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Only the terms “(+)- abscisic acid D-glucopyranosyl ester transmembrane transport activity” (GO:1902417) and “(+)- abscisic acid D-glucopyranosyl ester transmembrane transport”</w:t>
      </w:r>
      <w:r>
        <w:rPr>
          <w:lang w:val="en-GB"/>
        </w:rPr>
        <w:t xml:space="preserve"> </w:t>
      </w:r>
      <w:r w:rsidRPr="00961772">
        <w:rPr>
          <w:lang w:val="en-GB"/>
        </w:rPr>
        <w:t>(GO:1902418) were related to hormones.</w:t>
      </w:r>
    </w:p>
    <w:p w14:paraId="679F9B2D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</w:t>
      </w:r>
      <w:r>
        <w:rPr>
          <w:i/>
          <w:lang w:val="en-GB"/>
        </w:rPr>
        <w:t>5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DNA, RNA or transcription</w:t>
      </w:r>
      <w:r>
        <w:rPr>
          <w:i/>
          <w:lang w:val="en-GB"/>
        </w:rPr>
        <w:t>.</w:t>
      </w:r>
    </w:p>
    <w:p w14:paraId="71110980" w14:textId="62B6F3E5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terms “spliceosome conformational change to release U4 (or U4atac) and U1 (or U11)” (GO:0000388) and “regulation of intracellular mRNA localization” (GO:1904580) could be found in the enriched list.</w:t>
      </w:r>
    </w:p>
    <w:p w14:paraId="35A672E1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1</w:t>
      </w:r>
      <w:r w:rsidRPr="00961772">
        <w:rPr>
          <w:i/>
          <w:lang w:val="en-GB"/>
        </w:rPr>
        <w:t>.1.</w:t>
      </w:r>
      <w:r>
        <w:rPr>
          <w:i/>
          <w:lang w:val="en-GB"/>
        </w:rPr>
        <w:t>6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epigenetic regulation, chromatin remodelling or cell cycle control</w:t>
      </w:r>
      <w:r>
        <w:rPr>
          <w:i/>
          <w:lang w:val="en-GB"/>
        </w:rPr>
        <w:t>.</w:t>
      </w:r>
    </w:p>
    <w:p w14:paraId="4D91F37C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GO-terms “chromatin organization” (GO:0006325), “NuA4 histone acetyltransferase complex” (GO:0035267), “H4/H2A histone acetyltransferase complex” (GO:0043189), “SAGA complex” (GO:0000124), “H4 histone acetyltransferase complex” (GO:1902562) and “SAGA-type compl</w:t>
      </w:r>
      <w:r>
        <w:rPr>
          <w:lang w:val="en-GB"/>
        </w:rPr>
        <w:t>ex” (GO:0070461) were enriched.</w:t>
      </w:r>
    </w:p>
    <w:p w14:paraId="15E6ABE3" w14:textId="77777777" w:rsidR="006A00C1" w:rsidRPr="00961772" w:rsidRDefault="006A00C1" w:rsidP="006A00C1">
      <w:pPr>
        <w:spacing w:before="120" w:after="120" w:line="360" w:lineRule="auto"/>
        <w:jc w:val="both"/>
        <w:rPr>
          <w:u w:val="single"/>
          <w:lang w:val="en-GB"/>
        </w:rPr>
      </w:pPr>
      <w:r>
        <w:rPr>
          <w:u w:val="single"/>
          <w:lang w:val="en-GB"/>
        </w:rPr>
        <w:t>1</w:t>
      </w:r>
      <w:r w:rsidRPr="00961772">
        <w:rPr>
          <w:u w:val="single"/>
          <w:lang w:val="en-GB"/>
        </w:rPr>
        <w:t>.2.</w:t>
      </w:r>
      <w:r>
        <w:rPr>
          <w:u w:val="single"/>
          <w:lang w:val="en-GB"/>
        </w:rPr>
        <w:t xml:space="preserve"> </w:t>
      </w:r>
      <w:r w:rsidRPr="00961772">
        <w:rPr>
          <w:u w:val="single"/>
          <w:lang w:val="en-GB"/>
        </w:rPr>
        <w:t>Under-respresented GOs</w:t>
      </w:r>
    </w:p>
    <w:p w14:paraId="4D5CEFAB" w14:textId="5E85662D" w:rsidR="006A00C1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There were no under-represented GOs after a Fisher’s</w:t>
      </w:r>
      <w:r>
        <w:rPr>
          <w:lang w:val="en-GB"/>
        </w:rPr>
        <w:t xml:space="preserve"> Exact Test with a FDR &lt; 0.05.</w:t>
      </w:r>
    </w:p>
    <w:p w14:paraId="3EADB89F" w14:textId="77777777" w:rsidR="00AB2043" w:rsidRDefault="00AB2043" w:rsidP="006A00C1">
      <w:pPr>
        <w:spacing w:before="120" w:after="120" w:line="360" w:lineRule="auto"/>
        <w:ind w:firstLine="709"/>
        <w:jc w:val="both"/>
        <w:rPr>
          <w:lang w:val="en-GB"/>
        </w:rPr>
      </w:pPr>
    </w:p>
    <w:p w14:paraId="5344B351" w14:textId="77777777" w:rsidR="006A00C1" w:rsidRPr="00961772" w:rsidRDefault="006A00C1" w:rsidP="006A00C1">
      <w:pPr>
        <w:spacing w:before="120" w:after="120" w:line="360" w:lineRule="auto"/>
        <w:jc w:val="both"/>
        <w:rPr>
          <w:rStyle w:val="Ttulodellibro"/>
          <w:lang w:val="en-GB"/>
        </w:rPr>
      </w:pPr>
      <w:r w:rsidRPr="00961772">
        <w:rPr>
          <w:rStyle w:val="Ttulodellibro"/>
          <w:lang w:val="en-GB"/>
        </w:rPr>
        <w:t>Down-regulated genes</w:t>
      </w:r>
    </w:p>
    <w:p w14:paraId="0DA01C3F" w14:textId="6971E1BD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Functional enrichment of GO-terms analyses was performed on the 244 functionally annotated down-regulated DEGs from the comparison of the non-deep dormant accession (-799) imbibed in valproic acid vs i</w:t>
      </w:r>
      <w:r>
        <w:rPr>
          <w:lang w:val="en-GB"/>
        </w:rPr>
        <w:t>mbibed in water, both for 3 d</w:t>
      </w:r>
      <w:r w:rsidRPr="00961772">
        <w:rPr>
          <w:lang w:val="en-GB"/>
        </w:rPr>
        <w:t xml:space="preserve"> at 30 °C in darkness.</w:t>
      </w:r>
    </w:p>
    <w:p w14:paraId="52684CFD" w14:textId="77777777" w:rsidR="006A00C1" w:rsidRPr="00961772" w:rsidRDefault="006A00C1" w:rsidP="006A00C1">
      <w:pPr>
        <w:spacing w:before="120" w:after="120" w:line="360" w:lineRule="auto"/>
        <w:jc w:val="both"/>
        <w:rPr>
          <w:u w:val="single"/>
          <w:lang w:val="en-GB"/>
        </w:rPr>
      </w:pPr>
      <w:r>
        <w:rPr>
          <w:u w:val="single"/>
          <w:lang w:val="en-GB"/>
        </w:rPr>
        <w:t>2</w:t>
      </w:r>
      <w:r w:rsidRPr="00961772">
        <w:rPr>
          <w:u w:val="single"/>
          <w:lang w:val="en-GB"/>
        </w:rPr>
        <w:t>.1.</w:t>
      </w:r>
      <w:r>
        <w:rPr>
          <w:u w:val="single"/>
          <w:lang w:val="en-GB"/>
        </w:rPr>
        <w:t xml:space="preserve"> </w:t>
      </w:r>
      <w:r w:rsidRPr="00961772">
        <w:rPr>
          <w:u w:val="single"/>
          <w:lang w:val="en-GB"/>
        </w:rPr>
        <w:t>Over-represented GOs</w:t>
      </w:r>
    </w:p>
    <w:p w14:paraId="065E7748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.1.1.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cell walls</w:t>
      </w:r>
      <w:r>
        <w:rPr>
          <w:i/>
          <w:lang w:val="en-GB"/>
        </w:rPr>
        <w:t xml:space="preserve"> or mobilization of storage reserves.</w:t>
      </w:r>
    </w:p>
    <w:p w14:paraId="7112B1D0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GO-terms related to these processes were especially enriched, finding terms such as</w:t>
      </w:r>
      <w:r>
        <w:rPr>
          <w:lang w:val="en-GB"/>
        </w:rPr>
        <w:t>:</w:t>
      </w:r>
      <w:r w:rsidRPr="00961772">
        <w:rPr>
          <w:lang w:val="en-GB"/>
        </w:rPr>
        <w:t xml:space="preserve"> “cell wall organization or biogenesis” (GO:0071554), “hemicellulose metabolic process” (GO:0010410), “xyloglucan metabolic process” (GO:0010411), “cell wall polysaccharide metabolic process” (GO:0010383), “cellular polysaccharide metabolic process” (GO:0044264), “carbohydrate metabolic process” (GO:0005975), “plant-type cell wall organization or biogenesis” (GO:0071669), “glucan metabolic process” (GO:0044042), “cell wall modification” (GO:0042545), “oligosaccharide metabolic process” (GO:0009311) or “defence response by callose deposition in cell wall” (GO:0052544).</w:t>
      </w:r>
    </w:p>
    <w:p w14:paraId="27AD7A18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2.1.2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transmembrane transport and ion or water transport</w:t>
      </w:r>
      <w:r>
        <w:rPr>
          <w:i/>
          <w:lang w:val="en-GB"/>
        </w:rPr>
        <w:t>.</w:t>
      </w:r>
    </w:p>
    <w:p w14:paraId="4531C442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term “passive transmembrane transport activity” (GO:0022803) was within the enriched GO-terms, as others related to these processes such as “cellular detoxification” (GO:1990748), “detoxification” (GO:0098754) or “inorganic molecular entity transmembrane transport activity” (GO:0015318).</w:t>
      </w:r>
    </w:p>
    <w:p w14:paraId="2142F424" w14:textId="7D87CA6C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Besides, a great amount of enriched GO-terms were related to ions, including their transport or responses to them, such as</w:t>
      </w:r>
      <w:r>
        <w:rPr>
          <w:lang w:val="en-GB"/>
        </w:rPr>
        <w:t>:</w:t>
      </w:r>
      <w:r w:rsidRPr="00961772">
        <w:rPr>
          <w:lang w:val="en-GB"/>
        </w:rPr>
        <w:t xml:space="preserve"> “response to metal ion” (GO:0010038), “response to cadmium ion” (GO:0046686), “cellular response to calcium ion starvation” (GO:0072732), “response to zinc ion” (GO:0010043), “methylammonium transmembrane transport” (GO:0072489), “metal ion binding” (GO:0046872), “cation binding” (GO:0043169), “copper ion binding” (GO:0005507), “iron ion binding” (GO:0005506) or “ion binding” (GO:0043167).</w:t>
      </w:r>
    </w:p>
    <w:p w14:paraId="209CCC97" w14:textId="50DB7723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Furthermore, other terms were related to water, including</w:t>
      </w:r>
      <w:r>
        <w:rPr>
          <w:lang w:val="en-GB"/>
        </w:rPr>
        <w:t>:</w:t>
      </w:r>
      <w:r w:rsidRPr="00961772">
        <w:rPr>
          <w:lang w:val="en-GB"/>
        </w:rPr>
        <w:t xml:space="preserve"> “fluid transport” (GO:0042044), “water transport” (GO:0006833), “response to osmotic stress” (GO:0006970), “cellular response to desiccation” (GO:0071465), “channel activity” (GO:0015267), “water transmembrane transporter activity” (GO:0005372) and “water channel activity” (GO:0015250).</w:t>
      </w:r>
    </w:p>
    <w:p w14:paraId="3A618995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</w:t>
      </w:r>
      <w:r>
        <w:rPr>
          <w:i/>
          <w:lang w:val="en-GB"/>
        </w:rPr>
        <w:t>3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oxidati</w:t>
      </w:r>
      <w:r>
        <w:rPr>
          <w:i/>
          <w:lang w:val="en-GB"/>
        </w:rPr>
        <w:t>on</w:t>
      </w:r>
      <w:r w:rsidRPr="00961772">
        <w:rPr>
          <w:i/>
          <w:lang w:val="en-GB"/>
        </w:rPr>
        <w:t>-reduction processes or ROS species</w:t>
      </w:r>
      <w:r>
        <w:rPr>
          <w:i/>
          <w:lang w:val="en-GB"/>
        </w:rPr>
        <w:t>.</w:t>
      </w:r>
    </w:p>
    <w:p w14:paraId="4AE7F2F8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A high enrichment of GO-terms related to oxidati</w:t>
      </w:r>
      <w:r>
        <w:rPr>
          <w:lang w:val="en-GB"/>
        </w:rPr>
        <w:t>on</w:t>
      </w:r>
      <w:r w:rsidRPr="00961772">
        <w:rPr>
          <w:lang w:val="en-GB"/>
        </w:rPr>
        <w:t>-reduction processes was found, including terms such as</w:t>
      </w:r>
      <w:r>
        <w:rPr>
          <w:lang w:val="en-GB"/>
        </w:rPr>
        <w:t>:</w:t>
      </w:r>
      <w:r w:rsidRPr="00961772">
        <w:rPr>
          <w:lang w:val="en-GB"/>
        </w:rPr>
        <w:t xml:space="preserve"> “oxidation-reduction process” (GO:0055114), “oxidoreductase activity” (GO:0016491), “peroxidase activity” (GO:0004601), “hydrogen peroxide catabolic process” (GO:0042743), “response to oxidative stress” (GO:0006979), “cellular oxidant detoxification” (GO:0098869), “antioxidant activity” (GO:0016209), “monooxygenase activity” (GO:0004497), “reactive oxygen species metabolic process” (GO:0072593), “hydrogen peroxide transmembrane transport” (GO:0080170) or “response to oxygen-containing compound” (GO:0008216).</w:t>
      </w:r>
    </w:p>
    <w:p w14:paraId="035B6999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</w:t>
      </w:r>
      <w:r>
        <w:rPr>
          <w:i/>
          <w:lang w:val="en-GB"/>
        </w:rPr>
        <w:t>4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phytohormones</w:t>
      </w:r>
      <w:r>
        <w:rPr>
          <w:i/>
          <w:lang w:val="en-GB"/>
        </w:rPr>
        <w:t>.</w:t>
      </w:r>
    </w:p>
    <w:p w14:paraId="64EEBA71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Some of the terms from the list of enriched GOs were related to hormones, such as</w:t>
      </w:r>
      <w:r>
        <w:rPr>
          <w:lang w:val="en-GB"/>
        </w:rPr>
        <w:t>:</w:t>
      </w:r>
      <w:r w:rsidRPr="00961772">
        <w:rPr>
          <w:lang w:val="en-GB"/>
        </w:rPr>
        <w:t xml:space="preserve"> “response to hormone” (GO:0009725), “response to cytokinin” (GO:0009735), “indoleacetic acid biosynthesis process” (GO:0009684) or “indoleacetic acid metabolic process” (GO:0009683).</w:t>
      </w:r>
    </w:p>
    <w:p w14:paraId="2916049A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</w:t>
      </w:r>
      <w:r>
        <w:rPr>
          <w:i/>
          <w:lang w:val="en-GB"/>
        </w:rPr>
        <w:t>5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responses to stimul</w:t>
      </w:r>
      <w:r>
        <w:rPr>
          <w:i/>
          <w:lang w:val="en-GB"/>
        </w:rPr>
        <w:t>i</w:t>
      </w:r>
      <w:r w:rsidRPr="00961772">
        <w:rPr>
          <w:i/>
          <w:lang w:val="en-GB"/>
        </w:rPr>
        <w:t xml:space="preserve"> or stress</w:t>
      </w:r>
      <w:r>
        <w:rPr>
          <w:i/>
          <w:lang w:val="en-GB"/>
        </w:rPr>
        <w:t>.</w:t>
      </w:r>
    </w:p>
    <w:p w14:paraId="4CBB4277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A high number of enriched GO-terms were related to responses to different stimul</w:t>
      </w:r>
      <w:r>
        <w:rPr>
          <w:lang w:val="en-GB"/>
        </w:rPr>
        <w:t>i</w:t>
      </w:r>
      <w:r w:rsidRPr="00961772">
        <w:rPr>
          <w:lang w:val="en-GB"/>
        </w:rPr>
        <w:t xml:space="preserve"> or stresses, including terms such as</w:t>
      </w:r>
      <w:r>
        <w:rPr>
          <w:lang w:val="en-GB"/>
        </w:rPr>
        <w:t>:</w:t>
      </w:r>
      <w:r w:rsidRPr="00961772">
        <w:rPr>
          <w:lang w:val="en-GB"/>
        </w:rPr>
        <w:t xml:space="preserve"> “response to stress” (GO:0006950), “response to chemical” (GO:0042221), “response to stimulus” (GO:0050896), “response to external stimulus” (GO:0009605), “response to biotic stimulus” (GO:0009607), “response to abiotic stimulus” (GO:0009628), “response to inorganic substance” (GO:0010035), “response to cold” (GO:0009409), “response to salt stress” (GO:0009651), “response to temperature stimulus” (GO:0009266), “response to endogenous stimulus” (GO:0009719) or “response to sodium phosphate” (GO:1904383).</w:t>
      </w:r>
    </w:p>
    <w:p w14:paraId="3F23D265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</w:t>
      </w:r>
      <w:r>
        <w:rPr>
          <w:i/>
          <w:lang w:val="en-GB"/>
        </w:rPr>
        <w:t>6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nitrate</w:t>
      </w:r>
      <w:r>
        <w:rPr>
          <w:i/>
          <w:lang w:val="en-GB"/>
        </w:rPr>
        <w:t>.</w:t>
      </w:r>
    </w:p>
    <w:p w14:paraId="5C4B37C5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There were four GO-terms related to reduction activities of nitrate, including terms such as</w:t>
      </w:r>
      <w:r>
        <w:rPr>
          <w:lang w:val="en-GB"/>
        </w:rPr>
        <w:t>:</w:t>
      </w:r>
      <w:r w:rsidRPr="00961772">
        <w:rPr>
          <w:lang w:val="en-GB"/>
        </w:rPr>
        <w:t xml:space="preserve"> “nitrate reductase (NADPH) activity”</w:t>
      </w:r>
      <w:r>
        <w:rPr>
          <w:lang w:val="en-GB"/>
        </w:rPr>
        <w:t xml:space="preserve"> </w:t>
      </w:r>
      <w:r w:rsidRPr="00961772">
        <w:rPr>
          <w:lang w:val="en-GB"/>
        </w:rPr>
        <w:t>(GO:0050464), “nitrate reductase [NAD(P)H] activity</w:t>
      </w:r>
      <w:r>
        <w:rPr>
          <w:lang w:val="en-GB"/>
        </w:rPr>
        <w:t>”</w:t>
      </w:r>
      <w:r w:rsidRPr="00961772">
        <w:rPr>
          <w:lang w:val="en-GB"/>
        </w:rPr>
        <w:t xml:space="preserve"> (GO:0050463), “nitrate reductase (NADH) activity”</w:t>
      </w:r>
      <w:r>
        <w:rPr>
          <w:lang w:val="en-GB"/>
        </w:rPr>
        <w:t xml:space="preserve"> </w:t>
      </w:r>
      <w:r w:rsidRPr="00961772">
        <w:rPr>
          <w:lang w:val="en-GB"/>
        </w:rPr>
        <w:t>(GO:0009703) and “nitrate reductase activity”</w:t>
      </w:r>
      <w:r>
        <w:rPr>
          <w:lang w:val="en-GB"/>
        </w:rPr>
        <w:t xml:space="preserve"> </w:t>
      </w:r>
      <w:r w:rsidRPr="00961772">
        <w:rPr>
          <w:lang w:val="en-GB"/>
        </w:rPr>
        <w:t>(GO:0008940).</w:t>
      </w:r>
    </w:p>
    <w:p w14:paraId="4B49D932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.1.</w:t>
      </w:r>
      <w:r>
        <w:rPr>
          <w:i/>
          <w:lang w:val="en-GB"/>
        </w:rPr>
        <w:t>7</w:t>
      </w:r>
      <w:r w:rsidRPr="00961772">
        <w:rPr>
          <w:i/>
          <w:lang w:val="en-GB"/>
        </w:rPr>
        <w:t>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amino acids</w:t>
      </w:r>
      <w:r>
        <w:rPr>
          <w:i/>
          <w:lang w:val="en-GB"/>
        </w:rPr>
        <w:t>.</w:t>
      </w:r>
    </w:p>
    <w:p w14:paraId="6B1E244F" w14:textId="6C7008D5" w:rsidR="006A00C1" w:rsidRPr="00237B36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Four enriched GO-terms were related to catabolic processes of amino acids, including: “cellular amino acid catabolic process”</w:t>
      </w:r>
      <w:r>
        <w:rPr>
          <w:lang w:val="en-GB"/>
        </w:rPr>
        <w:t xml:space="preserve"> </w:t>
      </w:r>
      <w:r w:rsidRPr="00961772">
        <w:rPr>
          <w:lang w:val="en-GB"/>
        </w:rPr>
        <w:t>(GO:0009063), “alpha-amino acid catabolic process” (GO:1901606), “glutamine amino acid catabolic process”</w:t>
      </w:r>
      <w:r>
        <w:rPr>
          <w:lang w:val="en-GB"/>
        </w:rPr>
        <w:t xml:space="preserve"> </w:t>
      </w:r>
      <w:r w:rsidRPr="00961772">
        <w:rPr>
          <w:lang w:val="en-GB"/>
        </w:rPr>
        <w:t>(GO:0009065) and “tryptophan catabolic process”</w:t>
      </w:r>
      <w:r>
        <w:rPr>
          <w:lang w:val="en-GB"/>
        </w:rPr>
        <w:t xml:space="preserve"> </w:t>
      </w:r>
      <w:r w:rsidRPr="00961772">
        <w:rPr>
          <w:lang w:val="en-GB"/>
        </w:rPr>
        <w:t>(GO:0006569).</w:t>
      </w:r>
    </w:p>
    <w:p w14:paraId="1F022A5F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u w:val="single"/>
          <w:lang w:val="en-GB"/>
        </w:rPr>
        <w:t>2</w:t>
      </w:r>
      <w:r w:rsidRPr="00961772">
        <w:rPr>
          <w:u w:val="single"/>
          <w:lang w:val="en-GB"/>
        </w:rPr>
        <w:t>.2.</w:t>
      </w:r>
      <w:r>
        <w:rPr>
          <w:u w:val="single"/>
          <w:lang w:val="en-GB"/>
        </w:rPr>
        <w:t xml:space="preserve"> </w:t>
      </w:r>
      <w:r w:rsidRPr="00961772">
        <w:rPr>
          <w:u w:val="single"/>
          <w:lang w:val="en-GB"/>
        </w:rPr>
        <w:t>Under-respresented GOs</w:t>
      </w:r>
    </w:p>
    <w:p w14:paraId="31202F97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.2.1.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protein transport or localization</w:t>
      </w:r>
      <w:r>
        <w:rPr>
          <w:i/>
          <w:lang w:val="en-GB"/>
        </w:rPr>
        <w:t>.</w:t>
      </w:r>
    </w:p>
    <w:p w14:paraId="3ACE8CB9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Some examples of GO-terms related to these processe</w:t>
      </w:r>
      <w:r>
        <w:rPr>
          <w:lang w:val="en-GB"/>
        </w:rPr>
        <w:t xml:space="preserve">s were: “protein localization” </w:t>
      </w:r>
      <w:r w:rsidRPr="00961772">
        <w:rPr>
          <w:lang w:val="en-GB"/>
        </w:rPr>
        <w:t>(GO:0008104), “protein transport” (GO:0015031), “establis</w:t>
      </w:r>
      <w:r>
        <w:rPr>
          <w:lang w:val="en-GB"/>
        </w:rPr>
        <w:t xml:space="preserve">hment of protein localization” </w:t>
      </w:r>
      <w:r w:rsidRPr="00961772">
        <w:rPr>
          <w:lang w:val="en-GB"/>
        </w:rPr>
        <w:t>(GO:0045184), “cellular protein localization” (GO:0034613), “peptide transport” (GO:0015833) or “intracellular protein transport” (GO:0006886).</w:t>
      </w:r>
    </w:p>
    <w:p w14:paraId="20F95905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.2.2.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protein modification or catabolic processes</w:t>
      </w:r>
      <w:r>
        <w:rPr>
          <w:i/>
          <w:lang w:val="en-GB"/>
        </w:rPr>
        <w:t>.</w:t>
      </w:r>
    </w:p>
    <w:p w14:paraId="18D8D70E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 xml:space="preserve">Enriched GO-terms found were, </w:t>
      </w:r>
      <w:r>
        <w:rPr>
          <w:lang w:val="en-GB"/>
        </w:rPr>
        <w:t>amongst</w:t>
      </w:r>
      <w:r w:rsidRPr="00961772">
        <w:rPr>
          <w:lang w:val="en-GB"/>
        </w:rPr>
        <w:t xml:space="preserve"> others</w:t>
      </w:r>
      <w:r>
        <w:rPr>
          <w:lang w:val="en-GB"/>
        </w:rPr>
        <w:t>:</w:t>
      </w:r>
      <w:r w:rsidRPr="00961772">
        <w:rPr>
          <w:lang w:val="en-GB"/>
        </w:rPr>
        <w:t xml:space="preserve"> “catalytic activity, acting on a protein” (GO:0140096), “protein metabolic process” (GO:0019538), “cellular protein modification process” (GO:0006464), “protein modification process” (GO:0036211) or “cellular protein metabolic process” (GO:0044267).</w:t>
      </w:r>
    </w:p>
    <w:p w14:paraId="51BEFD71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.2.3.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DNA, RNA or transcription</w:t>
      </w:r>
      <w:r>
        <w:rPr>
          <w:i/>
          <w:lang w:val="en-GB"/>
        </w:rPr>
        <w:t>.</w:t>
      </w:r>
    </w:p>
    <w:p w14:paraId="270DAB39" w14:textId="77777777" w:rsidR="006A00C1" w:rsidRPr="00961772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under-represented list of GO-terms was enriched in terms related to nucleic acids or transcription, such as: “nucleobase-containing compound metabolic process” (GO:0006139), “nucleic acid metabolic process” (GO:0090304), “DNA metabolic process” (GO:0006259), “RNA metabolic process” (GO:0016070), “RNA biosynthetic process” (GO:0032774), “nucleic acid binding” (GO:0003676), “DNA binding” (GO:0003677), “nuclease activity” (GO:0004518), “endonuclease activity” (GO:0004519), “gene expression” (GO:0010467), “regulation of gene expression” (GO:0010468), “nucleic acid-templated transcription” (GO:0097659) and “transcription, DNA-templated” (GO:0006351).</w:t>
      </w:r>
    </w:p>
    <w:p w14:paraId="526E7502" w14:textId="77777777" w:rsidR="006A00C1" w:rsidRPr="00961772" w:rsidRDefault="006A00C1" w:rsidP="006A00C1">
      <w:pPr>
        <w:spacing w:before="120" w:after="120" w:line="360" w:lineRule="auto"/>
        <w:jc w:val="both"/>
        <w:rPr>
          <w:i/>
          <w:lang w:val="en-GB"/>
        </w:rPr>
      </w:pPr>
      <w:r>
        <w:rPr>
          <w:i/>
          <w:lang w:val="en-GB"/>
        </w:rPr>
        <w:t>2</w:t>
      </w:r>
      <w:r w:rsidRPr="00961772">
        <w:rPr>
          <w:i/>
          <w:lang w:val="en-GB"/>
        </w:rPr>
        <w:t>.2.4.</w:t>
      </w:r>
      <w:r>
        <w:rPr>
          <w:i/>
          <w:lang w:val="en-GB"/>
        </w:rPr>
        <w:t xml:space="preserve"> </w:t>
      </w:r>
      <w:r w:rsidRPr="00961772">
        <w:rPr>
          <w:i/>
          <w:lang w:val="en-GB"/>
        </w:rPr>
        <w:t>Related to epigenetic regulation, chromatin remodelling or cell cycle</w:t>
      </w:r>
      <w:r>
        <w:rPr>
          <w:i/>
          <w:lang w:val="en-GB"/>
        </w:rPr>
        <w:t>.</w:t>
      </w:r>
    </w:p>
    <w:p w14:paraId="728BBC9E" w14:textId="77777777" w:rsidR="006A00C1" w:rsidRDefault="006A00C1" w:rsidP="006A00C1">
      <w:pPr>
        <w:spacing w:before="120" w:after="120" w:line="360" w:lineRule="auto"/>
        <w:ind w:firstLine="709"/>
        <w:jc w:val="both"/>
        <w:rPr>
          <w:lang w:val="en-GB"/>
        </w:rPr>
      </w:pPr>
      <w:r w:rsidRPr="00961772">
        <w:rPr>
          <w:lang w:val="en-GB"/>
        </w:rPr>
        <w:t>The GO-terms “chromosome organization” (GO:0051276) and “cell cycle process” (GO:0022402) were enriched with</w:t>
      </w:r>
      <w:r>
        <w:rPr>
          <w:lang w:val="en-GB"/>
        </w:rPr>
        <w:t>in the under-represented terms.</w:t>
      </w:r>
    </w:p>
    <w:sectPr w:rsidR="006A00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E34AD"/>
    <w:multiLevelType w:val="hybridMultilevel"/>
    <w:tmpl w:val="2CB81EBA"/>
    <w:lvl w:ilvl="0" w:tplc="971A66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31FB5"/>
    <w:multiLevelType w:val="hybridMultilevel"/>
    <w:tmpl w:val="423A071E"/>
    <w:lvl w:ilvl="0" w:tplc="971A66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5A67DC"/>
    <w:multiLevelType w:val="hybridMultilevel"/>
    <w:tmpl w:val="41C809F8"/>
    <w:lvl w:ilvl="0" w:tplc="971A66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21F7DF2"/>
    <w:multiLevelType w:val="hybridMultilevel"/>
    <w:tmpl w:val="E9CCE508"/>
    <w:lvl w:ilvl="0" w:tplc="971A66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70B62E9"/>
    <w:multiLevelType w:val="hybridMultilevel"/>
    <w:tmpl w:val="E06C11DA"/>
    <w:lvl w:ilvl="0" w:tplc="971A6692">
      <w:start w:val="1"/>
      <w:numFmt w:val="bullet"/>
      <w:lvlText w:val=""/>
      <w:lvlJc w:val="left"/>
      <w:pPr>
        <w:ind w:left="708" w:hanging="360"/>
      </w:pPr>
      <w:rPr>
        <w:rFonts w:ascii="Symbol" w:hAnsi="Symbol" w:cs="Symbol" w:hint="default"/>
      </w:rPr>
    </w:lvl>
    <w:lvl w:ilvl="1" w:tplc="2E167B30">
      <w:numFmt w:val="bullet"/>
      <w:lvlText w:val="-"/>
      <w:lvlJc w:val="left"/>
      <w:pPr>
        <w:ind w:left="1428" w:hanging="360"/>
      </w:pPr>
      <w:rPr>
        <w:rFonts w:ascii="Cambria" w:eastAsiaTheme="minorHAnsi" w:hAnsi="Cambria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040732"/>
    <w:multiLevelType w:val="hybridMultilevel"/>
    <w:tmpl w:val="423A071E"/>
    <w:lvl w:ilvl="0" w:tplc="971A66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B10911"/>
    <w:multiLevelType w:val="multilevel"/>
    <w:tmpl w:val="2A8813C6"/>
    <w:lvl w:ilvl="0">
      <w:start w:val="1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7" w:hanging="367"/>
      </w:pPr>
      <w:rPr>
        <w:rFonts w:hint="default"/>
        <w:i w:val="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5F50341"/>
    <w:multiLevelType w:val="hybridMultilevel"/>
    <w:tmpl w:val="EB7489FA"/>
    <w:lvl w:ilvl="0" w:tplc="971A66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6975084"/>
    <w:multiLevelType w:val="hybridMultilevel"/>
    <w:tmpl w:val="F58A44B4"/>
    <w:lvl w:ilvl="0" w:tplc="971A66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D2F4591"/>
    <w:multiLevelType w:val="hybridMultilevel"/>
    <w:tmpl w:val="B448BB2E"/>
    <w:lvl w:ilvl="0" w:tplc="971A66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72755313">
    <w:abstractNumId w:val="0"/>
  </w:num>
  <w:num w:numId="2" w16cid:durableId="697119776">
    <w:abstractNumId w:val="8"/>
  </w:num>
  <w:num w:numId="3" w16cid:durableId="453211223">
    <w:abstractNumId w:val="9"/>
  </w:num>
  <w:num w:numId="4" w16cid:durableId="1771659418">
    <w:abstractNumId w:val="7"/>
  </w:num>
  <w:num w:numId="5" w16cid:durableId="1876964845">
    <w:abstractNumId w:val="2"/>
  </w:num>
  <w:num w:numId="6" w16cid:durableId="822887726">
    <w:abstractNumId w:val="1"/>
  </w:num>
  <w:num w:numId="7" w16cid:durableId="2100905885">
    <w:abstractNumId w:val="4"/>
  </w:num>
  <w:num w:numId="8" w16cid:durableId="1067414697">
    <w:abstractNumId w:val="3"/>
  </w:num>
  <w:num w:numId="9" w16cid:durableId="428506340">
    <w:abstractNumId w:val="5"/>
  </w:num>
  <w:num w:numId="10" w16cid:durableId="10006929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A16"/>
    <w:rsid w:val="000233FF"/>
    <w:rsid w:val="000700B2"/>
    <w:rsid w:val="00072DBB"/>
    <w:rsid w:val="00092EE9"/>
    <w:rsid w:val="000A4A16"/>
    <w:rsid w:val="000A5603"/>
    <w:rsid w:val="00321DC3"/>
    <w:rsid w:val="0033334F"/>
    <w:rsid w:val="00334A57"/>
    <w:rsid w:val="003675FE"/>
    <w:rsid w:val="003A01FB"/>
    <w:rsid w:val="004222D4"/>
    <w:rsid w:val="004279E2"/>
    <w:rsid w:val="004B7FBF"/>
    <w:rsid w:val="004D000D"/>
    <w:rsid w:val="004E4C28"/>
    <w:rsid w:val="00555E9B"/>
    <w:rsid w:val="0059422D"/>
    <w:rsid w:val="006015F2"/>
    <w:rsid w:val="006A00C1"/>
    <w:rsid w:val="006C0B31"/>
    <w:rsid w:val="00726E85"/>
    <w:rsid w:val="007564AE"/>
    <w:rsid w:val="0084210E"/>
    <w:rsid w:val="00843B05"/>
    <w:rsid w:val="008512F7"/>
    <w:rsid w:val="009004B5"/>
    <w:rsid w:val="00AB2043"/>
    <w:rsid w:val="00AD4003"/>
    <w:rsid w:val="00AF7D82"/>
    <w:rsid w:val="00B73C05"/>
    <w:rsid w:val="00BB19E2"/>
    <w:rsid w:val="00BB1F53"/>
    <w:rsid w:val="00CA1F3A"/>
    <w:rsid w:val="00D17043"/>
    <w:rsid w:val="00D37BF6"/>
    <w:rsid w:val="00D9729D"/>
    <w:rsid w:val="00DB4DFB"/>
    <w:rsid w:val="00E50509"/>
    <w:rsid w:val="00E63B58"/>
    <w:rsid w:val="00E72A6A"/>
    <w:rsid w:val="00E93D93"/>
    <w:rsid w:val="00EA4AAE"/>
    <w:rsid w:val="00F21F95"/>
    <w:rsid w:val="00F3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C8108"/>
  <w15:chartTrackingRefBased/>
  <w15:docId w15:val="{E364056F-33AC-6545-A734-7DF4D646D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0C1"/>
    <w:rPr>
      <w:lang w:val="it-IT"/>
    </w:rPr>
  </w:style>
  <w:style w:type="paragraph" w:styleId="Ttulo1">
    <w:name w:val="heading 1"/>
    <w:basedOn w:val="Normal"/>
    <w:next w:val="Normal"/>
    <w:link w:val="Ttulo1Car"/>
    <w:uiPriority w:val="9"/>
    <w:qFormat/>
    <w:rsid w:val="006A00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A00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A00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A00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6A00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A00C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t-IT"/>
    </w:rPr>
  </w:style>
  <w:style w:type="character" w:customStyle="1" w:styleId="Ttulo2Car">
    <w:name w:val="Título 2 Car"/>
    <w:basedOn w:val="Fuentedeprrafopredeter"/>
    <w:link w:val="Ttulo2"/>
    <w:uiPriority w:val="9"/>
    <w:rsid w:val="006A00C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it-IT"/>
    </w:rPr>
  </w:style>
  <w:style w:type="character" w:customStyle="1" w:styleId="Ttulo3Car">
    <w:name w:val="Título 3 Car"/>
    <w:basedOn w:val="Fuentedeprrafopredeter"/>
    <w:link w:val="Ttulo3"/>
    <w:uiPriority w:val="9"/>
    <w:rsid w:val="006A00C1"/>
    <w:rPr>
      <w:rFonts w:asciiTheme="majorHAnsi" w:eastAsiaTheme="majorEastAsia" w:hAnsiTheme="majorHAnsi" w:cstheme="majorBidi"/>
      <w:color w:val="1F3763" w:themeColor="accent1" w:themeShade="7F"/>
      <w:lang w:val="it-IT"/>
    </w:rPr>
  </w:style>
  <w:style w:type="character" w:customStyle="1" w:styleId="Ttulo4Car">
    <w:name w:val="Título 4 Car"/>
    <w:basedOn w:val="Fuentedeprrafopredeter"/>
    <w:link w:val="Ttulo4"/>
    <w:uiPriority w:val="9"/>
    <w:rsid w:val="006A00C1"/>
    <w:rPr>
      <w:rFonts w:asciiTheme="majorHAnsi" w:eastAsiaTheme="majorEastAsia" w:hAnsiTheme="majorHAnsi" w:cstheme="majorBidi"/>
      <w:i/>
      <w:iCs/>
      <w:color w:val="2F5496" w:themeColor="accent1" w:themeShade="BF"/>
      <w:lang w:val="it-IT"/>
    </w:rPr>
  </w:style>
  <w:style w:type="character" w:customStyle="1" w:styleId="Ttulo5Car">
    <w:name w:val="Título 5 Car"/>
    <w:basedOn w:val="Fuentedeprrafopredeter"/>
    <w:link w:val="Ttulo5"/>
    <w:uiPriority w:val="9"/>
    <w:rsid w:val="006A00C1"/>
    <w:rPr>
      <w:rFonts w:asciiTheme="majorHAnsi" w:eastAsiaTheme="majorEastAsia" w:hAnsiTheme="majorHAnsi" w:cstheme="majorBidi"/>
      <w:color w:val="2F5496" w:themeColor="accent1" w:themeShade="BF"/>
      <w:lang w:val="it-I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00C1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00C1"/>
    <w:rPr>
      <w:rFonts w:ascii="Times New Roman" w:hAnsi="Times New Roman" w:cs="Times New Roman"/>
      <w:sz w:val="18"/>
      <w:szCs w:val="18"/>
      <w:lang w:val="it-IT"/>
    </w:rPr>
  </w:style>
  <w:style w:type="paragraph" w:styleId="Subttulo">
    <w:name w:val="Subtitle"/>
    <w:basedOn w:val="Normal"/>
    <w:next w:val="Normal"/>
    <w:link w:val="SubttuloCar"/>
    <w:uiPriority w:val="11"/>
    <w:qFormat/>
    <w:rsid w:val="006A00C1"/>
    <w:pPr>
      <w:numPr>
        <w:ilvl w:val="1"/>
      </w:numPr>
      <w:spacing w:after="240"/>
    </w:pPr>
    <w:rPr>
      <w:rFonts w:asciiTheme="majorHAnsi" w:eastAsiaTheme="majorEastAsia" w:hAnsiTheme="majorHAnsi" w:cstheme="majorBidi"/>
      <w:i/>
      <w:noProof/>
      <w:color w:val="404040" w:themeColor="text1" w:themeTint="BF"/>
      <w:sz w:val="28"/>
      <w:szCs w:val="30"/>
      <w:lang w:val="en-GB"/>
    </w:rPr>
  </w:style>
  <w:style w:type="character" w:customStyle="1" w:styleId="SubttuloCar">
    <w:name w:val="Subtítulo Car"/>
    <w:basedOn w:val="Fuentedeprrafopredeter"/>
    <w:link w:val="Subttulo"/>
    <w:uiPriority w:val="11"/>
    <w:rsid w:val="006A00C1"/>
    <w:rPr>
      <w:rFonts w:asciiTheme="majorHAnsi" w:eastAsiaTheme="majorEastAsia" w:hAnsiTheme="majorHAnsi" w:cstheme="majorBidi"/>
      <w:i/>
      <w:noProof/>
      <w:color w:val="404040" w:themeColor="text1" w:themeTint="BF"/>
      <w:sz w:val="28"/>
      <w:szCs w:val="30"/>
      <w:lang w:val="en-GB"/>
    </w:rPr>
  </w:style>
  <w:style w:type="character" w:styleId="nfasissutil">
    <w:name w:val="Subtle Emphasis"/>
    <w:basedOn w:val="Fuentedeprrafopredeter"/>
    <w:uiPriority w:val="19"/>
    <w:qFormat/>
    <w:rsid w:val="006A00C1"/>
    <w:rPr>
      <w:rFonts w:asciiTheme="minorHAnsi" w:hAnsiTheme="minorHAnsi"/>
      <w:b w:val="0"/>
      <w:i/>
      <w:iCs/>
      <w:color w:val="595959" w:themeColor="text1" w:themeTint="A6"/>
      <w:sz w:val="24"/>
    </w:rPr>
  </w:style>
  <w:style w:type="character" w:styleId="Ttulodellibro">
    <w:name w:val="Book Title"/>
    <w:basedOn w:val="Fuentedeprrafopredeter"/>
    <w:uiPriority w:val="33"/>
    <w:qFormat/>
    <w:rsid w:val="006A00C1"/>
    <w:rPr>
      <w:b/>
      <w:bCs/>
      <w:smallCaps/>
    </w:rPr>
  </w:style>
  <w:style w:type="character" w:styleId="Refdecomentario">
    <w:name w:val="annotation reference"/>
    <w:basedOn w:val="Fuentedeprrafopredeter"/>
    <w:uiPriority w:val="99"/>
    <w:semiHidden/>
    <w:unhideWhenUsed/>
    <w:rsid w:val="006A00C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A00C1"/>
    <w:pPr>
      <w:spacing w:after="120"/>
    </w:pPr>
    <w:rPr>
      <w:rFonts w:eastAsiaTheme="minorEastAsia"/>
      <w:noProof/>
      <w:sz w:val="20"/>
      <w:szCs w:val="20"/>
      <w:lang w:val="en-GB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A00C1"/>
    <w:rPr>
      <w:rFonts w:eastAsiaTheme="minorEastAsia"/>
      <w:noProof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6A00C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A00C1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A00C1"/>
    <w:pPr>
      <w:tabs>
        <w:tab w:val="center" w:pos="4252"/>
        <w:tab w:val="right" w:pos="8504"/>
      </w:tabs>
    </w:pPr>
    <w:rPr>
      <w:rFonts w:eastAsiaTheme="minorEastAsia"/>
      <w:noProof/>
      <w:sz w:val="21"/>
      <w:szCs w:val="21"/>
      <w:lang w:val="en-GB"/>
    </w:rPr>
  </w:style>
  <w:style w:type="character" w:customStyle="1" w:styleId="EncabezadoCar">
    <w:name w:val="Encabezado Car"/>
    <w:basedOn w:val="Fuentedeprrafopredeter"/>
    <w:link w:val="Encabezado"/>
    <w:uiPriority w:val="99"/>
    <w:rsid w:val="006A00C1"/>
    <w:rPr>
      <w:rFonts w:eastAsiaTheme="minorEastAsia"/>
      <w:noProof/>
      <w:sz w:val="21"/>
      <w:szCs w:val="21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6A00C1"/>
    <w:pPr>
      <w:tabs>
        <w:tab w:val="center" w:pos="4252"/>
        <w:tab w:val="right" w:pos="8504"/>
      </w:tabs>
    </w:pPr>
    <w:rPr>
      <w:rFonts w:eastAsiaTheme="minorEastAsia"/>
      <w:noProof/>
      <w:sz w:val="21"/>
      <w:szCs w:val="21"/>
      <w:lang w:val="en-GB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A00C1"/>
    <w:rPr>
      <w:rFonts w:eastAsiaTheme="minorEastAsia"/>
      <w:noProof/>
      <w:sz w:val="21"/>
      <w:szCs w:val="21"/>
      <w:lang w:val="en-GB"/>
    </w:rPr>
  </w:style>
  <w:style w:type="table" w:styleId="Tablaconcuadrcula">
    <w:name w:val="Table Grid"/>
    <w:basedOn w:val="Tablanormal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00C1"/>
    <w:pPr>
      <w:spacing w:after="0"/>
    </w:pPr>
    <w:rPr>
      <w:rFonts w:eastAsiaTheme="minorHAnsi"/>
      <w:b/>
      <w:bCs/>
      <w:noProof w:val="0"/>
      <w:lang w:val="it-IT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00C1"/>
    <w:rPr>
      <w:rFonts w:eastAsiaTheme="minorEastAsia"/>
      <w:b/>
      <w:bCs/>
      <w:noProof/>
      <w:sz w:val="20"/>
      <w:szCs w:val="20"/>
      <w:lang w:val="it-IT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">
    <w:name w:val="Tabla con cuadrícula6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7">
    <w:name w:val="Tabla con cuadrícula7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8">
    <w:name w:val="Tabla con cuadrícula8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">
    <w:name w:val="Sin lista1"/>
    <w:next w:val="Sinlista"/>
    <w:uiPriority w:val="99"/>
    <w:semiHidden/>
    <w:unhideWhenUsed/>
    <w:rsid w:val="006A00C1"/>
  </w:style>
  <w:style w:type="character" w:styleId="Hipervnculovisitado">
    <w:name w:val="FollowedHyperlink"/>
    <w:basedOn w:val="Fuentedeprrafopredeter"/>
    <w:uiPriority w:val="99"/>
    <w:semiHidden/>
    <w:unhideWhenUsed/>
    <w:rsid w:val="006A00C1"/>
    <w:rPr>
      <w:color w:val="954F72"/>
      <w:u w:val="single"/>
    </w:rPr>
  </w:style>
  <w:style w:type="paragraph" w:customStyle="1" w:styleId="msonormal0">
    <w:name w:val="msonormal"/>
    <w:basedOn w:val="Normal"/>
    <w:rsid w:val="006A00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5">
    <w:name w:val="xl65"/>
    <w:basedOn w:val="Normal"/>
    <w:rsid w:val="006A00C1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eastAsia="it-IT"/>
    </w:rPr>
  </w:style>
  <w:style w:type="table" w:customStyle="1" w:styleId="Tablaconcuadrcula9">
    <w:name w:val="Tabla con cuadrícula9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0">
    <w:name w:val="Tabla con cuadrícula10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uiPriority w:val="99"/>
    <w:semiHidden/>
    <w:unhideWhenUsed/>
    <w:rsid w:val="006A00C1"/>
  </w:style>
  <w:style w:type="paragraph" w:customStyle="1" w:styleId="xl66">
    <w:name w:val="xl66"/>
    <w:basedOn w:val="Normal"/>
    <w:rsid w:val="006A0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7">
    <w:name w:val="xl67"/>
    <w:basedOn w:val="Normal"/>
    <w:rsid w:val="006A0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eastAsia="it-IT"/>
    </w:rPr>
  </w:style>
  <w:style w:type="paragraph" w:customStyle="1" w:styleId="xl68">
    <w:name w:val="xl68"/>
    <w:basedOn w:val="Normal"/>
    <w:rsid w:val="006A0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9">
    <w:name w:val="xl69"/>
    <w:basedOn w:val="Normal"/>
    <w:rsid w:val="006A00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6A00C1"/>
  </w:style>
  <w:style w:type="paragraph" w:customStyle="1" w:styleId="xl63">
    <w:name w:val="xl63"/>
    <w:basedOn w:val="Normal"/>
    <w:rsid w:val="006A00C1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eastAsia="it-IT"/>
    </w:rPr>
  </w:style>
  <w:style w:type="paragraph" w:customStyle="1" w:styleId="xl64">
    <w:name w:val="xl64"/>
    <w:basedOn w:val="Normal"/>
    <w:rsid w:val="006A0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customStyle="1" w:styleId="Tablaconcuadrcula13">
    <w:name w:val="Tabla con cuadrícula13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4">
    <w:name w:val="Sin lista4"/>
    <w:next w:val="Sinlista"/>
    <w:uiPriority w:val="99"/>
    <w:semiHidden/>
    <w:unhideWhenUsed/>
    <w:rsid w:val="006A00C1"/>
  </w:style>
  <w:style w:type="table" w:customStyle="1" w:styleId="Tablaconcuadrcula14">
    <w:name w:val="Tabla con cuadrícula14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5">
    <w:name w:val="Tabla con cuadrícula15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6">
    <w:name w:val="Tabla con cuadrícula16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7">
    <w:name w:val="Tabla con cuadrícula17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8">
    <w:name w:val="Tabla con cuadrícula18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9">
    <w:name w:val="Tabla con cuadrícula19"/>
    <w:basedOn w:val="Tablanormal"/>
    <w:next w:val="Tablaconcuadrcula"/>
    <w:uiPriority w:val="39"/>
    <w:rsid w:val="006A00C1"/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6A00C1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08445-00FA-4172-8FD7-F1F34546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5443</Words>
  <Characters>29940</Characters>
  <Application>Microsoft Office Word</Application>
  <DocSecurity>0</DocSecurity>
  <Lines>249</Lines>
  <Paragraphs>70</Paragraphs>
  <ScaleCrop>false</ScaleCrop>
  <Company/>
  <LinksUpToDate>false</LinksUpToDate>
  <CharactersWithSpaces>35313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Visscher</dc:creator>
  <cp:keywords/>
  <dc:description/>
  <cp:lastModifiedBy>Sara Gomez Cabellos</cp:lastModifiedBy>
  <cp:revision>8</cp:revision>
  <dcterms:created xsi:type="dcterms:W3CDTF">2021-12-08T14:37:00Z</dcterms:created>
  <dcterms:modified xsi:type="dcterms:W3CDTF">2022-07-22T15:39:00Z</dcterms:modified>
</cp:coreProperties>
</file>