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01" w:rsidRDefault="00132D01" w:rsidP="00132D01">
      <w:pPr>
        <w:spacing w:after="0" w:line="480" w:lineRule="auto"/>
      </w:pPr>
      <w:r>
        <w:t xml:space="preserve">Table S1. Characteristics of fresh ejaculates which were collected from patients for conventional IVF treatments </w:t>
      </w:r>
      <w:r w:rsidRPr="00132D01">
        <w:rPr>
          <w:vertAlign w:val="superscript"/>
        </w:rPr>
        <w:t>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1453"/>
        <w:gridCol w:w="1500"/>
        <w:gridCol w:w="1441"/>
        <w:gridCol w:w="1664"/>
        <w:gridCol w:w="1500"/>
      </w:tblGrid>
      <w:tr w:rsidR="00132D01" w:rsidRPr="00132D01" w:rsidTr="005918C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Identifying marks of IVF patients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Volume of ejaculate (ml)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Sperm concentration (×106/ml)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Sperm motility (%)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Morphologically abnormal sperm (%)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Leukocyte concentration (×106/ml)</w:t>
            </w:r>
          </w:p>
        </w:tc>
      </w:tr>
      <w:tr w:rsidR="00132D01" w:rsidRPr="00132D01" w:rsidTr="005918C9">
        <w:tc>
          <w:tcPr>
            <w:tcW w:w="1502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a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126.5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40.7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94.5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3.1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b1</w:t>
            </w:r>
            <w:r w:rsidRPr="00132D01">
              <w:rPr>
                <w:vertAlign w:val="superscript"/>
              </w:rPr>
              <w:t>B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2.5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158.0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43.0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65.8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0.6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b2</w:t>
            </w:r>
            <w:r w:rsidRPr="00132D01">
              <w:rPr>
                <w:vertAlign w:val="superscript"/>
              </w:rPr>
              <w:t>B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3.9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188.0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69.1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84.0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0.1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c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139.0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64.7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81.3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0.9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d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3.2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218.0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62.8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60.9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0.2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e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2.8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46.0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58.7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65.2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0.4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f1</w:t>
            </w:r>
            <w:r w:rsidRPr="00132D01">
              <w:rPr>
                <w:vertAlign w:val="superscript"/>
              </w:rPr>
              <w:t>B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2.8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145.0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67.6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72.4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0.4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f2</w:t>
            </w:r>
            <w:r w:rsidRPr="00132D01">
              <w:rPr>
                <w:vertAlign w:val="superscript"/>
              </w:rPr>
              <w:t>B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3.4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95.0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61.1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63.2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0.7</w:t>
            </w:r>
          </w:p>
        </w:tc>
      </w:tr>
      <w:tr w:rsidR="00132D01" w:rsidRPr="00132D01" w:rsidTr="005918C9"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g</w:t>
            </w:r>
          </w:p>
        </w:tc>
        <w:tc>
          <w:tcPr>
            <w:tcW w:w="1502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3.4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106.5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27.7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98.1</w:t>
            </w:r>
          </w:p>
        </w:tc>
        <w:tc>
          <w:tcPr>
            <w:tcW w:w="1503" w:type="dxa"/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0.9</w:t>
            </w:r>
          </w:p>
        </w:tc>
      </w:tr>
      <w:tr w:rsidR="00132D01" w:rsidRPr="00132D01" w:rsidTr="005918C9">
        <w:tc>
          <w:tcPr>
            <w:tcW w:w="1502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h</w:t>
            </w:r>
          </w:p>
        </w:tc>
        <w:tc>
          <w:tcPr>
            <w:tcW w:w="1502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4.1</w:t>
            </w:r>
          </w:p>
        </w:tc>
        <w:tc>
          <w:tcPr>
            <w:tcW w:w="1503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82.5</w:t>
            </w:r>
          </w:p>
        </w:tc>
        <w:tc>
          <w:tcPr>
            <w:tcW w:w="1503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31.5</w:t>
            </w:r>
          </w:p>
        </w:tc>
        <w:tc>
          <w:tcPr>
            <w:tcW w:w="1503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96.4</w:t>
            </w:r>
          </w:p>
        </w:tc>
        <w:tc>
          <w:tcPr>
            <w:tcW w:w="1503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0.8</w:t>
            </w:r>
          </w:p>
        </w:tc>
      </w:tr>
      <w:tr w:rsidR="00132D01" w:rsidRPr="00132D01" w:rsidTr="005918C9"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</w:pPr>
            <w:proofErr w:type="spellStart"/>
            <w:r w:rsidRPr="00132D01">
              <w:t>i</w:t>
            </w:r>
            <w:proofErr w:type="spellEnd"/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105.0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48.5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80.9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0.4</w:t>
            </w:r>
          </w:p>
        </w:tc>
      </w:tr>
      <w:tr w:rsidR="00132D01" w:rsidRPr="00132D01" w:rsidTr="005918C9">
        <w:tc>
          <w:tcPr>
            <w:tcW w:w="1502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</w:pPr>
            <w:r w:rsidRPr="00132D01">
              <w:t>Average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2.9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128.1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52.3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78.4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360" w:lineRule="auto"/>
              <w:jc w:val="center"/>
            </w:pPr>
            <w:r w:rsidRPr="00132D01">
              <w:t>0.8</w:t>
            </w:r>
          </w:p>
        </w:tc>
      </w:tr>
    </w:tbl>
    <w:p w:rsidR="00132D01" w:rsidRDefault="00132D01" w:rsidP="00132D01">
      <w:pPr>
        <w:spacing w:after="0" w:line="480" w:lineRule="auto"/>
      </w:pPr>
      <w:r w:rsidRPr="00132D01">
        <w:rPr>
          <w:vertAlign w:val="superscript"/>
        </w:rPr>
        <w:t>A</w:t>
      </w:r>
      <w:r>
        <w:t xml:space="preserve"> Fresh ejaculates were collected from the patients by masturbation after 3-5 days of abstinence.</w:t>
      </w:r>
    </w:p>
    <w:p w:rsidR="00804E27" w:rsidRDefault="00132D01" w:rsidP="00132D01">
      <w:pPr>
        <w:spacing w:after="0" w:line="480" w:lineRule="auto"/>
      </w:pPr>
      <w:r w:rsidRPr="00132D01">
        <w:rPr>
          <w:vertAlign w:val="superscript"/>
        </w:rPr>
        <w:t>B</w:t>
      </w:r>
      <w:r>
        <w:t xml:space="preserve"> The conventional IVF treatments were made twice for patient b (b1 and b2, the first and second treatments, respectively) and patient f (f1 and f2, the first and second treatments, respectively).</w:t>
      </w:r>
      <w:r>
        <w:tab/>
      </w:r>
    </w:p>
    <w:p w:rsidR="00132D01" w:rsidRDefault="00132D01" w:rsidP="00132D01">
      <w:pPr>
        <w:spacing w:after="0" w:line="480" w:lineRule="auto"/>
      </w:pPr>
    </w:p>
    <w:p w:rsidR="00132D01" w:rsidRDefault="00132D01">
      <w:r>
        <w:br w:type="page"/>
      </w:r>
    </w:p>
    <w:p w:rsidR="00132D01" w:rsidRDefault="00132D01" w:rsidP="00132D01">
      <w:pPr>
        <w:spacing w:after="0" w:line="480" w:lineRule="auto"/>
      </w:pPr>
      <w:r>
        <w:lastRenderedPageBreak/>
        <w:t xml:space="preserve">Table S2.  Characteristics of fresh ejaculates which were collected from healthy fertile volunteers </w:t>
      </w:r>
      <w:r w:rsidRPr="00132D01">
        <w:rPr>
          <w:vertAlign w:val="superscript"/>
        </w:rPr>
        <w:t>A</w:t>
      </w:r>
    </w:p>
    <w:tbl>
      <w:tblPr>
        <w:tblStyle w:val="TableGrid"/>
        <w:tblW w:w="9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450"/>
        <w:gridCol w:w="1499"/>
        <w:gridCol w:w="1437"/>
        <w:gridCol w:w="1664"/>
        <w:gridCol w:w="1499"/>
      </w:tblGrid>
      <w:tr w:rsidR="00132D01" w:rsidRPr="00132D01" w:rsidTr="005918C9"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Identifying marks of fertile male volunteers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Volume of ejaculate (ml)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Sperm concentration (×106/ml)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Sperm motility (%)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Morphologically abnormal sperm (%)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Leukocyte concentration  (×106/ml)</w:t>
            </w:r>
          </w:p>
        </w:tc>
      </w:tr>
      <w:tr w:rsidR="00132D01" w:rsidRPr="00132D01" w:rsidTr="005918C9">
        <w:tc>
          <w:tcPr>
            <w:tcW w:w="1703" w:type="dxa"/>
            <w:tcBorders>
              <w:top w:val="single" w:sz="4" w:space="0" w:color="auto"/>
            </w:tcBorders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j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1.1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108.0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86.1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82.5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2.8</w:t>
            </w:r>
          </w:p>
        </w:tc>
      </w:tr>
      <w:tr w:rsidR="00132D01" w:rsidRPr="00132D01" w:rsidTr="005918C9">
        <w:tc>
          <w:tcPr>
            <w:tcW w:w="1703" w:type="dxa"/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k</w:t>
            </w:r>
          </w:p>
        </w:tc>
        <w:tc>
          <w:tcPr>
            <w:tcW w:w="1450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3.5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86.5</w:t>
            </w:r>
          </w:p>
        </w:tc>
        <w:tc>
          <w:tcPr>
            <w:tcW w:w="1437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39.8</w:t>
            </w:r>
          </w:p>
        </w:tc>
        <w:tc>
          <w:tcPr>
            <w:tcW w:w="1664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71.1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0.4</w:t>
            </w:r>
          </w:p>
        </w:tc>
      </w:tr>
      <w:tr w:rsidR="00132D01" w:rsidRPr="00132D01" w:rsidTr="005918C9">
        <w:tc>
          <w:tcPr>
            <w:tcW w:w="1703" w:type="dxa"/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l</w:t>
            </w:r>
          </w:p>
        </w:tc>
        <w:tc>
          <w:tcPr>
            <w:tcW w:w="1450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2.1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121.0</w:t>
            </w:r>
          </w:p>
        </w:tc>
        <w:tc>
          <w:tcPr>
            <w:tcW w:w="1437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76.0</w:t>
            </w:r>
          </w:p>
        </w:tc>
        <w:tc>
          <w:tcPr>
            <w:tcW w:w="1664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80.2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0.1</w:t>
            </w:r>
          </w:p>
        </w:tc>
      </w:tr>
      <w:tr w:rsidR="00132D01" w:rsidRPr="00132D01" w:rsidTr="005918C9">
        <w:tc>
          <w:tcPr>
            <w:tcW w:w="1703" w:type="dxa"/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m</w:t>
            </w:r>
          </w:p>
        </w:tc>
        <w:tc>
          <w:tcPr>
            <w:tcW w:w="1450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1.6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148.0</w:t>
            </w:r>
          </w:p>
        </w:tc>
        <w:tc>
          <w:tcPr>
            <w:tcW w:w="1437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62.8</w:t>
            </w:r>
          </w:p>
        </w:tc>
        <w:tc>
          <w:tcPr>
            <w:tcW w:w="1664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79.1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0.3</w:t>
            </w:r>
          </w:p>
        </w:tc>
      </w:tr>
      <w:tr w:rsidR="00132D01" w:rsidRPr="00132D01" w:rsidTr="005918C9">
        <w:tc>
          <w:tcPr>
            <w:tcW w:w="1703" w:type="dxa"/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n</w:t>
            </w:r>
          </w:p>
        </w:tc>
        <w:tc>
          <w:tcPr>
            <w:tcW w:w="1450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1.6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93.5</w:t>
            </w:r>
          </w:p>
        </w:tc>
        <w:tc>
          <w:tcPr>
            <w:tcW w:w="1437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42.2</w:t>
            </w:r>
          </w:p>
        </w:tc>
        <w:tc>
          <w:tcPr>
            <w:tcW w:w="1664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84.0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0.6</w:t>
            </w:r>
          </w:p>
        </w:tc>
      </w:tr>
      <w:tr w:rsidR="00132D01" w:rsidRPr="00132D01" w:rsidTr="005918C9">
        <w:tc>
          <w:tcPr>
            <w:tcW w:w="1703" w:type="dxa"/>
            <w:tcBorders>
              <w:bottom w:val="nil"/>
            </w:tcBorders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o</w:t>
            </w:r>
          </w:p>
        </w:tc>
        <w:tc>
          <w:tcPr>
            <w:tcW w:w="1450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3.2</w:t>
            </w:r>
          </w:p>
        </w:tc>
        <w:tc>
          <w:tcPr>
            <w:tcW w:w="1499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88.0</w:t>
            </w:r>
          </w:p>
        </w:tc>
        <w:tc>
          <w:tcPr>
            <w:tcW w:w="1437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64.7</w:t>
            </w:r>
          </w:p>
        </w:tc>
        <w:tc>
          <w:tcPr>
            <w:tcW w:w="1664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81.9</w:t>
            </w:r>
          </w:p>
        </w:tc>
        <w:tc>
          <w:tcPr>
            <w:tcW w:w="1499" w:type="dxa"/>
            <w:tcBorders>
              <w:bottom w:val="nil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0.2</w:t>
            </w:r>
          </w:p>
        </w:tc>
      </w:tr>
      <w:tr w:rsidR="00132D01" w:rsidRPr="00132D01" w:rsidTr="005918C9"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p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2.0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94.0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82.9</w:t>
            </w:r>
          </w:p>
        </w:tc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70.3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0.1</w:t>
            </w:r>
          </w:p>
        </w:tc>
      </w:tr>
      <w:tr w:rsidR="00132D01" w:rsidRPr="00132D01" w:rsidTr="005918C9">
        <w:tc>
          <w:tcPr>
            <w:tcW w:w="1703" w:type="dxa"/>
            <w:tcBorders>
              <w:top w:val="single" w:sz="4" w:space="0" w:color="auto"/>
            </w:tcBorders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Average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2.2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105.6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64.9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78.4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0.6</w:t>
            </w:r>
          </w:p>
        </w:tc>
      </w:tr>
      <w:tr w:rsidR="00132D01" w:rsidRPr="00132D01" w:rsidTr="005918C9">
        <w:tc>
          <w:tcPr>
            <w:tcW w:w="1703" w:type="dxa"/>
          </w:tcPr>
          <w:p w:rsidR="00132D01" w:rsidRPr="00132D01" w:rsidRDefault="00132D01" w:rsidP="00A77CEB">
            <w:pPr>
              <w:spacing w:line="480" w:lineRule="auto"/>
            </w:pPr>
            <w:r w:rsidRPr="00132D01">
              <w:t>Vs patients a-</w:t>
            </w:r>
            <w:proofErr w:type="spellStart"/>
            <w:r w:rsidRPr="00132D01">
              <w:t>i</w:t>
            </w:r>
            <w:proofErr w:type="spellEnd"/>
          </w:p>
        </w:tc>
        <w:tc>
          <w:tcPr>
            <w:tcW w:w="1450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P&gt;0.05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P&gt;0.05</w:t>
            </w:r>
          </w:p>
        </w:tc>
        <w:tc>
          <w:tcPr>
            <w:tcW w:w="1437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P&gt;0.05</w:t>
            </w:r>
          </w:p>
        </w:tc>
        <w:tc>
          <w:tcPr>
            <w:tcW w:w="1664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P&gt;0.05</w:t>
            </w:r>
          </w:p>
        </w:tc>
        <w:tc>
          <w:tcPr>
            <w:tcW w:w="1499" w:type="dxa"/>
          </w:tcPr>
          <w:p w:rsidR="00132D01" w:rsidRPr="00132D01" w:rsidRDefault="00132D01" w:rsidP="00132D01">
            <w:pPr>
              <w:spacing w:line="480" w:lineRule="auto"/>
              <w:jc w:val="center"/>
            </w:pPr>
            <w:r w:rsidRPr="00132D01">
              <w:t>P&gt;0.05</w:t>
            </w:r>
          </w:p>
        </w:tc>
      </w:tr>
    </w:tbl>
    <w:p w:rsidR="00132D01" w:rsidRDefault="00132D01" w:rsidP="00132D01">
      <w:pPr>
        <w:spacing w:after="0" w:line="480" w:lineRule="auto"/>
      </w:pPr>
      <w:r w:rsidRPr="00132D01">
        <w:rPr>
          <w:vertAlign w:val="superscript"/>
        </w:rPr>
        <w:t>A</w:t>
      </w:r>
      <w:r>
        <w:t xml:space="preserve"> Fresh ejaculates were collected from fertile male volunteers by masturbation after 3-5 days of abstinence.  Each of fertile male volunteers has 2-4 biological children.   The periods since the last birth of the baby were between 0.5 and 17 years.</w:t>
      </w:r>
    </w:p>
    <w:p w:rsidR="00132D01" w:rsidRDefault="00132D01" w:rsidP="00132D01">
      <w:pPr>
        <w:spacing w:after="0" w:line="480" w:lineRule="auto"/>
      </w:pPr>
    </w:p>
    <w:p w:rsidR="006C7E4A" w:rsidRDefault="006C7E4A">
      <w:r>
        <w:br w:type="page"/>
      </w:r>
    </w:p>
    <w:p w:rsidR="006C7E4A" w:rsidRDefault="006C7E4A" w:rsidP="006C7E4A">
      <w:pPr>
        <w:spacing w:after="0" w:line="480" w:lineRule="auto"/>
      </w:pPr>
      <w:r>
        <w:lastRenderedPageBreak/>
        <w:t xml:space="preserve">Table S3. Characteristics of ejaculated spermatozoa of IVF patients which were collected for conventional IVF treatments by swim-up method </w:t>
      </w:r>
      <w:r w:rsidRPr="006C7E4A">
        <w:rPr>
          <w:vertAlign w:val="superscript"/>
        </w:rPr>
        <w:t>A</w:t>
      </w:r>
    </w:p>
    <w:p w:rsidR="006C7E4A" w:rsidRDefault="006C7E4A" w:rsidP="006C7E4A">
      <w:pPr>
        <w:spacing w:after="0"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468"/>
        <w:gridCol w:w="1499"/>
        <w:gridCol w:w="1433"/>
        <w:gridCol w:w="1664"/>
        <w:gridCol w:w="1499"/>
      </w:tblGrid>
      <w:tr w:rsidR="006C7E4A" w:rsidRPr="006C7E4A" w:rsidTr="005918C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Identifying marks of IVF patients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Volume of sperm suspension (ml)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Sperm concentration (×106/ml)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Sperm motility (%)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Morphologically abnormal sperm (%)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Leukocyte concentration (×106/ml)</w:t>
            </w:r>
          </w:p>
        </w:tc>
      </w:tr>
      <w:tr w:rsidR="006C7E4A" w:rsidRPr="006C7E4A" w:rsidTr="005918C9">
        <w:tc>
          <w:tcPr>
            <w:tcW w:w="1502" w:type="dxa"/>
            <w:tcBorders>
              <w:top w:val="single" w:sz="4" w:space="0" w:color="auto"/>
            </w:tcBorders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a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20.0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99.5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79.0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b1A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40.0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91.0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b2A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20.1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99.5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93.0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c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94.0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d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15.0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84.0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e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6.0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96.7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93.0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f1A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60.1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99.8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89.0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f2A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63.0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96.8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89.0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g</w:t>
            </w:r>
          </w:p>
        </w:tc>
        <w:tc>
          <w:tcPr>
            <w:tcW w:w="1502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100.0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93.0</w:t>
            </w:r>
          </w:p>
        </w:tc>
        <w:tc>
          <w:tcPr>
            <w:tcW w:w="1503" w:type="dxa"/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  <w:tcBorders>
              <w:bottom w:val="nil"/>
            </w:tcBorders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h</w:t>
            </w:r>
          </w:p>
        </w:tc>
        <w:tc>
          <w:tcPr>
            <w:tcW w:w="1502" w:type="dxa"/>
            <w:tcBorders>
              <w:bottom w:val="nil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  <w:tcBorders>
              <w:bottom w:val="nil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20.0</w:t>
            </w:r>
          </w:p>
        </w:tc>
        <w:tc>
          <w:tcPr>
            <w:tcW w:w="1503" w:type="dxa"/>
            <w:tcBorders>
              <w:bottom w:val="nil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95.0</w:t>
            </w:r>
          </w:p>
        </w:tc>
        <w:tc>
          <w:tcPr>
            <w:tcW w:w="1503" w:type="dxa"/>
            <w:tcBorders>
              <w:bottom w:val="nil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80.0</w:t>
            </w:r>
          </w:p>
        </w:tc>
        <w:tc>
          <w:tcPr>
            <w:tcW w:w="1503" w:type="dxa"/>
            <w:tcBorders>
              <w:bottom w:val="nil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113CCC">
            <w:pPr>
              <w:spacing w:line="480" w:lineRule="auto"/>
            </w:pPr>
            <w:proofErr w:type="spellStart"/>
            <w:r w:rsidRPr="006C7E4A">
              <w:t>i</w:t>
            </w:r>
            <w:proofErr w:type="spellEnd"/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18.0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100.0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80.9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  <w:tr w:rsidR="006C7E4A" w:rsidRPr="006C7E4A" w:rsidTr="005918C9">
        <w:tc>
          <w:tcPr>
            <w:tcW w:w="1502" w:type="dxa"/>
            <w:tcBorders>
              <w:top w:val="single" w:sz="4" w:space="0" w:color="auto"/>
            </w:tcBorders>
          </w:tcPr>
          <w:p w:rsidR="006C7E4A" w:rsidRPr="006C7E4A" w:rsidRDefault="006C7E4A" w:rsidP="00113CCC">
            <w:pPr>
              <w:spacing w:line="480" w:lineRule="auto"/>
            </w:pPr>
            <w:r w:rsidRPr="006C7E4A">
              <w:t>Average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25.7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98.8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87.8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C7E4A" w:rsidRPr="006C7E4A" w:rsidRDefault="006C7E4A" w:rsidP="006C7E4A">
            <w:pPr>
              <w:spacing w:line="480" w:lineRule="auto"/>
              <w:jc w:val="center"/>
            </w:pPr>
            <w:r w:rsidRPr="006C7E4A">
              <w:t>0.0</w:t>
            </w:r>
          </w:p>
        </w:tc>
      </w:tr>
    </w:tbl>
    <w:p w:rsidR="00132D01" w:rsidRDefault="006C7E4A" w:rsidP="00E1307D">
      <w:pPr>
        <w:spacing w:after="0" w:line="480" w:lineRule="auto"/>
      </w:pPr>
      <w:proofErr w:type="gramStart"/>
      <w:r w:rsidRPr="006C7E4A">
        <w:rPr>
          <w:vertAlign w:val="superscript"/>
        </w:rPr>
        <w:t>A</w:t>
      </w:r>
      <w:r>
        <w:t xml:space="preserve"> The</w:t>
      </w:r>
      <w:proofErr w:type="gramEnd"/>
      <w:r>
        <w:t xml:space="preserve"> conventional IVF treatments were made twice for patient b (b1 and b2, the first and second treatments, respectively) and patient f (f1 and f2, the first and second treatments, respectively).</w:t>
      </w:r>
      <w:r>
        <w:tab/>
      </w:r>
    </w:p>
    <w:p w:rsidR="00E1307D" w:rsidRDefault="00E1307D" w:rsidP="00E1307D">
      <w:pPr>
        <w:spacing w:after="0" w:line="480" w:lineRule="auto"/>
      </w:pPr>
    </w:p>
    <w:p w:rsidR="00E1307D" w:rsidRDefault="00E1307D">
      <w:r>
        <w:br w:type="page"/>
      </w:r>
    </w:p>
    <w:p w:rsidR="00525EFD" w:rsidRDefault="00525EFD" w:rsidP="00525EFD">
      <w:pPr>
        <w:spacing w:after="0" w:line="480" w:lineRule="auto"/>
      </w:pPr>
      <w:r>
        <w:lastRenderedPageBreak/>
        <w:t>Table S4.  Characteristics of ejaculated spermatozoa of healthy fertile volunteers collected by swim-up method</w:t>
      </w:r>
    </w:p>
    <w:p w:rsidR="00525EFD" w:rsidRDefault="00525EFD" w:rsidP="00525EFD">
      <w:pPr>
        <w:spacing w:after="0" w:line="480" w:lineRule="auto"/>
      </w:pPr>
    </w:p>
    <w:tbl>
      <w:tblPr>
        <w:tblStyle w:val="TableGrid"/>
        <w:tblW w:w="9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450"/>
        <w:gridCol w:w="1499"/>
        <w:gridCol w:w="1437"/>
        <w:gridCol w:w="1664"/>
        <w:gridCol w:w="1499"/>
      </w:tblGrid>
      <w:tr w:rsidR="00525EFD" w:rsidRPr="00525EFD" w:rsidTr="005918C9"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9A5875">
            <w:pPr>
              <w:spacing w:line="480" w:lineRule="auto"/>
            </w:pPr>
            <w:r w:rsidRPr="00525EFD">
              <w:t xml:space="preserve">Identifying </w:t>
            </w:r>
            <w:bookmarkStart w:id="0" w:name="_GoBack"/>
            <w:bookmarkEnd w:id="0"/>
            <w:r w:rsidRPr="00525EFD">
              <w:t>marks of fertile male volunteers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Volume of ejaculate (ml)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Sperm concentration (×106/ml)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Sperm motility (%)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Morphologically abnormal sperm (%)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Leukocyte concentration (×106/ml)</w:t>
            </w:r>
          </w:p>
        </w:tc>
      </w:tr>
      <w:tr w:rsidR="00525EFD" w:rsidRPr="00525EFD" w:rsidTr="005918C9">
        <w:tc>
          <w:tcPr>
            <w:tcW w:w="1703" w:type="dxa"/>
            <w:tcBorders>
              <w:top w:val="single" w:sz="4" w:space="0" w:color="auto"/>
            </w:tcBorders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j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35.0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65.8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k</w:t>
            </w:r>
          </w:p>
        </w:tc>
        <w:tc>
          <w:tcPr>
            <w:tcW w:w="1450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36.0</w:t>
            </w:r>
          </w:p>
        </w:tc>
        <w:tc>
          <w:tcPr>
            <w:tcW w:w="1437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52.8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l</w:t>
            </w:r>
          </w:p>
        </w:tc>
        <w:tc>
          <w:tcPr>
            <w:tcW w:w="1450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78.5</w:t>
            </w:r>
          </w:p>
        </w:tc>
        <w:tc>
          <w:tcPr>
            <w:tcW w:w="1437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73.3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m</w:t>
            </w:r>
          </w:p>
        </w:tc>
        <w:tc>
          <w:tcPr>
            <w:tcW w:w="1450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16.0</w:t>
            </w:r>
          </w:p>
        </w:tc>
        <w:tc>
          <w:tcPr>
            <w:tcW w:w="1437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62.5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n</w:t>
            </w:r>
          </w:p>
        </w:tc>
        <w:tc>
          <w:tcPr>
            <w:tcW w:w="1450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64.0</w:t>
            </w:r>
          </w:p>
        </w:tc>
        <w:tc>
          <w:tcPr>
            <w:tcW w:w="1437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76.6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  <w:tcBorders>
              <w:bottom w:val="nil"/>
            </w:tcBorders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o</w:t>
            </w:r>
          </w:p>
        </w:tc>
        <w:tc>
          <w:tcPr>
            <w:tcW w:w="1450" w:type="dxa"/>
            <w:tcBorders>
              <w:bottom w:val="nil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  <w:tcBorders>
              <w:bottom w:val="nil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82.0</w:t>
            </w:r>
          </w:p>
        </w:tc>
        <w:tc>
          <w:tcPr>
            <w:tcW w:w="1437" w:type="dxa"/>
            <w:tcBorders>
              <w:bottom w:val="nil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  <w:tcBorders>
              <w:bottom w:val="nil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69.6</w:t>
            </w:r>
          </w:p>
        </w:tc>
        <w:tc>
          <w:tcPr>
            <w:tcW w:w="1499" w:type="dxa"/>
            <w:tcBorders>
              <w:bottom w:val="nil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p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65.0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</w:t>
            </w:r>
          </w:p>
        </w:tc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69.3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  <w:tcBorders>
              <w:top w:val="single" w:sz="4" w:space="0" w:color="auto"/>
            </w:tcBorders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Average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0.5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53.8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100.0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67.1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0.0</w:t>
            </w:r>
          </w:p>
        </w:tc>
      </w:tr>
      <w:tr w:rsidR="00525EFD" w:rsidRPr="00525EFD" w:rsidTr="005918C9">
        <w:tc>
          <w:tcPr>
            <w:tcW w:w="1703" w:type="dxa"/>
          </w:tcPr>
          <w:p w:rsidR="00525EFD" w:rsidRPr="00525EFD" w:rsidRDefault="00525EFD" w:rsidP="009A5875">
            <w:pPr>
              <w:spacing w:line="480" w:lineRule="auto"/>
            </w:pPr>
            <w:r w:rsidRPr="00525EFD">
              <w:t>Vs patients a-</w:t>
            </w:r>
            <w:proofErr w:type="spellStart"/>
            <w:r w:rsidRPr="00525EFD">
              <w:t>i</w:t>
            </w:r>
            <w:proofErr w:type="spellEnd"/>
          </w:p>
        </w:tc>
        <w:tc>
          <w:tcPr>
            <w:tcW w:w="1450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NA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P&lt;0.05</w:t>
            </w:r>
          </w:p>
        </w:tc>
        <w:tc>
          <w:tcPr>
            <w:tcW w:w="1437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P&lt;0.05</w:t>
            </w:r>
          </w:p>
        </w:tc>
        <w:tc>
          <w:tcPr>
            <w:tcW w:w="1664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P&lt;0.01</w:t>
            </w:r>
          </w:p>
        </w:tc>
        <w:tc>
          <w:tcPr>
            <w:tcW w:w="1499" w:type="dxa"/>
          </w:tcPr>
          <w:p w:rsidR="00525EFD" w:rsidRPr="00525EFD" w:rsidRDefault="00525EFD" w:rsidP="00525EFD">
            <w:pPr>
              <w:spacing w:line="480" w:lineRule="auto"/>
              <w:jc w:val="center"/>
            </w:pPr>
            <w:r w:rsidRPr="00525EFD">
              <w:t>NA</w:t>
            </w:r>
          </w:p>
        </w:tc>
      </w:tr>
    </w:tbl>
    <w:p w:rsidR="00E1307D" w:rsidRDefault="00525EFD" w:rsidP="00525EFD">
      <w:pPr>
        <w:spacing w:after="0" w:line="480" w:lineRule="auto"/>
      </w:pPr>
      <w:r>
        <w:t>NA: Not analysed</w:t>
      </w:r>
    </w:p>
    <w:p w:rsidR="00525EFD" w:rsidRDefault="00525EFD" w:rsidP="00525EFD">
      <w:pPr>
        <w:spacing w:after="0" w:line="480" w:lineRule="auto"/>
      </w:pPr>
    </w:p>
    <w:sectPr w:rsidR="00525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01"/>
    <w:rsid w:val="00132D01"/>
    <w:rsid w:val="00525EFD"/>
    <w:rsid w:val="005918C9"/>
    <w:rsid w:val="006905F4"/>
    <w:rsid w:val="006C7E4A"/>
    <w:rsid w:val="00804E27"/>
    <w:rsid w:val="00CC2D0A"/>
    <w:rsid w:val="00E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BD31-5B8E-4C6B-B8C8-60BC66E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2</cp:revision>
  <dcterms:created xsi:type="dcterms:W3CDTF">2015-09-09T08:46:00Z</dcterms:created>
  <dcterms:modified xsi:type="dcterms:W3CDTF">2015-09-09T08:46:00Z</dcterms:modified>
</cp:coreProperties>
</file>