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9" w:rsidRDefault="00FC3769" w:rsidP="00FC3769">
      <w:pPr>
        <w:spacing w:after="0" w:line="480" w:lineRule="auto"/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Supplementary Online Content: Appendix B</w:t>
      </w:r>
    </w:p>
    <w:p w:rsidR="00FC3769" w:rsidRDefault="00FC3769" w:rsidP="00FC3769">
      <w:pPr>
        <w:spacing w:after="0"/>
        <w:rPr>
          <w:rFonts w:ascii="Times New Roman" w:hAnsi="Times New Roman"/>
          <w:b/>
          <w:bCs/>
          <w:lang w:val="en-GB"/>
        </w:rPr>
      </w:pPr>
    </w:p>
    <w:p w:rsidR="00FC3769" w:rsidRPr="00FC3769" w:rsidRDefault="00D7099E" w:rsidP="00FC3769">
      <w:pPr>
        <w:spacing w:after="0"/>
        <w:rPr>
          <w:rFonts w:ascii="Times New Roman" w:hAnsi="Times New Roman"/>
          <w:bCs/>
          <w:lang w:val="en-GB"/>
        </w:rPr>
      </w:pPr>
      <w:r w:rsidRPr="00FC3769">
        <w:rPr>
          <w:rFonts w:ascii="Times New Roman" w:hAnsi="Times New Roman"/>
          <w:bCs/>
          <w:lang w:val="en-GB"/>
        </w:rPr>
        <w:t xml:space="preserve">A Morandi, D Davis, J Taylor, G </w:t>
      </w:r>
      <w:proofErr w:type="spellStart"/>
      <w:r w:rsidRPr="00FC3769">
        <w:rPr>
          <w:rFonts w:ascii="Times New Roman" w:hAnsi="Times New Roman"/>
          <w:bCs/>
          <w:lang w:val="en-GB"/>
        </w:rPr>
        <w:t>Bellelli</w:t>
      </w:r>
      <w:proofErr w:type="spellEnd"/>
      <w:r w:rsidRPr="00FC3769">
        <w:rPr>
          <w:rFonts w:ascii="Times New Roman" w:hAnsi="Times New Roman"/>
          <w:bCs/>
          <w:lang w:val="en-GB"/>
        </w:rPr>
        <w:t xml:space="preserve">, </w:t>
      </w:r>
      <w:r w:rsidR="00524A29" w:rsidRPr="00FC3769">
        <w:rPr>
          <w:rFonts w:ascii="Times New Roman" w:hAnsi="Times New Roman"/>
          <w:bCs/>
          <w:lang w:val="en-GB"/>
        </w:rPr>
        <w:t xml:space="preserve">B </w:t>
      </w:r>
      <w:proofErr w:type="spellStart"/>
      <w:r w:rsidR="00524A29" w:rsidRPr="00FC3769">
        <w:rPr>
          <w:rFonts w:ascii="Times New Roman" w:hAnsi="Times New Roman"/>
          <w:bCs/>
          <w:lang w:val="en-GB"/>
        </w:rPr>
        <w:t>Olofsson</w:t>
      </w:r>
      <w:proofErr w:type="spellEnd"/>
      <w:r w:rsidR="00524A29" w:rsidRPr="00FC3769">
        <w:rPr>
          <w:rFonts w:ascii="Times New Roman" w:hAnsi="Times New Roman"/>
          <w:bCs/>
          <w:lang w:val="en-GB"/>
        </w:rPr>
        <w:t xml:space="preserve">, S </w:t>
      </w:r>
      <w:proofErr w:type="spellStart"/>
      <w:r w:rsidR="00524A29" w:rsidRPr="00FC3769">
        <w:rPr>
          <w:rFonts w:ascii="Times New Roman" w:hAnsi="Times New Roman"/>
          <w:bCs/>
          <w:lang w:val="en-GB"/>
        </w:rPr>
        <w:t>Kreisel</w:t>
      </w:r>
      <w:proofErr w:type="spellEnd"/>
      <w:r w:rsidR="00524A29" w:rsidRPr="00FC3769">
        <w:rPr>
          <w:rFonts w:ascii="Times New Roman" w:hAnsi="Times New Roman"/>
          <w:bCs/>
          <w:lang w:val="en-GB"/>
        </w:rPr>
        <w:t xml:space="preserve">, A </w:t>
      </w:r>
      <w:proofErr w:type="spellStart"/>
      <w:r w:rsidR="00524A29" w:rsidRPr="00FC3769">
        <w:rPr>
          <w:rFonts w:ascii="Times New Roman" w:hAnsi="Times New Roman"/>
          <w:bCs/>
          <w:lang w:val="en-GB"/>
        </w:rPr>
        <w:t>Teodorczuk</w:t>
      </w:r>
      <w:proofErr w:type="spellEnd"/>
      <w:r w:rsidR="00524A29" w:rsidRPr="00FC3769">
        <w:rPr>
          <w:rFonts w:ascii="Times New Roman" w:hAnsi="Times New Roman"/>
          <w:bCs/>
          <w:lang w:val="en-GB"/>
        </w:rPr>
        <w:t xml:space="preserve">, </w:t>
      </w:r>
      <w:r w:rsidRPr="00FC3769">
        <w:rPr>
          <w:rFonts w:ascii="Times New Roman" w:hAnsi="Times New Roman"/>
          <w:bCs/>
          <w:lang w:val="en-GB"/>
        </w:rPr>
        <w:t xml:space="preserve">B </w:t>
      </w:r>
      <w:proofErr w:type="spellStart"/>
      <w:r w:rsidRPr="00FC3769">
        <w:rPr>
          <w:rFonts w:ascii="Times New Roman" w:hAnsi="Times New Roman"/>
          <w:bCs/>
          <w:lang w:val="en-GB"/>
        </w:rPr>
        <w:t>Kamholz</w:t>
      </w:r>
      <w:proofErr w:type="spellEnd"/>
      <w:r w:rsidRPr="00FC3769">
        <w:rPr>
          <w:rFonts w:ascii="Times New Roman" w:hAnsi="Times New Roman"/>
          <w:bCs/>
          <w:lang w:val="en-GB"/>
        </w:rPr>
        <w:t xml:space="preserve">, </w:t>
      </w:r>
      <w:r w:rsidR="00F857AC" w:rsidRPr="00FC3769">
        <w:rPr>
          <w:rFonts w:ascii="Times New Roman" w:hAnsi="Times New Roman"/>
          <w:bCs/>
          <w:lang w:val="en-GB"/>
        </w:rPr>
        <w:t xml:space="preserve">W </w:t>
      </w:r>
      <w:proofErr w:type="spellStart"/>
      <w:r w:rsidR="00F857AC" w:rsidRPr="00FC3769">
        <w:rPr>
          <w:rFonts w:ascii="Times New Roman" w:hAnsi="Times New Roman"/>
          <w:bCs/>
          <w:lang w:val="en-GB"/>
        </w:rPr>
        <w:t>Hasemann</w:t>
      </w:r>
      <w:proofErr w:type="spellEnd"/>
      <w:r w:rsidR="00F857AC" w:rsidRPr="00FC3769">
        <w:rPr>
          <w:rFonts w:ascii="Times New Roman" w:hAnsi="Times New Roman"/>
          <w:bCs/>
          <w:lang w:val="en-GB"/>
        </w:rPr>
        <w:t xml:space="preserve">, J Young, M Agar, </w:t>
      </w:r>
      <w:r w:rsidR="000C70EF" w:rsidRPr="00FC3769">
        <w:rPr>
          <w:rFonts w:ascii="Times New Roman" w:hAnsi="Times New Roman"/>
          <w:bCs/>
          <w:lang w:val="en-GB"/>
        </w:rPr>
        <w:t xml:space="preserve">S.E.J.A. de </w:t>
      </w:r>
      <w:proofErr w:type="spellStart"/>
      <w:r w:rsidR="000C70EF" w:rsidRPr="00FC3769">
        <w:rPr>
          <w:rFonts w:ascii="Times New Roman" w:hAnsi="Times New Roman"/>
          <w:bCs/>
          <w:lang w:val="en-GB"/>
        </w:rPr>
        <w:t>Roji</w:t>
      </w:r>
      <w:proofErr w:type="spellEnd"/>
      <w:r w:rsidR="000C70EF" w:rsidRPr="00FC3769">
        <w:rPr>
          <w:rFonts w:ascii="Times New Roman" w:hAnsi="Times New Roman"/>
          <w:bCs/>
          <w:lang w:val="en-GB"/>
        </w:rPr>
        <w:t xml:space="preserve">, </w:t>
      </w:r>
      <w:r w:rsidR="008E7959" w:rsidRPr="00FC3769">
        <w:rPr>
          <w:rFonts w:ascii="Times New Roman" w:hAnsi="Times New Roman"/>
          <w:bCs/>
          <w:lang w:val="en-GB"/>
        </w:rPr>
        <w:t xml:space="preserve">Meagher D, </w:t>
      </w:r>
      <w:r w:rsidRPr="00FC3769">
        <w:rPr>
          <w:rFonts w:ascii="Times New Roman" w:hAnsi="Times New Roman"/>
          <w:bCs/>
          <w:lang w:val="en-GB"/>
        </w:rPr>
        <w:t xml:space="preserve">M </w:t>
      </w:r>
      <w:proofErr w:type="spellStart"/>
      <w:r w:rsidRPr="00FC3769">
        <w:rPr>
          <w:rFonts w:ascii="Times New Roman" w:hAnsi="Times New Roman"/>
          <w:bCs/>
          <w:lang w:val="en-GB"/>
        </w:rPr>
        <w:t>Trabucchi</w:t>
      </w:r>
      <w:proofErr w:type="spellEnd"/>
      <w:r w:rsidRPr="00FC3769">
        <w:rPr>
          <w:rFonts w:ascii="Times New Roman" w:hAnsi="Times New Roman"/>
          <w:bCs/>
          <w:lang w:val="en-GB"/>
        </w:rPr>
        <w:t>, A</w:t>
      </w:r>
      <w:r w:rsidR="00B44B3B" w:rsidRPr="00FC3769">
        <w:rPr>
          <w:rFonts w:ascii="Times New Roman" w:hAnsi="Times New Roman"/>
          <w:bCs/>
          <w:lang w:val="en-GB"/>
        </w:rPr>
        <w:t>M</w:t>
      </w:r>
      <w:r w:rsidRPr="00FC3769">
        <w:rPr>
          <w:rFonts w:ascii="Times New Roman" w:hAnsi="Times New Roman"/>
          <w:bCs/>
          <w:lang w:val="en-GB"/>
        </w:rPr>
        <w:t xml:space="preserve"> </w:t>
      </w:r>
      <w:proofErr w:type="spellStart"/>
      <w:r w:rsidRPr="00FC3769">
        <w:rPr>
          <w:rFonts w:ascii="Times New Roman" w:hAnsi="Times New Roman"/>
          <w:bCs/>
          <w:lang w:val="en-GB"/>
        </w:rPr>
        <w:t>MacLullich</w:t>
      </w:r>
      <w:proofErr w:type="spellEnd"/>
      <w:r w:rsidR="00FC3769" w:rsidRPr="00FC3769">
        <w:rPr>
          <w:rFonts w:ascii="Times New Roman" w:hAnsi="Times New Roman"/>
          <w:bCs/>
          <w:lang w:val="en-GB"/>
        </w:rPr>
        <w:t>. Variation in Clinical Practice among Experts in Europe: Results from a Survey of the European Delirium Association</w:t>
      </w:r>
    </w:p>
    <w:p w:rsidR="00D7099E" w:rsidRPr="00FC3769" w:rsidRDefault="004D1069" w:rsidP="00F65E37">
      <w:pPr>
        <w:spacing w:after="0" w:line="480" w:lineRule="auto"/>
        <w:rPr>
          <w:rFonts w:ascii="Times New Roman" w:hAnsi="Times New Roman"/>
          <w:bCs/>
          <w:lang w:val="en-GB"/>
        </w:rPr>
      </w:pPr>
      <w:r w:rsidRPr="00FC3769">
        <w:rPr>
          <w:rFonts w:ascii="Times New Roman" w:hAnsi="Times New Roman"/>
          <w:bCs/>
          <w:lang w:val="en-GB"/>
        </w:rPr>
        <w:t xml:space="preserve"> 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Pr="003C4370" w:rsidRDefault="007B1055" w:rsidP="00F65E37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B.1</w:t>
      </w:r>
      <w:r w:rsidR="003C4370" w:rsidRPr="003C4370">
        <w:rPr>
          <w:rFonts w:ascii="Times New Roman" w:hAnsi="Times New Roman"/>
          <w:b/>
          <w:color w:val="222222"/>
        </w:rPr>
        <w:t xml:space="preserve">. </w:t>
      </w:r>
      <w:r w:rsidR="003C4370" w:rsidRPr="003C4370">
        <w:rPr>
          <w:rFonts w:ascii="Times New Roman" w:hAnsi="Times New Roman"/>
          <w:color w:val="222222"/>
        </w:rPr>
        <w:t>First line pharmacological management of hyperactive delirium</w:t>
      </w:r>
      <w:r w:rsidR="001432FB">
        <w:rPr>
          <w:rFonts w:ascii="Times New Roman" w:hAnsi="Times New Roman"/>
          <w:color w:val="222222"/>
        </w:rPr>
        <w:t>.</w:t>
      </w:r>
      <w:r w:rsidR="003C4370">
        <w:rPr>
          <w:rFonts w:ascii="Times New Roman" w:hAnsi="Times New Roman"/>
          <w:b/>
          <w:color w:val="222222"/>
        </w:rPr>
        <w:t xml:space="preserve"> 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1432FB" w:rsidRPr="003C4370" w:rsidRDefault="007B1055" w:rsidP="001432F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B.2</w:t>
      </w:r>
      <w:r w:rsidR="001432FB" w:rsidRPr="003C4370">
        <w:rPr>
          <w:rFonts w:ascii="Times New Roman" w:hAnsi="Times New Roman"/>
          <w:b/>
          <w:color w:val="222222"/>
        </w:rPr>
        <w:t xml:space="preserve">. </w:t>
      </w:r>
      <w:r w:rsidR="001432FB">
        <w:rPr>
          <w:rFonts w:ascii="Times New Roman" w:hAnsi="Times New Roman"/>
          <w:color w:val="222222"/>
        </w:rPr>
        <w:t xml:space="preserve">Starting dose haloperidol for hyperactive delirium 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1432FB" w:rsidRPr="003C4370" w:rsidRDefault="007B1055" w:rsidP="001432F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B.3</w:t>
      </w:r>
      <w:r w:rsidR="001432FB" w:rsidRPr="003C4370">
        <w:rPr>
          <w:rFonts w:ascii="Times New Roman" w:hAnsi="Times New Roman"/>
          <w:b/>
          <w:color w:val="222222"/>
        </w:rPr>
        <w:t xml:space="preserve">. </w:t>
      </w:r>
      <w:r w:rsidR="001432FB">
        <w:rPr>
          <w:rFonts w:ascii="Times New Roman" w:hAnsi="Times New Roman"/>
          <w:color w:val="222222"/>
        </w:rPr>
        <w:t xml:space="preserve">Starting dose </w:t>
      </w:r>
      <w:proofErr w:type="spellStart"/>
      <w:r w:rsidR="001432FB">
        <w:rPr>
          <w:rFonts w:ascii="Times New Roman" w:hAnsi="Times New Roman"/>
          <w:color w:val="222222"/>
        </w:rPr>
        <w:t>risperidone</w:t>
      </w:r>
      <w:proofErr w:type="spellEnd"/>
      <w:r w:rsidR="001432FB">
        <w:rPr>
          <w:rFonts w:ascii="Times New Roman" w:hAnsi="Times New Roman"/>
          <w:color w:val="222222"/>
        </w:rPr>
        <w:t xml:space="preserve"> for hyperactive delirium 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412FE3" w:rsidRDefault="007B1055" w:rsidP="000B164B">
      <w:pPr>
        <w:spacing w:after="0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color w:val="222222"/>
        </w:rPr>
        <w:t>Appendix B.4</w:t>
      </w:r>
      <w:r w:rsidR="000B164B" w:rsidRPr="003C4370">
        <w:rPr>
          <w:rFonts w:ascii="Times New Roman" w:hAnsi="Times New Roman"/>
          <w:b/>
          <w:color w:val="222222"/>
        </w:rPr>
        <w:t xml:space="preserve">. </w:t>
      </w:r>
      <w:r w:rsidR="000B164B">
        <w:rPr>
          <w:rFonts w:ascii="Times New Roman" w:hAnsi="Times New Roman"/>
          <w:color w:val="222222"/>
        </w:rPr>
        <w:t>ECG monitoring after an antipsychotic is started</w:t>
      </w:r>
    </w:p>
    <w:p w:rsidR="00412FE3" w:rsidRDefault="00412FE3" w:rsidP="000B164B">
      <w:pPr>
        <w:spacing w:after="0"/>
        <w:rPr>
          <w:rFonts w:ascii="Times New Roman" w:hAnsi="Times New Roman"/>
          <w:color w:val="222222"/>
        </w:rPr>
      </w:pPr>
    </w:p>
    <w:p w:rsidR="00412FE3" w:rsidRDefault="007B1055" w:rsidP="000B164B">
      <w:pPr>
        <w:spacing w:after="0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color w:val="222222"/>
        </w:rPr>
        <w:t>Appendix B.5</w:t>
      </w:r>
      <w:r w:rsidR="00412FE3" w:rsidRPr="00412FE3">
        <w:rPr>
          <w:rFonts w:ascii="Times New Roman" w:hAnsi="Times New Roman"/>
          <w:b/>
          <w:color w:val="222222"/>
        </w:rPr>
        <w:t>.</w:t>
      </w:r>
      <w:r w:rsidR="00412FE3">
        <w:rPr>
          <w:rFonts w:ascii="Times New Roman" w:hAnsi="Times New Roman"/>
          <w:color w:val="222222"/>
        </w:rPr>
        <w:t xml:space="preserve"> Duration of pharmacological treatment for hyperactive delirium</w:t>
      </w:r>
    </w:p>
    <w:p w:rsidR="00EC2730" w:rsidRDefault="00EC2730" w:rsidP="000B164B">
      <w:pPr>
        <w:spacing w:after="0"/>
        <w:rPr>
          <w:rFonts w:ascii="Times New Roman" w:hAnsi="Times New Roman"/>
          <w:color w:val="222222"/>
        </w:rPr>
      </w:pPr>
    </w:p>
    <w:p w:rsidR="00EC2730" w:rsidRDefault="00EC2730" w:rsidP="000B164B">
      <w:pPr>
        <w:spacing w:after="0"/>
        <w:rPr>
          <w:rFonts w:ascii="Times New Roman" w:hAnsi="Times New Roman"/>
          <w:b/>
          <w:color w:val="222222"/>
        </w:rPr>
      </w:pPr>
      <w:r w:rsidRPr="00EC2730">
        <w:rPr>
          <w:rFonts w:ascii="Times New Roman" w:hAnsi="Times New Roman"/>
          <w:b/>
          <w:color w:val="222222"/>
        </w:rPr>
        <w:t>Appendix B.6.</w:t>
      </w:r>
      <w:r>
        <w:rPr>
          <w:rFonts w:ascii="Times New Roman" w:hAnsi="Times New Roman"/>
          <w:b/>
          <w:color w:val="222222"/>
        </w:rPr>
        <w:t xml:space="preserve"> </w:t>
      </w:r>
      <w:r w:rsidRPr="00EC2730">
        <w:rPr>
          <w:rFonts w:ascii="Times New Roman" w:hAnsi="Times New Roman"/>
          <w:color w:val="222222"/>
        </w:rPr>
        <w:t>Barriers to improving the detection of delirium</w:t>
      </w:r>
    </w:p>
    <w:p w:rsidR="00EC2730" w:rsidRDefault="00EC2730" w:rsidP="000B164B">
      <w:pPr>
        <w:spacing w:after="0"/>
        <w:rPr>
          <w:rFonts w:ascii="Times New Roman" w:hAnsi="Times New Roman"/>
          <w:b/>
          <w:color w:val="222222"/>
        </w:rPr>
      </w:pPr>
    </w:p>
    <w:p w:rsidR="00EC2730" w:rsidRPr="00EC2730" w:rsidRDefault="00EC2730" w:rsidP="000B164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Appendix B.7. </w:t>
      </w:r>
      <w:r w:rsidRPr="00EC2730">
        <w:rPr>
          <w:rFonts w:ascii="Times New Roman" w:hAnsi="Times New Roman"/>
          <w:color w:val="222222"/>
        </w:rPr>
        <w:t>Barriers to improving the management of delirium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1055" w:rsidRDefault="00EC2730" w:rsidP="007B1055">
      <w:pPr>
        <w:spacing w:after="0"/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  <w:bCs/>
          <w:lang w:val="en-GB"/>
        </w:rPr>
        <w:t>Appendix B.8</w:t>
      </w:r>
      <w:r w:rsidR="007B1055" w:rsidRPr="00FC3769">
        <w:rPr>
          <w:rFonts w:ascii="Times New Roman" w:hAnsi="Times New Roman"/>
          <w:b/>
          <w:bCs/>
          <w:lang w:val="en-GB"/>
        </w:rPr>
        <w:t>.</w:t>
      </w:r>
      <w:r w:rsidR="007B1055">
        <w:rPr>
          <w:rFonts w:ascii="Times New Roman" w:hAnsi="Times New Roman"/>
          <w:bCs/>
          <w:lang w:val="en-GB"/>
        </w:rPr>
        <w:t xml:space="preserve"> </w:t>
      </w:r>
      <w:r w:rsidR="007B1055" w:rsidRPr="00FC3769">
        <w:rPr>
          <w:rFonts w:ascii="Times New Roman" w:hAnsi="Times New Roman"/>
        </w:rPr>
        <w:t>Comparison between delirium experts and non experts on</w:t>
      </w:r>
      <w:r w:rsidR="007B1055">
        <w:rPr>
          <w:rFonts w:ascii="Times New Roman" w:hAnsi="Times New Roman"/>
          <w:b/>
        </w:rPr>
        <w:t xml:space="preserve"> </w:t>
      </w:r>
      <w:r w:rsidR="007B1055">
        <w:rPr>
          <w:rFonts w:ascii="Times New Roman" w:hAnsi="Times New Roman"/>
          <w:bCs/>
          <w:lang w:val="en-GB"/>
        </w:rPr>
        <w:t xml:space="preserve">the management of hyperactive and hypoactive delirium. </w:t>
      </w:r>
      <w:r w:rsidR="007B1055">
        <w:rPr>
          <w:rFonts w:ascii="Times New Roman" w:hAnsi="Times New Roman"/>
          <w:color w:val="000000"/>
        </w:rPr>
        <w:t xml:space="preserve">We defined experts in delirium management as those responders who: (1) scored ≥8/10 in the self-report question: “How would you </w:t>
      </w:r>
      <w:r w:rsidR="007B1055" w:rsidRPr="00157FA8">
        <w:rPr>
          <w:rFonts w:ascii="Times New Roman" w:hAnsi="Times New Roman"/>
          <w:color w:val="222222"/>
        </w:rPr>
        <w:t>rat</w:t>
      </w:r>
      <w:r w:rsidR="007B1055">
        <w:rPr>
          <w:rFonts w:ascii="Times New Roman" w:hAnsi="Times New Roman"/>
          <w:color w:val="222222"/>
        </w:rPr>
        <w:t>e your knowledge of delirium”; and (2) gave a response of "more than sufficient" to the question</w:t>
      </w:r>
      <w:r w:rsidR="007B1055" w:rsidRPr="00157FA8">
        <w:rPr>
          <w:rFonts w:ascii="Times New Roman" w:hAnsi="Times New Roman"/>
          <w:color w:val="222222"/>
        </w:rPr>
        <w:t> "How much training you have received on delirium management</w:t>
      </w:r>
      <w:r w:rsidR="007B1055">
        <w:rPr>
          <w:rFonts w:ascii="Times New Roman" w:hAnsi="Times New Roman"/>
          <w:color w:val="222222"/>
        </w:rPr>
        <w:t>.</w:t>
      </w:r>
      <w:r w:rsidR="007B1055" w:rsidRPr="00157FA8">
        <w:rPr>
          <w:rFonts w:ascii="Times New Roman" w:hAnsi="Times New Roman"/>
          <w:color w:val="222222"/>
        </w:rPr>
        <w:t>"</w:t>
      </w: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Pr="007B6DA4" w:rsidRDefault="007B6DA4" w:rsidP="00F65E37">
      <w:pPr>
        <w:spacing w:after="0"/>
        <w:rPr>
          <w:rFonts w:ascii="Times New Roman" w:hAnsi="Times New Roman"/>
          <w:color w:val="222222"/>
        </w:rPr>
      </w:pPr>
    </w:p>
    <w:p w:rsidR="007B6DA4" w:rsidRPr="00B202D9" w:rsidRDefault="007B6DA4" w:rsidP="007B6DA4">
      <w:pPr>
        <w:autoSpaceDE w:val="0"/>
        <w:autoSpaceDN w:val="0"/>
        <w:adjustRightInd w:val="0"/>
        <w:spacing w:after="0"/>
        <w:rPr>
          <w:rFonts w:ascii="Times New Roman" w:eastAsia="Calibri" w:hAnsi="Times New Roman"/>
        </w:rPr>
      </w:pPr>
      <w:r w:rsidRPr="007B6DA4">
        <w:rPr>
          <w:rFonts w:ascii="Times New Roman" w:eastAsia="Calibri" w:hAnsi="Times New Roman"/>
        </w:rPr>
        <w:t xml:space="preserve">This supplementary material has been provided by </w:t>
      </w:r>
      <w:bookmarkStart w:id="0" w:name="_GoBack"/>
      <w:bookmarkEnd w:id="0"/>
      <w:r w:rsidRPr="00B202D9">
        <w:rPr>
          <w:rFonts w:ascii="Times New Roman" w:eastAsia="Calibri" w:hAnsi="Times New Roman"/>
        </w:rPr>
        <w:t>the authors to give readers additional</w:t>
      </w:r>
    </w:p>
    <w:p w:rsidR="007B6DA4" w:rsidRPr="007B6DA4" w:rsidRDefault="007B6DA4" w:rsidP="007B6DA4">
      <w:pPr>
        <w:spacing w:after="0"/>
        <w:rPr>
          <w:rFonts w:ascii="Times New Roman" w:hAnsi="Times New Roman"/>
          <w:bCs/>
        </w:rPr>
        <w:sectPr w:rsidR="007B6DA4" w:rsidRPr="007B6DA4" w:rsidSect="00FC3769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B202D9">
        <w:rPr>
          <w:rFonts w:ascii="Times New Roman" w:eastAsia="Calibri" w:hAnsi="Times New Roman"/>
        </w:rPr>
        <w:t xml:space="preserve">information about their work. It was last updated on </w:t>
      </w:r>
      <w:r w:rsidR="00BF58E5">
        <w:rPr>
          <w:rFonts w:ascii="Times New Roman" w:eastAsia="Calibri" w:hAnsi="Times New Roman"/>
        </w:rPr>
        <w:t>May 15</w:t>
      </w:r>
      <w:r w:rsidR="00B202D9" w:rsidRPr="00B202D9">
        <w:rPr>
          <w:rFonts w:ascii="Times New Roman" w:eastAsia="Calibri" w:hAnsi="Times New Roman"/>
        </w:rPr>
        <w:t>th, 2013</w:t>
      </w:r>
      <w:r w:rsidRPr="00B202D9">
        <w:rPr>
          <w:rFonts w:ascii="Times New Roman" w:eastAsia="Calibri" w:hAnsi="Times New Roman"/>
        </w:rPr>
        <w:t>.</w:t>
      </w:r>
    </w:p>
    <w:p w:rsidR="005C2846" w:rsidRDefault="007B10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Appendix B.1</w:t>
      </w:r>
      <w:r w:rsidR="005C2846">
        <w:rPr>
          <w:rFonts w:ascii="Times New Roman" w:hAnsi="Times New Roman"/>
          <w:b/>
        </w:rPr>
        <w:t xml:space="preserve">: </w:t>
      </w:r>
      <w:r w:rsidR="001432FB">
        <w:rPr>
          <w:rFonts w:ascii="Times New Roman" w:hAnsi="Times New Roman"/>
          <w:b/>
        </w:rPr>
        <w:t>First line pharmacological management in hyperactive delirium</w:t>
      </w:r>
    </w:p>
    <w:p w:rsidR="005C2846" w:rsidRDefault="001432FB">
      <w:pPr>
        <w:rPr>
          <w:rFonts w:ascii="Times New Roman" w:hAnsi="Times New Roman"/>
          <w:b/>
        </w:rPr>
      </w:pPr>
      <w:r w:rsidRPr="001432FB"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6120130" cy="4886325"/>
            <wp:effectExtent l="19050" t="0" r="13970" b="0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2846" w:rsidRPr="001432FB" w:rsidRDefault="005C2846">
      <w:pPr>
        <w:rPr>
          <w:rFonts w:ascii="Times New Roman" w:hAnsi="Times New Roman"/>
          <w:b/>
        </w:rPr>
      </w:pPr>
    </w:p>
    <w:p w:rsidR="003E0BEF" w:rsidRDefault="003E0BEF">
      <w:pPr>
        <w:rPr>
          <w:rFonts w:ascii="Times New Roman" w:hAnsi="Times New Roman"/>
          <w:b/>
        </w:rPr>
      </w:pPr>
    </w:p>
    <w:p w:rsidR="001432FB" w:rsidRPr="003C4370" w:rsidRDefault="003E0BEF" w:rsidP="001432F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</w:rPr>
        <w:br w:type="page"/>
      </w:r>
      <w:r w:rsidR="007B1055">
        <w:rPr>
          <w:rFonts w:ascii="Times New Roman" w:hAnsi="Times New Roman"/>
          <w:b/>
          <w:color w:val="222222"/>
        </w:rPr>
        <w:lastRenderedPageBreak/>
        <w:t>Appendix B.2</w:t>
      </w:r>
      <w:r w:rsidR="001432FB" w:rsidRPr="003C4370">
        <w:rPr>
          <w:rFonts w:ascii="Times New Roman" w:hAnsi="Times New Roman"/>
          <w:b/>
          <w:color w:val="222222"/>
        </w:rPr>
        <w:t xml:space="preserve">. </w:t>
      </w:r>
      <w:r w:rsidR="001432FB">
        <w:rPr>
          <w:rFonts w:ascii="Times New Roman" w:hAnsi="Times New Roman"/>
          <w:color w:val="222222"/>
        </w:rPr>
        <w:t xml:space="preserve">Starting dose haloperidol for hyperactive delirium </w:t>
      </w:r>
    </w:p>
    <w:p w:rsidR="003E0BEF" w:rsidRDefault="003E0BEF">
      <w:pPr>
        <w:rPr>
          <w:rFonts w:ascii="Times New Roman" w:hAnsi="Times New Roman"/>
          <w:b/>
        </w:rPr>
      </w:pPr>
    </w:p>
    <w:p w:rsidR="003E0BEF" w:rsidRDefault="001432FB">
      <w:pPr>
        <w:rPr>
          <w:rFonts w:ascii="Times New Roman" w:hAnsi="Times New Roman"/>
          <w:b/>
        </w:rPr>
      </w:pPr>
      <w:r w:rsidRPr="001432FB"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4333875" cy="2743200"/>
            <wp:effectExtent l="19050" t="0" r="9525" b="0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2FB" w:rsidRDefault="001432FB">
      <w:pPr>
        <w:rPr>
          <w:rFonts w:ascii="Times New Roman" w:hAnsi="Times New Roman"/>
          <w:b/>
        </w:rPr>
      </w:pPr>
    </w:p>
    <w:p w:rsidR="001432FB" w:rsidRDefault="001432FB">
      <w:pPr>
        <w:rPr>
          <w:rFonts w:ascii="Times New Roman" w:hAnsi="Times New Roman"/>
          <w:b/>
        </w:rPr>
      </w:pPr>
      <w:r w:rsidRPr="001432FB"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4438650" cy="2743200"/>
            <wp:effectExtent l="19050" t="0" r="19050" b="0"/>
            <wp:docPr id="5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Default="001432FB" w:rsidP="001432FB">
      <w:pPr>
        <w:spacing w:after="0"/>
        <w:rPr>
          <w:rFonts w:ascii="Times New Roman" w:hAnsi="Times New Roman"/>
          <w:b/>
          <w:color w:val="222222"/>
        </w:rPr>
      </w:pPr>
    </w:p>
    <w:p w:rsidR="001432FB" w:rsidRPr="003C4370" w:rsidRDefault="007B1055" w:rsidP="001432F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lastRenderedPageBreak/>
        <w:t>Appendix B.3</w:t>
      </w:r>
      <w:r w:rsidR="001432FB" w:rsidRPr="003C4370">
        <w:rPr>
          <w:rFonts w:ascii="Times New Roman" w:hAnsi="Times New Roman"/>
          <w:b/>
          <w:color w:val="222222"/>
        </w:rPr>
        <w:t xml:space="preserve">. </w:t>
      </w:r>
      <w:r w:rsidR="001432FB">
        <w:rPr>
          <w:rFonts w:ascii="Times New Roman" w:hAnsi="Times New Roman"/>
          <w:color w:val="222222"/>
        </w:rPr>
        <w:t xml:space="preserve">Starting dose </w:t>
      </w:r>
      <w:proofErr w:type="spellStart"/>
      <w:r w:rsidR="001432FB">
        <w:rPr>
          <w:rFonts w:ascii="Times New Roman" w:hAnsi="Times New Roman"/>
          <w:color w:val="222222"/>
        </w:rPr>
        <w:t>risperidone</w:t>
      </w:r>
      <w:proofErr w:type="spellEnd"/>
      <w:r w:rsidR="001432FB">
        <w:rPr>
          <w:rFonts w:ascii="Times New Roman" w:hAnsi="Times New Roman"/>
          <w:color w:val="222222"/>
        </w:rPr>
        <w:t xml:space="preserve"> for hyperactive delirium </w:t>
      </w:r>
    </w:p>
    <w:p w:rsidR="001432FB" w:rsidRDefault="001432FB">
      <w:pPr>
        <w:rPr>
          <w:rFonts w:ascii="Times New Roman" w:hAnsi="Times New Roman"/>
          <w:b/>
        </w:rPr>
      </w:pPr>
    </w:p>
    <w:p w:rsidR="001432FB" w:rsidRDefault="001432FB">
      <w:pPr>
        <w:rPr>
          <w:rFonts w:ascii="Times New Roman" w:hAnsi="Times New Roman"/>
          <w:b/>
        </w:rPr>
      </w:pPr>
      <w:r w:rsidRPr="001432FB"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4838699" cy="2809875"/>
            <wp:effectExtent l="19050" t="0" r="19051" b="0"/>
            <wp:docPr id="4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164B" w:rsidRDefault="000B164B" w:rsidP="000B164B">
      <w:pPr>
        <w:spacing w:after="0"/>
        <w:rPr>
          <w:rFonts w:ascii="Times New Roman" w:hAnsi="Times New Roman"/>
          <w:b/>
          <w:color w:val="222222"/>
        </w:rPr>
      </w:pPr>
    </w:p>
    <w:p w:rsidR="000B164B" w:rsidRPr="003C4370" w:rsidRDefault="007B1055" w:rsidP="000B164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B.4</w:t>
      </w:r>
      <w:r w:rsidR="000B164B" w:rsidRPr="003C4370">
        <w:rPr>
          <w:rFonts w:ascii="Times New Roman" w:hAnsi="Times New Roman"/>
          <w:b/>
          <w:color w:val="222222"/>
        </w:rPr>
        <w:t xml:space="preserve">. </w:t>
      </w:r>
      <w:r w:rsidR="000B164B">
        <w:rPr>
          <w:rFonts w:ascii="Times New Roman" w:hAnsi="Times New Roman"/>
          <w:color w:val="222222"/>
        </w:rPr>
        <w:t>ECG monitoring after an antipsychotic is started</w:t>
      </w:r>
    </w:p>
    <w:p w:rsidR="000B164B" w:rsidRDefault="000B164B">
      <w:pPr>
        <w:rPr>
          <w:rFonts w:ascii="Times New Roman" w:hAnsi="Times New Roman"/>
          <w:b/>
        </w:rPr>
      </w:pPr>
    </w:p>
    <w:p w:rsidR="000B164B" w:rsidRDefault="000B164B">
      <w:pPr>
        <w:rPr>
          <w:rFonts w:ascii="Times New Roman" w:hAnsi="Times New Roman"/>
          <w:b/>
        </w:rPr>
      </w:pPr>
      <w:r w:rsidRPr="000B164B"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5353050" cy="4714875"/>
            <wp:effectExtent l="19050" t="0" r="19050" b="0"/>
            <wp:docPr id="6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2FE3" w:rsidRDefault="007B1055">
      <w:pPr>
        <w:rPr>
          <w:rFonts w:ascii="Times New Roman" w:hAnsi="Times New Roman"/>
          <w:color w:val="222222"/>
        </w:rPr>
      </w:pPr>
      <w:r>
        <w:rPr>
          <w:rFonts w:ascii="Times New Roman" w:hAnsi="Times New Roman"/>
          <w:b/>
        </w:rPr>
        <w:lastRenderedPageBreak/>
        <w:t>Appendix B.5</w:t>
      </w:r>
      <w:r w:rsidR="00412FE3">
        <w:rPr>
          <w:rFonts w:ascii="Times New Roman" w:hAnsi="Times New Roman"/>
          <w:b/>
        </w:rPr>
        <w:t xml:space="preserve">: </w:t>
      </w:r>
      <w:r w:rsidR="00412FE3">
        <w:rPr>
          <w:rFonts w:ascii="Times New Roman" w:hAnsi="Times New Roman"/>
          <w:color w:val="222222"/>
        </w:rPr>
        <w:t>Duration of pharmacological treatment for hyperactive delirium</w:t>
      </w:r>
    </w:p>
    <w:p w:rsidR="00412FE3" w:rsidRDefault="00412FE3">
      <w:pPr>
        <w:rPr>
          <w:rFonts w:ascii="Times New Roman" w:hAnsi="Times New Roman"/>
          <w:color w:val="222222"/>
        </w:rPr>
      </w:pPr>
    </w:p>
    <w:p w:rsidR="00412FE3" w:rsidRDefault="00E869D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it-IT" w:eastAsia="it-IT"/>
        </w:rPr>
        <w:drawing>
          <wp:inline distT="0" distB="0" distL="0" distR="0">
            <wp:extent cx="6120130" cy="4098301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55" w:rsidRDefault="007B1055">
      <w:pPr>
        <w:rPr>
          <w:rFonts w:ascii="Times New Roman" w:hAnsi="Times New Roman"/>
          <w:b/>
        </w:rPr>
      </w:pPr>
    </w:p>
    <w:p w:rsidR="006C075A" w:rsidRDefault="006C075A" w:rsidP="006C075A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</w:rPr>
        <w:br w:type="page"/>
      </w:r>
      <w:r w:rsidRPr="00EC2730">
        <w:rPr>
          <w:rFonts w:ascii="Times New Roman" w:hAnsi="Times New Roman"/>
          <w:b/>
          <w:color w:val="222222"/>
        </w:rPr>
        <w:lastRenderedPageBreak/>
        <w:t>Appendix B.6.</w:t>
      </w:r>
      <w:r>
        <w:rPr>
          <w:rFonts w:ascii="Times New Roman" w:hAnsi="Times New Roman"/>
          <w:b/>
          <w:color w:val="222222"/>
        </w:rPr>
        <w:t xml:space="preserve"> </w:t>
      </w:r>
      <w:r w:rsidRPr="00EC2730">
        <w:rPr>
          <w:rFonts w:ascii="Times New Roman" w:hAnsi="Times New Roman"/>
          <w:color w:val="222222"/>
        </w:rPr>
        <w:t>Barriers to improving the detection of delirium</w:t>
      </w:r>
    </w:p>
    <w:p w:rsidR="006C075A" w:rsidRDefault="006C075A" w:rsidP="006C075A">
      <w:pPr>
        <w:spacing w:after="0"/>
        <w:rPr>
          <w:rFonts w:ascii="Times New Roman" w:hAnsi="Times New Roman"/>
          <w:b/>
          <w:color w:val="222222"/>
        </w:rPr>
      </w:pPr>
    </w:p>
    <w:p w:rsidR="007B1055" w:rsidRDefault="007B1055">
      <w:pPr>
        <w:rPr>
          <w:rFonts w:ascii="Times New Roman" w:hAnsi="Times New Roman"/>
          <w:b/>
          <w:color w:val="222222"/>
        </w:rPr>
      </w:pPr>
    </w:p>
    <w:p w:rsidR="006C075A" w:rsidRDefault="006C075A">
      <w:pPr>
        <w:rPr>
          <w:rFonts w:ascii="Times New Roman" w:hAnsi="Times New Roman"/>
          <w:b/>
          <w:color w:val="222222"/>
        </w:rPr>
      </w:pPr>
      <w:r>
        <w:rPr>
          <w:noProof/>
          <w:lang w:val="it-IT" w:eastAsia="it-IT"/>
        </w:rPr>
        <w:drawing>
          <wp:inline distT="0" distB="0" distL="0" distR="0">
            <wp:extent cx="6022340" cy="33147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075A" w:rsidRDefault="006C075A">
      <w:pPr>
        <w:rPr>
          <w:rFonts w:ascii="Times New Roman" w:hAnsi="Times New Roman"/>
          <w:b/>
        </w:rPr>
      </w:pPr>
    </w:p>
    <w:p w:rsidR="006C075A" w:rsidRDefault="006C075A">
      <w:pPr>
        <w:rPr>
          <w:rFonts w:ascii="Times New Roman" w:hAnsi="Times New Roman"/>
          <w:b/>
        </w:rPr>
      </w:pPr>
    </w:p>
    <w:p w:rsidR="006C075A" w:rsidRDefault="006C075A" w:rsidP="006C075A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  <w:color w:val="222222"/>
        </w:rPr>
        <w:lastRenderedPageBreak/>
        <w:t>Appendix B.7</w:t>
      </w:r>
      <w:r w:rsidRPr="00EC2730">
        <w:rPr>
          <w:rFonts w:ascii="Times New Roman" w:hAnsi="Times New Roman"/>
          <w:b/>
          <w:color w:val="222222"/>
        </w:rPr>
        <w:t>.</w:t>
      </w:r>
      <w:r>
        <w:rPr>
          <w:rFonts w:ascii="Times New Roman" w:hAnsi="Times New Roman"/>
          <w:b/>
          <w:color w:val="222222"/>
        </w:rPr>
        <w:t xml:space="preserve"> </w:t>
      </w:r>
      <w:r w:rsidRPr="00EC2730">
        <w:rPr>
          <w:rFonts w:ascii="Times New Roman" w:hAnsi="Times New Roman"/>
          <w:color w:val="222222"/>
        </w:rPr>
        <w:t xml:space="preserve">Barriers to improving the </w:t>
      </w:r>
      <w:r>
        <w:rPr>
          <w:rFonts w:ascii="Times New Roman" w:hAnsi="Times New Roman"/>
          <w:color w:val="222222"/>
        </w:rPr>
        <w:t>management</w:t>
      </w:r>
      <w:r w:rsidRPr="00EC2730">
        <w:rPr>
          <w:rFonts w:ascii="Times New Roman" w:hAnsi="Times New Roman"/>
          <w:color w:val="222222"/>
        </w:rPr>
        <w:t xml:space="preserve"> of delirium</w:t>
      </w:r>
    </w:p>
    <w:p w:rsidR="006C075A" w:rsidRDefault="006C075A">
      <w:pPr>
        <w:rPr>
          <w:rFonts w:ascii="Times New Roman" w:hAnsi="Times New Roman"/>
          <w:b/>
        </w:rPr>
      </w:pPr>
    </w:p>
    <w:p w:rsidR="006C075A" w:rsidRDefault="006C075A">
      <w:pPr>
        <w:rPr>
          <w:rFonts w:ascii="Times New Roman" w:hAnsi="Times New Roman"/>
          <w:b/>
        </w:rPr>
      </w:pPr>
    </w:p>
    <w:p w:rsidR="006C075A" w:rsidRDefault="006C075A">
      <w:pPr>
        <w:rPr>
          <w:rFonts w:ascii="Times New Roman" w:hAnsi="Times New Roman"/>
          <w:b/>
        </w:rPr>
        <w:sectPr w:rsidR="006C075A" w:rsidSect="009A215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noProof/>
          <w:lang w:val="it-IT" w:eastAsia="it-IT"/>
        </w:rPr>
        <w:drawing>
          <wp:inline distT="0" distB="0" distL="0" distR="0">
            <wp:extent cx="6477000" cy="3223895"/>
            <wp:effectExtent l="0" t="0" r="0" b="19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1055" w:rsidRDefault="007B1055" w:rsidP="007B105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Appendix B.6: Comparison between delirium experts and non experts</w:t>
      </w:r>
    </w:p>
    <w:tbl>
      <w:tblPr>
        <w:tblStyle w:val="Grigliatabella"/>
        <w:tblW w:w="0" w:type="auto"/>
        <w:tblInd w:w="-459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406"/>
        <w:gridCol w:w="2339"/>
        <w:gridCol w:w="3103"/>
        <w:gridCol w:w="3011"/>
        <w:gridCol w:w="3103"/>
      </w:tblGrid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97330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339" w:type="dxa"/>
          </w:tcPr>
          <w:p w:rsidR="007B1055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Delirium experts</w:t>
            </w:r>
          </w:p>
          <w:p w:rsidR="007B1055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 (%)</w:t>
            </w:r>
          </w:p>
        </w:tc>
        <w:tc>
          <w:tcPr>
            <w:tcW w:w="3103" w:type="dxa"/>
          </w:tcPr>
          <w:p w:rsidR="007B1055" w:rsidRDefault="007B1055" w:rsidP="007B1055">
            <w:pPr>
              <w:ind w:left="-559" w:firstLine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Delirium non experts</w:t>
            </w:r>
          </w:p>
          <w:p w:rsidR="007B1055" w:rsidRDefault="007B1055" w:rsidP="007B1055">
            <w:pPr>
              <w:ind w:left="-559" w:firstLine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 (%)</w:t>
            </w:r>
          </w:p>
        </w:tc>
        <w:tc>
          <w:tcPr>
            <w:tcW w:w="3011" w:type="dxa"/>
          </w:tcPr>
          <w:p w:rsidR="007B1055" w:rsidRDefault="007B1055" w:rsidP="007B1055">
            <w:pPr>
              <w:ind w:left="-559" w:firstLine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 squared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ind w:left="-559" w:firstLine="5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 value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Routine assessment for delirium in the</w:t>
            </w: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daily practice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 (95%)</w:t>
            </w:r>
          </w:p>
        </w:tc>
        <w:tc>
          <w:tcPr>
            <w:tcW w:w="3103" w:type="dxa"/>
          </w:tcPr>
          <w:p w:rsidR="007B1055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 (92%)</w:t>
            </w:r>
          </w:p>
        </w:tc>
        <w:tc>
          <w:tcPr>
            <w:tcW w:w="3011" w:type="dxa"/>
          </w:tcPr>
          <w:p w:rsidR="007B1055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0.277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0.673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Pharmacological as the first approach for the management of hyperactive delirium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(11.2%)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(6.8%)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0.441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0.506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Non pharmacological as the first approach for the management of hyperactive delirium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(25.8%)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(31.8%)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0.377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0.539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Non pharmacological as the first approach for the management of hypoactive delirium 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(74.2%)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 (61.2%)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2.179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0.018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Haloperidol as the first line pharmacological management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of agitation </w:t>
            </w: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in hyperactive delirium  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 (91.4%)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 (76.8%)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6.606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0.010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Oral route for the haloperidol use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 (83.9%)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 (75.3%)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1.111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0.291</w:t>
            </w:r>
          </w:p>
        </w:tc>
      </w:tr>
      <w:tr w:rsidR="007B1055" w:rsidRPr="00973307" w:rsidTr="007B1055">
        <w:tc>
          <w:tcPr>
            <w:tcW w:w="3406" w:type="dxa"/>
          </w:tcPr>
          <w:p w:rsidR="007B1055" w:rsidRPr="00973307" w:rsidRDefault="007B1055" w:rsidP="007B1055">
            <w:pPr>
              <w:rPr>
                <w:rFonts w:ascii="Times New Roman" w:hAnsi="Times New Roman"/>
                <w:b/>
              </w:rPr>
            </w:pPr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Routinely evaluation of the </w:t>
            </w:r>
            <w:proofErr w:type="spellStart"/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QTc</w:t>
            </w:r>
            <w:proofErr w:type="spellEnd"/>
            <w:r w:rsidRPr="0097330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interval on the ECG before initiating medication</w:t>
            </w:r>
          </w:p>
        </w:tc>
        <w:tc>
          <w:tcPr>
            <w:tcW w:w="2339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 (63.9%)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 (59.8%)</w:t>
            </w:r>
          </w:p>
        </w:tc>
        <w:tc>
          <w:tcPr>
            <w:tcW w:w="3011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0.116</w:t>
            </w:r>
          </w:p>
        </w:tc>
        <w:tc>
          <w:tcPr>
            <w:tcW w:w="3103" w:type="dxa"/>
          </w:tcPr>
          <w:p w:rsidR="007B1055" w:rsidRPr="00973307" w:rsidRDefault="007B1055" w:rsidP="007B10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0.733</w:t>
            </w:r>
          </w:p>
        </w:tc>
      </w:tr>
    </w:tbl>
    <w:p w:rsidR="007B1055" w:rsidRDefault="007B1055" w:rsidP="007B1055">
      <w:pPr>
        <w:rPr>
          <w:rFonts w:ascii="Times New Roman" w:hAnsi="Times New Roman"/>
          <w:b/>
        </w:rPr>
      </w:pPr>
    </w:p>
    <w:p w:rsidR="007B1055" w:rsidRPr="004A524B" w:rsidRDefault="007B1055">
      <w:pPr>
        <w:rPr>
          <w:rFonts w:ascii="Times New Roman" w:hAnsi="Times New Roman"/>
          <w:b/>
        </w:rPr>
      </w:pPr>
    </w:p>
    <w:sectPr w:rsidR="007B1055" w:rsidRPr="004A524B" w:rsidSect="007B10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30" w:rsidRDefault="00EC2730" w:rsidP="00FC3769">
      <w:pPr>
        <w:spacing w:after="0"/>
      </w:pPr>
      <w:r>
        <w:separator/>
      </w:r>
    </w:p>
  </w:endnote>
  <w:endnote w:type="continuationSeparator" w:id="0">
    <w:p w:rsidR="00EC2730" w:rsidRDefault="00EC2730" w:rsidP="00FC37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30" w:rsidRDefault="00EC2730" w:rsidP="00FC3769">
      <w:pPr>
        <w:spacing w:after="0"/>
      </w:pPr>
      <w:r>
        <w:separator/>
      </w:r>
    </w:p>
  </w:footnote>
  <w:footnote w:type="continuationSeparator" w:id="0">
    <w:p w:rsidR="00EC2730" w:rsidRDefault="00EC2730" w:rsidP="00FC37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30" w:rsidRPr="001432FB" w:rsidRDefault="00EC2730">
    <w:pPr>
      <w:pStyle w:val="Intestazione"/>
      <w:rPr>
        <w:rFonts w:ascii="Times New Roman" w:hAnsi="Times New Roman"/>
        <w:b/>
      </w:rPr>
    </w:pPr>
    <w:r w:rsidRPr="001432FB">
      <w:rPr>
        <w:rFonts w:ascii="Times New Roman" w:hAnsi="Times New Roman"/>
        <w:b/>
      </w:rPr>
      <w:t xml:space="preserve">Morandi A, et al. </w:t>
    </w:r>
    <w:r w:rsidRPr="001432FB">
      <w:rPr>
        <w:rFonts w:ascii="Times New Roman" w:hAnsi="Times New Roman"/>
        <w:b/>
      </w:rPr>
      <w:tab/>
      <w:t xml:space="preserve">EDA Survey </w:t>
    </w:r>
    <w:r w:rsidRPr="001432FB">
      <w:rPr>
        <w:rFonts w:ascii="Times New Roman" w:hAnsi="Times New Roman"/>
        <w:b/>
      </w:rPr>
      <w:tab/>
      <w:t>Supplementary Online Content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4EFB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B073F0"/>
    <w:multiLevelType w:val="hybridMultilevel"/>
    <w:tmpl w:val="2AA43294"/>
    <w:lvl w:ilvl="0" w:tplc="E734645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D86"/>
    <w:rsid w:val="00054175"/>
    <w:rsid w:val="000B164B"/>
    <w:rsid w:val="000B5025"/>
    <w:rsid w:val="000C70EF"/>
    <w:rsid w:val="001107E7"/>
    <w:rsid w:val="00142A5A"/>
    <w:rsid w:val="001432FB"/>
    <w:rsid w:val="001532EE"/>
    <w:rsid w:val="00157FA8"/>
    <w:rsid w:val="001615F2"/>
    <w:rsid w:val="00184A1B"/>
    <w:rsid w:val="001C0F43"/>
    <w:rsid w:val="001C592A"/>
    <w:rsid w:val="001D5871"/>
    <w:rsid w:val="0020406C"/>
    <w:rsid w:val="00213073"/>
    <w:rsid w:val="002423CE"/>
    <w:rsid w:val="00257654"/>
    <w:rsid w:val="00260DF4"/>
    <w:rsid w:val="00273069"/>
    <w:rsid w:val="0027729D"/>
    <w:rsid w:val="00294D86"/>
    <w:rsid w:val="002D2B48"/>
    <w:rsid w:val="002F121B"/>
    <w:rsid w:val="002F720B"/>
    <w:rsid w:val="00332DD7"/>
    <w:rsid w:val="003538EE"/>
    <w:rsid w:val="00364EC2"/>
    <w:rsid w:val="003A1B1A"/>
    <w:rsid w:val="003C4370"/>
    <w:rsid w:val="003E0BEF"/>
    <w:rsid w:val="00412FE3"/>
    <w:rsid w:val="00415ABE"/>
    <w:rsid w:val="004A524B"/>
    <w:rsid w:val="004B5BEF"/>
    <w:rsid w:val="004D1069"/>
    <w:rsid w:val="004D5426"/>
    <w:rsid w:val="00523568"/>
    <w:rsid w:val="00524A29"/>
    <w:rsid w:val="005312F4"/>
    <w:rsid w:val="00551540"/>
    <w:rsid w:val="0057294E"/>
    <w:rsid w:val="00594246"/>
    <w:rsid w:val="005C0F4E"/>
    <w:rsid w:val="005C2846"/>
    <w:rsid w:val="006418A9"/>
    <w:rsid w:val="00650DB3"/>
    <w:rsid w:val="006C075A"/>
    <w:rsid w:val="006E12CA"/>
    <w:rsid w:val="006E7E52"/>
    <w:rsid w:val="006F7665"/>
    <w:rsid w:val="0070741F"/>
    <w:rsid w:val="00747D2A"/>
    <w:rsid w:val="00764B59"/>
    <w:rsid w:val="00765781"/>
    <w:rsid w:val="0077697A"/>
    <w:rsid w:val="007B1055"/>
    <w:rsid w:val="007B6DA4"/>
    <w:rsid w:val="0080436F"/>
    <w:rsid w:val="00830212"/>
    <w:rsid w:val="00840EAD"/>
    <w:rsid w:val="008620ED"/>
    <w:rsid w:val="008817A1"/>
    <w:rsid w:val="008E0112"/>
    <w:rsid w:val="008E7959"/>
    <w:rsid w:val="008F3F50"/>
    <w:rsid w:val="009162CB"/>
    <w:rsid w:val="00932059"/>
    <w:rsid w:val="00962B26"/>
    <w:rsid w:val="00973307"/>
    <w:rsid w:val="009A1FA1"/>
    <w:rsid w:val="009A2156"/>
    <w:rsid w:val="009A30C6"/>
    <w:rsid w:val="00A10FB1"/>
    <w:rsid w:val="00A11323"/>
    <w:rsid w:val="00AB087D"/>
    <w:rsid w:val="00AC7E94"/>
    <w:rsid w:val="00AF7959"/>
    <w:rsid w:val="00B202D9"/>
    <w:rsid w:val="00B23FE2"/>
    <w:rsid w:val="00B37A5A"/>
    <w:rsid w:val="00B44B3B"/>
    <w:rsid w:val="00B5088A"/>
    <w:rsid w:val="00B839C4"/>
    <w:rsid w:val="00BB4CAF"/>
    <w:rsid w:val="00BE1230"/>
    <w:rsid w:val="00BF58E5"/>
    <w:rsid w:val="00C12A8A"/>
    <w:rsid w:val="00C13F9D"/>
    <w:rsid w:val="00C334AD"/>
    <w:rsid w:val="00C61517"/>
    <w:rsid w:val="00C70285"/>
    <w:rsid w:val="00CA2C79"/>
    <w:rsid w:val="00CC6612"/>
    <w:rsid w:val="00D46102"/>
    <w:rsid w:val="00D53073"/>
    <w:rsid w:val="00D7099E"/>
    <w:rsid w:val="00D77A29"/>
    <w:rsid w:val="00D77EED"/>
    <w:rsid w:val="00D92902"/>
    <w:rsid w:val="00DA337F"/>
    <w:rsid w:val="00DA67F0"/>
    <w:rsid w:val="00DB7973"/>
    <w:rsid w:val="00DD40B4"/>
    <w:rsid w:val="00E050C4"/>
    <w:rsid w:val="00E24F81"/>
    <w:rsid w:val="00E42C56"/>
    <w:rsid w:val="00E869D2"/>
    <w:rsid w:val="00E87EEA"/>
    <w:rsid w:val="00E961F2"/>
    <w:rsid w:val="00EB1B97"/>
    <w:rsid w:val="00EB650C"/>
    <w:rsid w:val="00EC2730"/>
    <w:rsid w:val="00ED325B"/>
    <w:rsid w:val="00ED38C7"/>
    <w:rsid w:val="00EF5484"/>
    <w:rsid w:val="00EF7A1A"/>
    <w:rsid w:val="00F25632"/>
    <w:rsid w:val="00F32769"/>
    <w:rsid w:val="00F53478"/>
    <w:rsid w:val="00F65E37"/>
    <w:rsid w:val="00F857AC"/>
    <w:rsid w:val="00FA0A0D"/>
    <w:rsid w:val="00FA1D5D"/>
    <w:rsid w:val="00FB5BE2"/>
    <w:rsid w:val="00FC3769"/>
    <w:rsid w:val="00FC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D86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42A5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42A5A"/>
    <w:rPr>
      <w:color w:val="800080"/>
      <w:u w:val="single"/>
    </w:rPr>
  </w:style>
  <w:style w:type="character" w:customStyle="1" w:styleId="jrnl">
    <w:name w:val="jrnl"/>
    <w:basedOn w:val="Carpredefinitoparagrafo"/>
    <w:rsid w:val="00D92902"/>
  </w:style>
  <w:style w:type="table" w:styleId="Grigliatabella">
    <w:name w:val="Table Grid"/>
    <w:basedOn w:val="Tabellanormale"/>
    <w:uiPriority w:val="59"/>
    <w:rsid w:val="00FA1D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84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846"/>
    <w:rPr>
      <w:rFonts w:ascii="Tahoma" w:eastAsia="Cambria" w:hAnsi="Tahoma" w:cs="Tahoma"/>
      <w:sz w:val="16"/>
      <w:szCs w:val="16"/>
    </w:rPr>
  </w:style>
  <w:style w:type="character" w:customStyle="1" w:styleId="st">
    <w:name w:val="st"/>
    <w:basedOn w:val="Carpredefinitoparagrafo"/>
    <w:rsid w:val="00257654"/>
  </w:style>
  <w:style w:type="paragraph" w:styleId="NormaleWeb">
    <w:name w:val="Normal (Web)"/>
    <w:basedOn w:val="Normale"/>
    <w:uiPriority w:val="99"/>
    <w:semiHidden/>
    <w:unhideWhenUsed/>
    <w:rsid w:val="003E0BE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769"/>
    <w:rPr>
      <w:rFonts w:ascii="Cambria" w:eastAsia="Cambria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3769"/>
    <w:rPr>
      <w:rFonts w:ascii="Cambria" w:eastAsia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LAVORI\Paper\Survey%20EDA%202012\JPsychRes\Figur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LAVORI\Paper\Survey%20EDA%202012\Data&#61480;\EDA_survey_2012_15_7_12%20-%20jo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LAVORI\Paper\Survey%20EDA%202012\Data&#61480;\EDA_survey_2012_15_7_12%20-%20jo%20(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LAVORI\Paper\Survey%20EDA%202012\Data&#61480;\EDA_survey_2012_15_7_12%20-%20jo%20(3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LAVORI\Paper\Survey%20EDA%202012\Data&#61480;\EDA_survey_2012_15_7_12%20-%20jo%20(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O%20NAME:LAVORI:Paper:Survey%20EDA%202012:Data%20:EDA_survey_2012_15_7_12%20-%20jo%20(3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O%20NAME:LAVORI:Paper:Survey%20EDA%202012:Data%20:EDA_survey_2012_15_7_12%20-%20jo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/>
            </a:pPr>
            <a:r>
              <a:rPr lang="en-US"/>
              <a:t>First</a:t>
            </a:r>
            <a:r>
              <a:rPr lang="en-US" baseline="0"/>
              <a:t> line pharmacological management in hyperactive delirium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'[EDA_survey_2012_15_7_12 - jo (3).xlsx]question 11'!$O$3</c:f>
              <c:strCache>
                <c:ptCount val="1"/>
                <c:pt idx="0">
                  <c:v>Number</c:v>
                </c:pt>
              </c:strCache>
            </c:strRef>
          </c:tx>
          <c:spPr>
            <a:solidFill>
              <a:prstClr val="black"/>
            </a:solidFill>
          </c:spPr>
          <c:dLbls>
            <c:txPr>
              <a:bodyPr/>
              <a:lstStyle/>
              <a:p>
                <a:pPr>
                  <a:defRPr lang="en-GB"/>
                </a:pPr>
                <a:endParaRPr lang="it-IT"/>
              </a:p>
            </c:txPr>
            <c:showVal val="1"/>
          </c:dLbls>
          <c:cat>
            <c:strRef>
              <c:f>'[EDA_survey_2012_15_7_12 - jo (3).xlsx]question 11'!$N$4:$N$25</c:f>
              <c:strCache>
                <c:ptCount val="22"/>
                <c:pt idx="0">
                  <c:v>N/A/ no drugs used</c:v>
                </c:pt>
                <c:pt idx="1">
                  <c:v>Haloperidol</c:v>
                </c:pt>
                <c:pt idx="2">
                  <c:v>Risperidone</c:v>
                </c:pt>
                <c:pt idx="3">
                  <c:v>Clozapine</c:v>
                </c:pt>
                <c:pt idx="4">
                  <c:v>Quetiapine</c:v>
                </c:pt>
                <c:pt idx="5">
                  <c:v>Clonidine</c:v>
                </c:pt>
                <c:pt idx="6">
                  <c:v>Pipamperon</c:v>
                </c:pt>
                <c:pt idx="7">
                  <c:v>Propafol</c:v>
                </c:pt>
                <c:pt idx="8">
                  <c:v>Olanzapine</c:v>
                </c:pt>
                <c:pt idx="9">
                  <c:v>Rivastigmine</c:v>
                </c:pt>
                <c:pt idx="10">
                  <c:v>Benzodiazepines</c:v>
                </c:pt>
                <c:pt idx="11">
                  <c:v>Clomethiazol</c:v>
                </c:pt>
                <c:pt idx="12">
                  <c:v>Dexmedetomedine</c:v>
                </c:pt>
                <c:pt idx="13">
                  <c:v>Dipiperon</c:v>
                </c:pt>
                <c:pt idx="14">
                  <c:v>Divalproex</c:v>
                </c:pt>
                <c:pt idx="15">
                  <c:v>Lorazepam</c:v>
                </c:pt>
                <c:pt idx="16">
                  <c:v>Melperone</c:v>
                </c:pt>
                <c:pt idx="17">
                  <c:v>Ondansetron</c:v>
                </c:pt>
                <c:pt idx="18">
                  <c:v>Promazine</c:v>
                </c:pt>
                <c:pt idx="19">
                  <c:v>Tiapride</c:v>
                </c:pt>
                <c:pt idx="20">
                  <c:v>Trazodone</c:v>
                </c:pt>
                <c:pt idx="21">
                  <c:v>Zotepine</c:v>
                </c:pt>
              </c:strCache>
            </c:strRef>
          </c:cat>
          <c:val>
            <c:numRef>
              <c:f>'[EDA_survey_2012_15_7_12 - jo (3).xlsx]question 11'!$O$4:$O$25</c:f>
              <c:numCache>
                <c:formatCode>General</c:formatCode>
                <c:ptCount val="22"/>
                <c:pt idx="0">
                  <c:v>41</c:v>
                </c:pt>
                <c:pt idx="1">
                  <c:v>92</c:v>
                </c:pt>
                <c:pt idx="2">
                  <c:v>18</c:v>
                </c:pt>
                <c:pt idx="3">
                  <c:v>7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dLbls/>
        <c:axId val="56782848"/>
        <c:axId val="56784384"/>
      </c:barChart>
      <c:catAx>
        <c:axId val="56782848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56784384"/>
        <c:crosses val="autoZero"/>
        <c:auto val="1"/>
        <c:lblAlgn val="ctr"/>
        <c:lblOffset val="100"/>
      </c:catAx>
      <c:valAx>
        <c:axId val="56784384"/>
        <c:scaling>
          <c:orientation val="minMax"/>
        </c:scaling>
        <c:axPos val="t"/>
        <c:majorGridlines/>
        <c:numFmt formatCode="General" sourceLinked="1"/>
        <c:tickLblPos val="nextTo"/>
        <c:crossAx val="5678284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/>
            </a:pPr>
            <a:r>
              <a:rPr lang="en-US"/>
              <a:t>Starting dose: Haloperidol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'question 12'!$O$5</c:f>
              <c:strCache>
                <c:ptCount val="1"/>
                <c:pt idx="0">
                  <c:v>Number</c:v>
                </c:pt>
              </c:strCache>
            </c:strRef>
          </c:tx>
          <c:spPr>
            <a:solidFill>
              <a:sysClr val="windowText" lastClr="000000"/>
            </a:solidFill>
          </c:spPr>
          <c:dLbls>
            <c:txPr>
              <a:bodyPr/>
              <a:lstStyle/>
              <a:p>
                <a:pPr>
                  <a:defRPr lang="en-GB"/>
                </a:pPr>
                <a:endParaRPr lang="it-IT"/>
              </a:p>
            </c:txPr>
            <c:showVal val="1"/>
          </c:dLbls>
          <c:cat>
            <c:strRef>
              <c:f>'question 12'!$N$6:$N$14</c:f>
              <c:strCache>
                <c:ptCount val="9"/>
                <c:pt idx="0">
                  <c:v>As low as possible</c:v>
                </c:pt>
                <c:pt idx="1">
                  <c:v>&lt;0.5mg</c:v>
                </c:pt>
                <c:pt idx="2">
                  <c:v>0.5mg</c:v>
                </c:pt>
                <c:pt idx="3">
                  <c:v>0.5-1mg</c:v>
                </c:pt>
                <c:pt idx="4">
                  <c:v>1mg</c:v>
                </c:pt>
                <c:pt idx="5">
                  <c:v>1-2mg</c:v>
                </c:pt>
                <c:pt idx="6">
                  <c:v>2mg</c:v>
                </c:pt>
                <c:pt idx="7">
                  <c:v>2.5mg</c:v>
                </c:pt>
                <c:pt idx="8">
                  <c:v>&gt;2.5mg</c:v>
                </c:pt>
              </c:strCache>
            </c:strRef>
          </c:cat>
          <c:val>
            <c:numRef>
              <c:f>'question 12'!$O$6:$O$14</c:f>
              <c:numCache>
                <c:formatCode>General</c:formatCode>
                <c:ptCount val="9"/>
                <c:pt idx="0">
                  <c:v>2</c:v>
                </c:pt>
                <c:pt idx="1">
                  <c:v>8</c:v>
                </c:pt>
                <c:pt idx="2">
                  <c:v>43</c:v>
                </c:pt>
                <c:pt idx="3">
                  <c:v>5</c:v>
                </c:pt>
                <c:pt idx="4">
                  <c:v>8</c:v>
                </c:pt>
                <c:pt idx="5">
                  <c:v>5</c:v>
                </c:pt>
                <c:pt idx="6">
                  <c:v>7</c:v>
                </c:pt>
                <c:pt idx="7">
                  <c:v>6</c:v>
                </c:pt>
                <c:pt idx="8">
                  <c:v>3</c:v>
                </c:pt>
              </c:numCache>
            </c:numRef>
          </c:val>
        </c:ser>
        <c:dLbls/>
        <c:axId val="56804480"/>
        <c:axId val="56806016"/>
      </c:barChart>
      <c:catAx>
        <c:axId val="56804480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56806016"/>
        <c:crosses val="autoZero"/>
        <c:auto val="1"/>
        <c:lblAlgn val="ctr"/>
        <c:lblOffset val="100"/>
      </c:catAx>
      <c:valAx>
        <c:axId val="5680601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5680448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style val="1"/>
  <c:chart>
    <c:title>
      <c:tx>
        <c:rich>
          <a:bodyPr/>
          <a:lstStyle/>
          <a:p>
            <a:pPr>
              <a:defRPr/>
            </a:pPr>
            <a:r>
              <a:rPr lang="en-GB"/>
              <a:t>For the first-line drug given above, what route do you use? 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1"/>
          <c:order val="0"/>
          <c:tx>
            <c:strRef>
              <c:f>'question 14'!$G$3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ysClr val="windowText" lastClr="000000"/>
            </a:solidFill>
          </c:spPr>
          <c:dLbls>
            <c:numFmt formatCode="0.00%" sourceLinked="0"/>
            <c:showVal val="1"/>
          </c:dLbls>
          <c:cat>
            <c:strRef>
              <c:f>'question 14'!$E$4:$E$8</c:f>
              <c:strCache>
                <c:ptCount val="5"/>
                <c:pt idx="0">
                  <c:v>PO</c:v>
                </c:pt>
                <c:pt idx="1">
                  <c:v>Subcutaneous</c:v>
                </c:pt>
                <c:pt idx="2">
                  <c:v>Intramuscular</c:v>
                </c:pt>
                <c:pt idx="3">
                  <c:v>Intravenous</c:v>
                </c:pt>
                <c:pt idx="4">
                  <c:v>Not applicable</c:v>
                </c:pt>
              </c:strCache>
            </c:strRef>
          </c:cat>
          <c:val>
            <c:numRef>
              <c:f>'question 14'!$G$4:$G$8</c:f>
              <c:numCache>
                <c:formatCode>General</c:formatCode>
                <c:ptCount val="5"/>
                <c:pt idx="0">
                  <c:v>0.7696969696969701</c:v>
                </c:pt>
                <c:pt idx="1">
                  <c:v>1.8181818181818202E-2</c:v>
                </c:pt>
                <c:pt idx="2">
                  <c:v>8.4848484848484909E-2</c:v>
                </c:pt>
                <c:pt idx="3">
                  <c:v>0.12121212121212102</c:v>
                </c:pt>
                <c:pt idx="4">
                  <c:v>6.0606060606060615E-3</c:v>
                </c:pt>
              </c:numCache>
            </c:numRef>
          </c:val>
        </c:ser>
        <c:dLbls/>
        <c:axId val="57386112"/>
        <c:axId val="57387648"/>
      </c:barChart>
      <c:catAx>
        <c:axId val="57386112"/>
        <c:scaling>
          <c:orientation val="maxMin"/>
        </c:scaling>
        <c:axPos val="l"/>
        <c:numFmt formatCode="General" sourceLinked="1"/>
        <c:tickLblPos val="nextTo"/>
        <c:crossAx val="57387648"/>
        <c:crosses val="autoZero"/>
        <c:auto val="1"/>
        <c:lblAlgn val="ctr"/>
        <c:lblOffset val="100"/>
      </c:catAx>
      <c:valAx>
        <c:axId val="57387648"/>
        <c:scaling>
          <c:orientation val="minMax"/>
        </c:scaling>
        <c:axPos val="t"/>
        <c:majorGridlines/>
        <c:numFmt formatCode="0%" sourceLinked="0"/>
        <c:tickLblPos val="nextTo"/>
        <c:crossAx val="5738611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/>
            </a:pPr>
            <a:r>
              <a:rPr lang="en-US"/>
              <a:t>Starting dose: Risperidone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'question 12'!$R$5</c:f>
              <c:strCache>
                <c:ptCount val="1"/>
                <c:pt idx="0">
                  <c:v>Number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/>
              <a:lstStyle/>
              <a:p>
                <a:pPr>
                  <a:defRPr lang="en-GB"/>
                </a:pPr>
                <a:endParaRPr lang="it-IT"/>
              </a:p>
            </c:txPr>
            <c:showVal val="1"/>
          </c:dLbls>
          <c:cat>
            <c:strRef>
              <c:f>'question 12'!$Q$6:$Q$10</c:f>
              <c:strCache>
                <c:ptCount val="5"/>
                <c:pt idx="0">
                  <c:v>0.25mg</c:v>
                </c:pt>
                <c:pt idx="1">
                  <c:v>0.25-0.5mg</c:v>
                </c:pt>
                <c:pt idx="2">
                  <c:v>0.5mg</c:v>
                </c:pt>
                <c:pt idx="3">
                  <c:v>0.5-1mg</c:v>
                </c:pt>
                <c:pt idx="4">
                  <c:v>1mg</c:v>
                </c:pt>
              </c:strCache>
            </c:strRef>
          </c:cat>
          <c:val>
            <c:numRef>
              <c:f>'question 12'!$R$6:$R$10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/>
        <c:axId val="22494592"/>
        <c:axId val="22512768"/>
      </c:barChart>
      <c:catAx>
        <c:axId val="22494592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22512768"/>
        <c:crosses val="autoZero"/>
        <c:auto val="1"/>
        <c:lblAlgn val="ctr"/>
        <c:lblOffset val="100"/>
      </c:catAx>
      <c:valAx>
        <c:axId val="2251276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2249459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/>
            </a:pPr>
            <a:r>
              <a:rPr lang="en-GB" sz="1800" b="0" i="0" u="none" strike="noStrike" baseline="0"/>
              <a:t>If you use an antipsychotic, how often do you monitor the QTc interval on the ECG?</a:t>
            </a:r>
            <a:r>
              <a:rPr lang="en-GB" sz="1800" b="1" i="0" u="none" strike="noStrike" baseline="0"/>
              <a:t> 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1"/>
          <c:order val="0"/>
          <c:tx>
            <c:strRef>
              <c:f>'question 17'!$G$3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ysClr val="windowText" lastClr="000000"/>
            </a:solidFill>
          </c:spPr>
          <c:dLbls>
            <c:numFmt formatCode="0.00%" sourceLinked="0"/>
            <c:txPr>
              <a:bodyPr/>
              <a:lstStyle/>
              <a:p>
                <a:pPr>
                  <a:defRPr lang="en-GB"/>
                </a:pPr>
                <a:endParaRPr lang="it-IT"/>
              </a:p>
            </c:txPr>
            <c:showVal val="1"/>
          </c:dLbls>
          <c:cat>
            <c:strRef>
              <c:f>'question 17'!$E$4:$E$15</c:f>
              <c:strCache>
                <c:ptCount val="12"/>
                <c:pt idx="0">
                  <c:v>Other (specify)</c:v>
                </c:pt>
                <c:pt idx="1">
                  <c:v>Continuous heart monitor</c:v>
                </c:pt>
                <c:pt idx="2">
                  <c:v>12-lead ECG strip twice daily</c:v>
                </c:pt>
                <c:pt idx="3">
                  <c:v>12-lead ECG strip once daily</c:v>
                </c:pt>
                <c:pt idx="4">
                  <c:v>Rhythm strip twice a day</c:v>
                </c:pt>
                <c:pt idx="5">
                  <c:v>Rhythm strip once daily</c:v>
                </c:pt>
                <c:pt idx="6">
                  <c:v>Single rhythm strip before drug use</c:v>
                </c:pt>
                <c:pt idx="7">
                  <c:v>12-lead ECG before drug use</c:v>
                </c:pt>
                <c:pt idx="8">
                  <c:v>Every two days (either)</c:v>
                </c:pt>
                <c:pt idx="9">
                  <c:v>Every 3-5 days (either)</c:v>
                </c:pt>
                <c:pt idx="10">
                  <c:v>Every &gt;5 days (either)</c:v>
                </c:pt>
                <c:pt idx="11">
                  <c:v>Not routinely</c:v>
                </c:pt>
              </c:strCache>
            </c:strRef>
          </c:cat>
          <c:val>
            <c:numRef>
              <c:f>'question 17'!$G$4:$G$15</c:f>
              <c:numCache>
                <c:formatCode>General</c:formatCode>
                <c:ptCount val="12"/>
                <c:pt idx="0">
                  <c:v>0.3068181818181821</c:v>
                </c:pt>
                <c:pt idx="1">
                  <c:v>6.25E-2</c:v>
                </c:pt>
                <c:pt idx="2">
                  <c:v>5.6818181818181794E-3</c:v>
                </c:pt>
                <c:pt idx="3">
                  <c:v>9.0909090909090898E-2</c:v>
                </c:pt>
                <c:pt idx="4">
                  <c:v>1.1363636363636402E-2</c:v>
                </c:pt>
                <c:pt idx="5">
                  <c:v>4.5454545454545504E-2</c:v>
                </c:pt>
                <c:pt idx="6">
                  <c:v>0.31818181818181807</c:v>
                </c:pt>
                <c:pt idx="7">
                  <c:v>2.2727272727272704E-2</c:v>
                </c:pt>
                <c:pt idx="8">
                  <c:v>0</c:v>
                </c:pt>
                <c:pt idx="9">
                  <c:v>1.1363636363636402E-2</c:v>
                </c:pt>
                <c:pt idx="10">
                  <c:v>1.1363636363636402E-2</c:v>
                </c:pt>
                <c:pt idx="11">
                  <c:v>0.11363636363636399</c:v>
                </c:pt>
              </c:numCache>
            </c:numRef>
          </c:val>
        </c:ser>
        <c:dLbls/>
        <c:axId val="22532864"/>
        <c:axId val="22534400"/>
      </c:barChart>
      <c:catAx>
        <c:axId val="225328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22534400"/>
        <c:crosses val="autoZero"/>
        <c:auto val="1"/>
        <c:lblAlgn val="ctr"/>
        <c:lblOffset val="100"/>
      </c:catAx>
      <c:valAx>
        <c:axId val="22534400"/>
        <c:scaling>
          <c:orientation val="minMax"/>
        </c:scaling>
        <c:axPos val="b"/>
        <c:majorGridlines/>
        <c:numFmt formatCode="0%" sourceLinked="0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2253286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 b="1">
                <a:latin typeface="Times New Roman"/>
                <a:cs typeface="Times New Roman"/>
              </a:defRPr>
            </a:pPr>
            <a:r>
              <a:rPr lang="en-GB" sz="1800" b="1" i="0" u="none" strike="noStrike" baseline="0">
                <a:latin typeface="Times New Roman"/>
                <a:cs typeface="Times New Roman"/>
              </a:rPr>
              <a:t>What do you think are the main barriers to improving the detection of delirium? </a:t>
            </a:r>
            <a:endParaRPr lang="en-US" b="1">
              <a:latin typeface="Times New Roman"/>
              <a:cs typeface="Times New Roman"/>
            </a:endParaRPr>
          </a:p>
        </c:rich>
      </c:tx>
    </c:title>
    <c:plotArea>
      <c:layout/>
      <c:barChart>
        <c:barDir val="bar"/>
        <c:grouping val="clustered"/>
        <c:ser>
          <c:idx val="1"/>
          <c:order val="0"/>
          <c:tx>
            <c:strRef>
              <c:f>'question 35'!$K$4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tx1"/>
            </a:solidFill>
          </c:spPr>
          <c:dLbls>
            <c:numFmt formatCode="0.00%" sourceLinked="0"/>
            <c:txPr>
              <a:bodyPr/>
              <a:lstStyle/>
              <a:p>
                <a:pPr>
                  <a:defRPr lang="en-GB"/>
                </a:pPr>
                <a:endParaRPr lang="it-IT"/>
              </a:p>
            </c:txPr>
            <c:showVal val="1"/>
          </c:dLbls>
          <c:cat>
            <c:strRef>
              <c:f>'question 35'!$I$5:$I$12</c:f>
              <c:strCache>
                <c:ptCount val="8"/>
                <c:pt idx="0">
                  <c:v>Delerium awareness</c:v>
                </c:pt>
                <c:pt idx="1">
                  <c:v>Delerium knowledge/incompetence</c:v>
                </c:pt>
                <c:pt idx="2">
                  <c:v>Lack of education</c:v>
                </c:pt>
                <c:pt idx="3">
                  <c:v>Lack of time for assessment</c:v>
                </c:pt>
                <c:pt idx="4">
                  <c:v>Lack of diagnostic skills</c:v>
                </c:pt>
                <c:pt idx="5">
                  <c:v>Ageism</c:v>
                </c:pt>
                <c:pt idx="6">
                  <c:v>Ignorance</c:v>
                </c:pt>
                <c:pt idx="7">
                  <c:v>Poor screening tools/ lack of familiarity/awareness of screening tools</c:v>
                </c:pt>
              </c:strCache>
            </c:strRef>
          </c:cat>
          <c:val>
            <c:numRef>
              <c:f>'question 35'!$K$5:$K$12</c:f>
              <c:numCache>
                <c:formatCode>General</c:formatCode>
                <c:ptCount val="8"/>
                <c:pt idx="0">
                  <c:v>0.340659340659341</c:v>
                </c:pt>
                <c:pt idx="1">
                  <c:v>0.32967032967033005</c:v>
                </c:pt>
                <c:pt idx="2">
                  <c:v>0.13186813186813204</c:v>
                </c:pt>
                <c:pt idx="3">
                  <c:v>8.7912087912087919E-2</c:v>
                </c:pt>
                <c:pt idx="4">
                  <c:v>2.1978021978022007E-2</c:v>
                </c:pt>
                <c:pt idx="5">
                  <c:v>2.1978021978022007E-2</c:v>
                </c:pt>
                <c:pt idx="6">
                  <c:v>3.2967032967032982E-2</c:v>
                </c:pt>
                <c:pt idx="7">
                  <c:v>3.2967032967032982E-2</c:v>
                </c:pt>
              </c:numCache>
            </c:numRef>
          </c:val>
        </c:ser>
        <c:dLbls/>
        <c:axId val="63974016"/>
        <c:axId val="64008576"/>
      </c:barChart>
      <c:catAx>
        <c:axId val="63974016"/>
        <c:scaling>
          <c:orientation val="maxMin"/>
        </c:scaling>
        <c:axPos val="l"/>
        <c:tickLblPos val="nextTo"/>
        <c:txPr>
          <a:bodyPr/>
          <a:lstStyle/>
          <a:p>
            <a:pPr>
              <a:defRPr lang="en-GB" b="1">
                <a:latin typeface="Times New Roman"/>
                <a:cs typeface="Times New Roman"/>
              </a:defRPr>
            </a:pPr>
            <a:endParaRPr lang="it-IT"/>
          </a:p>
        </c:txPr>
        <c:crossAx val="64008576"/>
        <c:crosses val="autoZero"/>
        <c:auto val="1"/>
        <c:lblAlgn val="ctr"/>
        <c:lblOffset val="100"/>
      </c:catAx>
      <c:valAx>
        <c:axId val="64008576"/>
        <c:scaling>
          <c:orientation val="minMax"/>
        </c:scaling>
        <c:axPos val="t"/>
        <c:majorGridlines/>
        <c:numFmt formatCode="0%" sourceLinked="0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6397401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lang="en-GB">
                <a:latin typeface="Times New Roman"/>
                <a:cs typeface="Times New Roman"/>
              </a:defRPr>
            </a:pPr>
            <a:r>
              <a:rPr lang="en-GB" sz="1800" b="0" i="0" u="none" strike="noStrike" baseline="0">
                <a:latin typeface="Times New Roman"/>
                <a:cs typeface="Times New Roman"/>
              </a:rPr>
              <a:t>What do you think are the main barriers to improving the management of delirium?</a:t>
            </a:r>
            <a:r>
              <a:rPr lang="en-GB" sz="1800" b="1" i="0" u="none" strike="noStrike" baseline="0">
                <a:latin typeface="Times New Roman"/>
                <a:cs typeface="Times New Roman"/>
              </a:rPr>
              <a:t> </a:t>
            </a:r>
            <a:endParaRPr lang="en-US">
              <a:latin typeface="Times New Roman"/>
              <a:cs typeface="Times New Roman"/>
            </a:endParaRPr>
          </a:p>
        </c:rich>
      </c:tx>
    </c:title>
    <c:plotArea>
      <c:layout/>
      <c:barChart>
        <c:barDir val="bar"/>
        <c:grouping val="clustered"/>
        <c:ser>
          <c:idx val="1"/>
          <c:order val="0"/>
          <c:tx>
            <c:strRef>
              <c:f>'question 36'!$K$4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tx1"/>
            </a:solidFill>
          </c:spPr>
          <c:dLbls>
            <c:numFmt formatCode="0.00%" sourceLinked="0"/>
            <c:txPr>
              <a:bodyPr/>
              <a:lstStyle/>
              <a:p>
                <a:pPr>
                  <a:defRPr lang="en-GB">
                    <a:latin typeface="Times New Roman"/>
                    <a:cs typeface="Times New Roman"/>
                  </a:defRPr>
                </a:pPr>
                <a:endParaRPr lang="it-IT"/>
              </a:p>
            </c:txPr>
            <c:showVal val="1"/>
          </c:dLbls>
          <c:cat>
            <c:strRef>
              <c:f>'question 36'!$I$5:$I$17</c:f>
              <c:strCache>
                <c:ptCount val="13"/>
                <c:pt idx="0">
                  <c:v>Misdiagnosis</c:v>
                </c:pt>
                <c:pt idx="1">
                  <c:v>Poor knowledge</c:v>
                </c:pt>
                <c:pt idx="2">
                  <c:v>Poor use of medications</c:v>
                </c:pt>
                <c:pt idx="3">
                  <c:v>Staffing issues/ time pressures</c:v>
                </c:pt>
                <c:pt idx="4">
                  <c:v>Poor attitudes</c:v>
                </c:pt>
                <c:pt idx="5">
                  <c:v>Poor education</c:v>
                </c:pt>
                <c:pt idx="6">
                  <c:v>Lack of awareness</c:v>
                </c:pt>
                <c:pt idx="7">
                  <c:v>Poor attitudes</c:v>
                </c:pt>
                <c:pt idx="8">
                  <c:v>Poor interdisciplinary communication</c:v>
                </c:pt>
                <c:pt idx="9">
                  <c:v>Ignorance</c:v>
                </c:pt>
                <c:pt idx="10">
                  <c:v>Incompetence</c:v>
                </c:pt>
                <c:pt idx="11">
                  <c:v>Resources/money</c:v>
                </c:pt>
                <c:pt idx="12">
                  <c:v>Lack of evidence based treaments</c:v>
                </c:pt>
              </c:strCache>
            </c:strRef>
          </c:cat>
          <c:val>
            <c:numRef>
              <c:f>'question 36'!$K$5:$K$17</c:f>
              <c:numCache>
                <c:formatCode>General</c:formatCode>
                <c:ptCount val="13"/>
                <c:pt idx="0">
                  <c:v>1.1111111111111101E-2</c:v>
                </c:pt>
                <c:pt idx="1">
                  <c:v>0.24444444444444408</c:v>
                </c:pt>
                <c:pt idx="2">
                  <c:v>1.1111111111111101E-2</c:v>
                </c:pt>
                <c:pt idx="3">
                  <c:v>0.24444444444444408</c:v>
                </c:pt>
                <c:pt idx="4">
                  <c:v>4.4444444444444405E-2</c:v>
                </c:pt>
                <c:pt idx="5">
                  <c:v>0.13333333333333303</c:v>
                </c:pt>
                <c:pt idx="6">
                  <c:v>2.2222222222222202E-2</c:v>
                </c:pt>
                <c:pt idx="7">
                  <c:v>0.13333333333333303</c:v>
                </c:pt>
                <c:pt idx="8">
                  <c:v>2.2222222222222202E-2</c:v>
                </c:pt>
                <c:pt idx="9">
                  <c:v>1.1111111111111101E-2</c:v>
                </c:pt>
                <c:pt idx="10">
                  <c:v>1.1111111111111101E-2</c:v>
                </c:pt>
                <c:pt idx="11">
                  <c:v>8.8888888888888906E-2</c:v>
                </c:pt>
                <c:pt idx="12">
                  <c:v>2.2222222222222202E-2</c:v>
                </c:pt>
              </c:numCache>
            </c:numRef>
          </c:val>
        </c:ser>
        <c:dLbls/>
        <c:axId val="64040960"/>
        <c:axId val="64042496"/>
      </c:barChart>
      <c:catAx>
        <c:axId val="64040960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GB">
                <a:latin typeface="Times New Roman"/>
                <a:cs typeface="Times New Roman"/>
              </a:defRPr>
            </a:pPr>
            <a:endParaRPr lang="it-IT"/>
          </a:p>
        </c:txPr>
        <c:crossAx val="64042496"/>
        <c:crosses val="autoZero"/>
        <c:auto val="1"/>
        <c:lblAlgn val="ctr"/>
        <c:lblOffset val="100"/>
      </c:catAx>
      <c:valAx>
        <c:axId val="64042496"/>
        <c:scaling>
          <c:orientation val="minMax"/>
        </c:scaling>
        <c:axPos val="b"/>
        <c:majorGridlines/>
        <c:numFmt formatCode="0%" sourceLinked="0"/>
        <c:tickLblPos val="nextTo"/>
        <c:txPr>
          <a:bodyPr/>
          <a:lstStyle/>
          <a:p>
            <a:pPr>
              <a:defRPr lang="en-GB"/>
            </a:pPr>
            <a:endParaRPr lang="it-IT"/>
          </a:p>
        </c:txPr>
        <c:crossAx val="640409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8F59-5B11-4566-ABF4-CDD5630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MORANDI-A2 su CR-GGER-MORANDI</dc:creator>
  <cp:keywords/>
  <dc:description/>
  <cp:lastModifiedBy>MORANDI-A2 su CR-GGER-MORANDI</cp:lastModifiedBy>
  <cp:revision>11</cp:revision>
  <cp:lastPrinted>2013-01-19T12:39:00Z</cp:lastPrinted>
  <dcterms:created xsi:type="dcterms:W3CDTF">2013-01-19T12:33:00Z</dcterms:created>
  <dcterms:modified xsi:type="dcterms:W3CDTF">2013-05-15T15:58:00Z</dcterms:modified>
</cp:coreProperties>
</file>