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90" w:type="dxa"/>
        <w:jc w:val="center"/>
        <w:tblInd w:w="-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3"/>
        <w:gridCol w:w="3223"/>
        <w:gridCol w:w="1805"/>
        <w:gridCol w:w="2059"/>
      </w:tblGrid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pStyle w:val="Heading4"/>
              <w:spacing w:before="100" w:beforeAutospacing="1" w:after="100" w:afterAutospacing="1"/>
              <w:jc w:val="both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Cs/>
              </w:rPr>
            </w:pPr>
          </w:p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Cs/>
              </w:rPr>
            </w:pPr>
            <w:r w:rsidRPr="00A25B4C">
              <w:rPr>
                <w:bCs/>
              </w:rPr>
              <w:t>DLB (on CHEI)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Cs/>
              </w:rPr>
            </w:pPr>
          </w:p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Cs/>
              </w:rPr>
            </w:pPr>
            <w:r w:rsidRPr="00A25B4C">
              <w:rPr>
                <w:bCs/>
              </w:rPr>
              <w:t>DLB</w:t>
            </w:r>
            <w:r>
              <w:rPr>
                <w:bCs/>
              </w:rPr>
              <w:t xml:space="preserve"> </w:t>
            </w:r>
            <w:r w:rsidRPr="00A25B4C">
              <w:rPr>
                <w:bCs/>
              </w:rPr>
              <w:t>(not taking CHEI)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Cs/>
              </w:rPr>
            </w:pPr>
          </w:p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Cs/>
              </w:rPr>
            </w:pPr>
            <w:r w:rsidRPr="00A25B4C">
              <w:rPr>
                <w:bCs/>
                <w:i/>
              </w:rPr>
              <w:t>p-value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  <w:rPr>
                <w:i/>
                <w:iCs/>
              </w:rPr>
            </w:pPr>
            <w:r w:rsidRPr="00A25B4C">
              <w:rPr>
                <w:i/>
                <w:iCs/>
              </w:rPr>
              <w:t>N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5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14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r w:rsidRPr="00A25B4C">
              <w:t>DLB-</w:t>
            </w:r>
            <w:r>
              <w:t>PCI2</w:t>
            </w:r>
            <w:r w:rsidRPr="00A25B4C">
              <w:t xml:space="preserve"> expression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387.4 +/- 280.8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925.6 +/- 294.9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25B4C">
              <w:rPr>
                <w:b/>
              </w:rPr>
              <w:t>0.003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r w:rsidRPr="00A25B4C">
              <w:t>MMSE (max. 30)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19.8 +/- 3.6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16.9 +/- 5.2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0.26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r w:rsidRPr="00A25B4C">
              <w:t>CAMCOG (max. 107)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65.4 +/- 5.6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63.2 +/- 16.2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0.77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r w:rsidRPr="00A25B4C">
              <w:t>CAMCOG (executive)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12.0 +/-2.6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11.0 +/- 6.5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0.75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r w:rsidRPr="00A25B4C">
              <w:t>CAMCOG (memory)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15.8 +/- 2.6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14.0 +/- 4.4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0.40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r w:rsidRPr="00A25B4C">
              <w:t>Clinical assessment of fluctuations</w:t>
            </w:r>
            <w:r w:rsidR="009238FD">
              <w:t xml:space="preserve"> (CAF)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1.0 +/- 1.41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4.64 +/- 3.61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25B4C">
              <w:rPr>
                <w:b/>
              </w:rPr>
              <w:t>0.006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r w:rsidRPr="00A25B4C">
              <w:t>Choice reaction time (CRT)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6.56 +/- 0.07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7.07 +/- 0.50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25B4C">
              <w:rPr>
                <w:b/>
              </w:rPr>
              <w:t>0.002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r w:rsidRPr="00A25B4C">
              <w:t>Choice reaction time standard deviation (CRT(SD))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5.33 +/- 0.20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</w:pPr>
            <w:r w:rsidRPr="00A25B4C">
              <w:t>6.13 +/- 0.74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A25B4C">
              <w:rPr>
                <w:b/>
              </w:rPr>
              <w:t>0.002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  <w:r w:rsidRPr="00A25B4C">
              <w:rPr>
                <w:b/>
              </w:rPr>
              <w:t>Parkinsonism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/>
              <w:jc w:val="both"/>
            </w:pP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/>
              <w:jc w:val="both"/>
            </w:pP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/>
              <w:jc w:val="both"/>
            </w:pP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r w:rsidRPr="00A25B4C">
              <w:t>UPDRS III motor subscale score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/>
              <w:jc w:val="center"/>
            </w:pPr>
            <w:r w:rsidRPr="00A25B4C">
              <w:t>18.0 +/- 10.8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/>
              <w:jc w:val="center"/>
            </w:pPr>
            <w:r w:rsidRPr="00A25B4C">
              <w:t>25.1 +/- 14.7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/>
              <w:jc w:val="center"/>
            </w:pPr>
            <w:r w:rsidRPr="00A25B4C">
              <w:t>0.34</w:t>
            </w:r>
          </w:p>
        </w:tc>
      </w:tr>
      <w:tr w:rsidR="001E0E88" w:rsidRPr="00A25B4C" w:rsidTr="00500829">
        <w:trPr>
          <w:jc w:val="center"/>
        </w:trPr>
        <w:tc>
          <w:tcPr>
            <w:tcW w:w="4903" w:type="dxa"/>
          </w:tcPr>
          <w:p w:rsidR="001E0E88" w:rsidRPr="00A25B4C" w:rsidRDefault="001E0E88" w:rsidP="00500829">
            <w:pPr>
              <w:spacing w:before="100" w:beforeAutospacing="1" w:after="100" w:afterAutospacing="1" w:line="240" w:lineRule="auto"/>
              <w:jc w:val="both"/>
            </w:pPr>
            <w:proofErr w:type="spellStart"/>
            <w:r w:rsidRPr="00A25B4C">
              <w:t>Bradykinesia</w:t>
            </w:r>
            <w:proofErr w:type="spellEnd"/>
            <w:r w:rsidRPr="00A25B4C">
              <w:t xml:space="preserve"> subscale score</w:t>
            </w:r>
          </w:p>
        </w:tc>
        <w:tc>
          <w:tcPr>
            <w:tcW w:w="3223" w:type="dxa"/>
          </w:tcPr>
          <w:p w:rsidR="001E0E88" w:rsidRPr="00A25B4C" w:rsidRDefault="001E0E88" w:rsidP="00500829">
            <w:pPr>
              <w:spacing w:before="100" w:beforeAutospacing="1" w:after="100" w:afterAutospacing="1"/>
              <w:jc w:val="center"/>
            </w:pPr>
            <w:r w:rsidRPr="00A25B4C">
              <w:t>6.6 +/- 5.9</w:t>
            </w:r>
          </w:p>
        </w:tc>
        <w:tc>
          <w:tcPr>
            <w:tcW w:w="1805" w:type="dxa"/>
          </w:tcPr>
          <w:p w:rsidR="001E0E88" w:rsidRPr="00A25B4C" w:rsidRDefault="001E0E88" w:rsidP="00500829">
            <w:pPr>
              <w:spacing w:before="100" w:beforeAutospacing="1" w:after="100" w:afterAutospacing="1"/>
              <w:jc w:val="center"/>
            </w:pPr>
            <w:r w:rsidRPr="00A25B4C">
              <w:t>12.0- +/- 7.9</w:t>
            </w:r>
          </w:p>
        </w:tc>
        <w:tc>
          <w:tcPr>
            <w:tcW w:w="2059" w:type="dxa"/>
          </w:tcPr>
          <w:p w:rsidR="001E0E88" w:rsidRPr="00A25B4C" w:rsidRDefault="001E0E88" w:rsidP="00500829">
            <w:pPr>
              <w:spacing w:before="100" w:beforeAutospacing="1" w:after="100" w:afterAutospacing="1"/>
              <w:jc w:val="center"/>
            </w:pPr>
            <w:r w:rsidRPr="00A25B4C">
              <w:t>0.18</w:t>
            </w:r>
          </w:p>
        </w:tc>
      </w:tr>
    </w:tbl>
    <w:p w:rsidR="004746E4" w:rsidRDefault="004746E4"/>
    <w:p w:rsidR="001E0E88" w:rsidRDefault="001E0E88"/>
    <w:p w:rsidR="009238FD" w:rsidRDefault="009238FD" w:rsidP="009238FD">
      <w:pPr>
        <w:pStyle w:val="BodyText"/>
        <w:spacing w:before="100" w:beforeAutospacing="1" w:after="100" w:afterAutospacing="1"/>
        <w:rPr>
          <w:sz w:val="22"/>
          <w:szCs w:val="22"/>
        </w:rPr>
      </w:pPr>
      <w:r w:rsidRPr="00E61B41">
        <w:rPr>
          <w:b/>
          <w:sz w:val="22"/>
          <w:szCs w:val="22"/>
        </w:rPr>
        <w:t>Supplementary Table 1:</w:t>
      </w:r>
      <w:r w:rsidRPr="00A25B4C">
        <w:rPr>
          <w:sz w:val="22"/>
          <w:szCs w:val="22"/>
        </w:rPr>
        <w:t xml:space="preserve"> Comparison of clinical variables and </w:t>
      </w:r>
      <w:r>
        <w:rPr>
          <w:sz w:val="22"/>
          <w:szCs w:val="22"/>
        </w:rPr>
        <w:t xml:space="preserve">dementia with </w:t>
      </w:r>
      <w:proofErr w:type="spellStart"/>
      <w:r>
        <w:rPr>
          <w:sz w:val="22"/>
          <w:szCs w:val="22"/>
        </w:rPr>
        <w:t>Lewy</w:t>
      </w:r>
      <w:proofErr w:type="spellEnd"/>
      <w:r>
        <w:rPr>
          <w:sz w:val="22"/>
          <w:szCs w:val="22"/>
        </w:rPr>
        <w:t xml:space="preserve"> bodies (DLB) principal component image 2 (DLB-PCI2)</w:t>
      </w:r>
      <w:r w:rsidRPr="00A25B4C">
        <w:rPr>
          <w:sz w:val="22"/>
          <w:szCs w:val="22"/>
        </w:rPr>
        <w:t xml:space="preserve"> </w:t>
      </w:r>
      <w:proofErr w:type="gramStart"/>
      <w:r w:rsidRPr="00A25B4C">
        <w:rPr>
          <w:sz w:val="22"/>
          <w:szCs w:val="22"/>
        </w:rPr>
        <w:t>expression</w:t>
      </w:r>
      <w:proofErr w:type="gramEnd"/>
      <w:r w:rsidRPr="00A25B4C">
        <w:rPr>
          <w:sz w:val="22"/>
          <w:szCs w:val="22"/>
        </w:rPr>
        <w:t xml:space="preserve"> between DLB subjects on </w:t>
      </w:r>
      <w:r>
        <w:rPr>
          <w:sz w:val="22"/>
          <w:szCs w:val="22"/>
        </w:rPr>
        <w:t>cholinesterase inhibitors (</w:t>
      </w:r>
      <w:r w:rsidRPr="00A25B4C">
        <w:rPr>
          <w:sz w:val="22"/>
          <w:szCs w:val="22"/>
        </w:rPr>
        <w:t>CHEI</w:t>
      </w:r>
      <w:r>
        <w:rPr>
          <w:sz w:val="22"/>
          <w:szCs w:val="22"/>
        </w:rPr>
        <w:t>)</w:t>
      </w:r>
      <w:r w:rsidRPr="00A25B4C">
        <w:rPr>
          <w:sz w:val="22"/>
          <w:szCs w:val="22"/>
        </w:rPr>
        <w:t xml:space="preserve"> or no</w:t>
      </w:r>
      <w:r>
        <w:rPr>
          <w:sz w:val="22"/>
          <w:szCs w:val="22"/>
        </w:rPr>
        <w:t>t</w:t>
      </w:r>
      <w:r w:rsidRPr="00A25B4C">
        <w:rPr>
          <w:sz w:val="22"/>
          <w:szCs w:val="22"/>
        </w:rPr>
        <w:t xml:space="preserve">. Values expressed as (Mean </w:t>
      </w:r>
      <w:r w:rsidRPr="00A25B4C">
        <w:rPr>
          <w:sz w:val="22"/>
          <w:szCs w:val="22"/>
        </w:rPr>
        <w:sym w:font="Symbol" w:char="F0B1"/>
      </w:r>
      <w:r w:rsidRPr="00A25B4C">
        <w:rPr>
          <w:sz w:val="22"/>
          <w:szCs w:val="22"/>
        </w:rPr>
        <w:t xml:space="preserve"> 1 Standard deviation)</w:t>
      </w:r>
      <w:proofErr w:type="gramStart"/>
      <w:r w:rsidRPr="00A25B4C">
        <w:rPr>
          <w:sz w:val="22"/>
          <w:szCs w:val="22"/>
        </w:rPr>
        <w:t>.</w:t>
      </w:r>
      <w:r w:rsidRPr="00E61B41">
        <w:rPr>
          <w:sz w:val="22"/>
          <w:szCs w:val="22"/>
        </w:rPr>
        <w:t>†</w:t>
      </w:r>
      <w:proofErr w:type="gramEnd"/>
      <w:r w:rsidRPr="00A25B4C">
        <w:rPr>
          <w:sz w:val="22"/>
          <w:szCs w:val="22"/>
        </w:rPr>
        <w:t xml:space="preserve"> χ</w:t>
      </w:r>
      <w:r w:rsidRPr="00E61B41">
        <w:rPr>
          <w:sz w:val="22"/>
          <w:szCs w:val="22"/>
        </w:rPr>
        <w:t>2</w:t>
      </w:r>
      <w:r w:rsidRPr="00A25B4C">
        <w:rPr>
          <w:sz w:val="22"/>
          <w:szCs w:val="22"/>
        </w:rPr>
        <w:t xml:space="preserve"> value (</w:t>
      </w:r>
      <w:proofErr w:type="spellStart"/>
      <w:r w:rsidRPr="00A25B4C">
        <w:rPr>
          <w:sz w:val="22"/>
          <w:szCs w:val="22"/>
        </w:rPr>
        <w:t>df</w:t>
      </w:r>
      <w:proofErr w:type="spellEnd"/>
      <w:r w:rsidRPr="00A25B4C">
        <w:rPr>
          <w:sz w:val="22"/>
          <w:szCs w:val="22"/>
        </w:rPr>
        <w:t xml:space="preserve">=1). DLB= Dementia with </w:t>
      </w:r>
      <w:proofErr w:type="spellStart"/>
      <w:r w:rsidRPr="00A25B4C">
        <w:rPr>
          <w:sz w:val="22"/>
          <w:szCs w:val="22"/>
        </w:rPr>
        <w:t>Lewy</w:t>
      </w:r>
      <w:proofErr w:type="spellEnd"/>
      <w:r w:rsidRPr="00A25B4C">
        <w:rPr>
          <w:sz w:val="22"/>
          <w:szCs w:val="22"/>
        </w:rPr>
        <w:t xml:space="preserve"> Bodies; MMSE= Mini-Mental State Examination; CAMCOG= Cambridge Cognitive Examination; UPDRS III = Unified Parkinson’s Disease R</w:t>
      </w:r>
      <w:r>
        <w:rPr>
          <w:sz w:val="22"/>
          <w:szCs w:val="22"/>
        </w:rPr>
        <w:t>ating Scale (motor subsection).</w:t>
      </w:r>
    </w:p>
    <w:p w:rsidR="001E0E88" w:rsidRDefault="001E0E88" w:rsidP="009238FD"/>
    <w:sectPr w:rsidR="001E0E88" w:rsidSect="001E0E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88"/>
    <w:rsid w:val="001E0E88"/>
    <w:rsid w:val="00215F22"/>
    <w:rsid w:val="004746E4"/>
    <w:rsid w:val="009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88"/>
  </w:style>
  <w:style w:type="paragraph" w:styleId="Heading4">
    <w:name w:val="heading 4"/>
    <w:basedOn w:val="Normal"/>
    <w:next w:val="Normal"/>
    <w:link w:val="Heading4Char"/>
    <w:qFormat/>
    <w:rsid w:val="001E0E88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0E88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9238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38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88"/>
  </w:style>
  <w:style w:type="paragraph" w:styleId="Heading4">
    <w:name w:val="heading 4"/>
    <w:basedOn w:val="Normal"/>
    <w:next w:val="Normal"/>
    <w:link w:val="Heading4Char"/>
    <w:qFormat/>
    <w:rsid w:val="001E0E88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0E88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9238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38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njpt2</dc:creator>
  <cp:lastModifiedBy>Hayden Case</cp:lastModifiedBy>
  <cp:revision>2</cp:revision>
  <dcterms:created xsi:type="dcterms:W3CDTF">2013-09-10T07:26:00Z</dcterms:created>
  <dcterms:modified xsi:type="dcterms:W3CDTF">2013-09-10T07:26:00Z</dcterms:modified>
</cp:coreProperties>
</file>