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03D6" w14:textId="0CEB55FB" w:rsidR="0044647C" w:rsidRPr="00293B15" w:rsidRDefault="0044647C" w:rsidP="00366AC6">
      <w:pPr>
        <w:pStyle w:val="TableCaption"/>
        <w:jc w:val="left"/>
      </w:pPr>
      <w:bookmarkStart w:id="0" w:name="_GoBack"/>
      <w:bookmarkEnd w:id="0"/>
      <w:proofErr w:type="gramStart"/>
      <w:r>
        <w:t xml:space="preserve">Supplemental </w:t>
      </w:r>
      <w:r w:rsidR="00E23A32">
        <w:t>Material 2</w:t>
      </w:r>
      <w:r w:rsidRPr="00293B15">
        <w:t>.</w:t>
      </w:r>
      <w:proofErr w:type="gramEnd"/>
      <w:r w:rsidRPr="00293B15">
        <w:t xml:space="preserve"> </w:t>
      </w:r>
      <w:r>
        <w:t xml:space="preserve">Partially </w:t>
      </w:r>
      <w:r w:rsidR="00254FC6" w:rsidRPr="00293B15">
        <w:t>adjusted o</w:t>
      </w:r>
      <w:r w:rsidR="00254FC6">
        <w:t xml:space="preserve">dds </w:t>
      </w:r>
      <w:r w:rsidR="00254FC6" w:rsidRPr="00293B15">
        <w:t>r</w:t>
      </w:r>
      <w:r w:rsidR="00254FC6">
        <w:t xml:space="preserve">atio </w:t>
      </w:r>
      <w:r>
        <w:t>(</w:t>
      </w:r>
      <w:proofErr w:type="spellStart"/>
      <w:r>
        <w:t>OR</w:t>
      </w:r>
      <w:r w:rsidR="003D7A19">
        <w:t>s</w:t>
      </w:r>
      <w:proofErr w:type="spellEnd"/>
      <w:r>
        <w:t>)</w:t>
      </w:r>
      <w:r w:rsidRPr="00293B15">
        <w:t xml:space="preserve"> and 95% </w:t>
      </w:r>
      <w:r w:rsidR="00254FC6" w:rsidRPr="00293B15">
        <w:t>c</w:t>
      </w:r>
      <w:r w:rsidR="00254FC6">
        <w:t xml:space="preserve">onfidence </w:t>
      </w:r>
      <w:r w:rsidR="00254FC6" w:rsidRPr="00293B15">
        <w:t>i</w:t>
      </w:r>
      <w:r w:rsidR="00254FC6">
        <w:t xml:space="preserve">ntervals </w:t>
      </w:r>
      <w:r>
        <w:t>(</w:t>
      </w:r>
      <w:proofErr w:type="spellStart"/>
      <w:r>
        <w:t>CI</w:t>
      </w:r>
      <w:r w:rsidR="003D7A19">
        <w:t>s</w:t>
      </w:r>
      <w:proofErr w:type="spellEnd"/>
      <w:r>
        <w:t>)</w:t>
      </w:r>
      <w:r w:rsidRPr="00293B15">
        <w:t xml:space="preserve"> </w:t>
      </w:r>
      <w:r>
        <w:t xml:space="preserve">of </w:t>
      </w:r>
      <w:r w:rsidR="00254FC6">
        <w:t xml:space="preserve">quartiles </w:t>
      </w:r>
      <w:r>
        <w:t>of ‘Personal Growth’ (</w:t>
      </w:r>
      <w:r w:rsidRPr="005A1A86">
        <w:rPr>
          <w:i/>
        </w:rPr>
        <w:t>N</w:t>
      </w:r>
      <w:r w:rsidR="000A2B93">
        <w:t> = 8,772</w:t>
      </w:r>
      <w:r>
        <w:t xml:space="preserve">) </w:t>
      </w:r>
      <w:r w:rsidRPr="00293B15">
        <w:t xml:space="preserve">and </w:t>
      </w:r>
      <w:r>
        <w:t>‘</w:t>
      </w:r>
      <w:r w:rsidRPr="00293B15">
        <w:t>Purpose in Life</w:t>
      </w:r>
      <w:r>
        <w:t>’ (</w:t>
      </w:r>
      <w:r w:rsidRPr="005A1A86">
        <w:rPr>
          <w:i/>
        </w:rPr>
        <w:t>N</w:t>
      </w:r>
      <w:r w:rsidR="000A2B93">
        <w:t> = 8,732</w:t>
      </w:r>
      <w:r>
        <w:t>) constructs</w:t>
      </w:r>
      <w:r w:rsidRPr="00293B15">
        <w:t xml:space="preserve"> for Prevalent, Incide</w:t>
      </w:r>
      <w:r>
        <w:t>nt, Disabled</w:t>
      </w:r>
      <w:r w:rsidR="00136C75">
        <w:t>,</w:t>
      </w:r>
      <w:r>
        <w:t xml:space="preserve"> or Deceased </w:t>
      </w:r>
      <w:r w:rsidR="00254FC6">
        <w:t xml:space="preserve">categories </w:t>
      </w:r>
      <w:r>
        <w:t xml:space="preserve">at 85 </w:t>
      </w:r>
      <w:r w:rsidR="00254FC6">
        <w:t xml:space="preserve">years of age </w:t>
      </w:r>
      <w:r>
        <w:t xml:space="preserve">in </w:t>
      </w:r>
      <w:bookmarkStart w:id="1" w:name="Editing"/>
      <w:bookmarkEnd w:id="1"/>
      <w:r>
        <w:t xml:space="preserve">Women’s Health Initiative </w:t>
      </w:r>
      <w:r w:rsidR="00254FC6">
        <w:t xml:space="preserve">study </w:t>
      </w:r>
      <w:proofErr w:type="spellStart"/>
      <w:r w:rsidR="00254FC6">
        <w:t>participants</w:t>
      </w:r>
      <w:r w:rsidR="00254FC6">
        <w:rPr>
          <w:vertAlign w:val="superscript"/>
        </w:rPr>
        <w:t>a</w:t>
      </w:r>
      <w:proofErr w:type="spellEnd"/>
      <w:r w:rsidR="00254FC6">
        <w:t xml:space="preserve"> </w:t>
      </w:r>
    </w:p>
    <w:tbl>
      <w:tblPr>
        <w:tblW w:w="13857" w:type="dxa"/>
        <w:tblInd w:w="-72" w:type="dxa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521"/>
        <w:gridCol w:w="729"/>
        <w:gridCol w:w="630"/>
        <w:gridCol w:w="1530"/>
        <w:gridCol w:w="900"/>
        <w:gridCol w:w="630"/>
        <w:gridCol w:w="1530"/>
        <w:gridCol w:w="810"/>
        <w:gridCol w:w="810"/>
        <w:gridCol w:w="1530"/>
        <w:gridCol w:w="810"/>
        <w:gridCol w:w="810"/>
      </w:tblGrid>
      <w:tr w:rsidR="0044647C" w:rsidRPr="0006330B" w14:paraId="46BF92D7" w14:textId="77777777" w:rsidTr="00366AC6">
        <w:trPr>
          <w:trHeight w:val="411"/>
        </w:trPr>
        <w:tc>
          <w:tcPr>
            <w:tcW w:w="1617" w:type="dxa"/>
            <w:vMerge w:val="restart"/>
            <w:shd w:val="clear" w:color="auto" w:fill="auto"/>
            <w:noWrap/>
            <w:vAlign w:val="bottom"/>
            <w:hideMark/>
          </w:tcPr>
          <w:p w14:paraId="596E1FA7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Variable 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14:paraId="70C1393C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Prevalent</w:t>
            </w: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b</w:t>
            </w:r>
            <w:proofErr w:type="spellEnd"/>
          </w:p>
        </w:tc>
        <w:tc>
          <w:tcPr>
            <w:tcW w:w="3060" w:type="dxa"/>
            <w:gridSpan w:val="3"/>
            <w:shd w:val="clear" w:color="auto" w:fill="auto"/>
            <w:noWrap/>
            <w:vAlign w:val="bottom"/>
            <w:hideMark/>
          </w:tcPr>
          <w:p w14:paraId="3FBD9E65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Incident</w:t>
            </w: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c</w:t>
            </w:r>
            <w:proofErr w:type="spellEnd"/>
          </w:p>
        </w:tc>
        <w:tc>
          <w:tcPr>
            <w:tcW w:w="3150" w:type="dxa"/>
            <w:gridSpan w:val="3"/>
            <w:shd w:val="clear" w:color="auto" w:fill="auto"/>
            <w:noWrap/>
            <w:vAlign w:val="bottom"/>
            <w:hideMark/>
          </w:tcPr>
          <w:p w14:paraId="68725C3C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Disabled</w:t>
            </w: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d</w:t>
            </w:r>
            <w:proofErr w:type="spellEnd"/>
          </w:p>
        </w:tc>
        <w:tc>
          <w:tcPr>
            <w:tcW w:w="3150" w:type="dxa"/>
            <w:gridSpan w:val="3"/>
            <w:vAlign w:val="bottom"/>
          </w:tcPr>
          <w:p w14:paraId="064957F2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Deceased</w:t>
            </w: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e</w:t>
            </w:r>
            <w:proofErr w:type="spellEnd"/>
          </w:p>
        </w:tc>
      </w:tr>
      <w:tr w:rsidR="0044647C" w:rsidRPr="0006330B" w14:paraId="2B6736C1" w14:textId="77777777" w:rsidTr="00366AC6">
        <w:tc>
          <w:tcPr>
            <w:tcW w:w="1617" w:type="dxa"/>
            <w:vMerge/>
            <w:shd w:val="clear" w:color="auto" w:fill="auto"/>
            <w:noWrap/>
            <w:hideMark/>
          </w:tcPr>
          <w:p w14:paraId="3E711739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1394CCBD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OR (95% CI)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4E7F18C5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633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  <w:t>p</w:t>
            </w:r>
            <w:proofErr w:type="gramEnd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value 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CE61A8D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633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  <w:t>p</w:t>
            </w:r>
            <w:proofErr w:type="gramEnd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for trend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2957D06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OR (95% CI)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EA14F0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633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  <w:t>p</w:t>
            </w:r>
            <w:proofErr w:type="gramEnd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value 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E321926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633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  <w:t>p</w:t>
            </w:r>
            <w:proofErr w:type="gramEnd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for trend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2FB981B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OR (95% CI)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06FA5C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633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  <w:t>p</w:t>
            </w:r>
            <w:proofErr w:type="gramEnd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value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BF57E4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633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  <w:t>p</w:t>
            </w:r>
            <w:proofErr w:type="gramEnd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for trend </w:t>
            </w:r>
          </w:p>
        </w:tc>
        <w:tc>
          <w:tcPr>
            <w:tcW w:w="1530" w:type="dxa"/>
            <w:vAlign w:val="bottom"/>
          </w:tcPr>
          <w:p w14:paraId="469B8FB5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OR (95% CI)</w:t>
            </w:r>
          </w:p>
        </w:tc>
        <w:tc>
          <w:tcPr>
            <w:tcW w:w="810" w:type="dxa"/>
            <w:vAlign w:val="bottom"/>
          </w:tcPr>
          <w:p w14:paraId="58E4F057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633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  <w:t>p</w:t>
            </w:r>
            <w:proofErr w:type="gramEnd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value</w:t>
            </w:r>
          </w:p>
        </w:tc>
        <w:tc>
          <w:tcPr>
            <w:tcW w:w="810" w:type="dxa"/>
            <w:vAlign w:val="bottom"/>
          </w:tcPr>
          <w:p w14:paraId="61E50E6C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633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  <w:t>p</w:t>
            </w:r>
            <w:proofErr w:type="gramEnd"/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for trend</w:t>
            </w:r>
          </w:p>
        </w:tc>
      </w:tr>
      <w:tr w:rsidR="0044647C" w:rsidRPr="0006330B" w14:paraId="22727714" w14:textId="77777777" w:rsidTr="00366AC6">
        <w:trPr>
          <w:trHeight w:val="413"/>
        </w:trPr>
        <w:tc>
          <w:tcPr>
            <w:tcW w:w="1617" w:type="dxa"/>
            <w:shd w:val="clear" w:color="auto" w:fill="auto"/>
            <w:noWrap/>
          </w:tcPr>
          <w:p w14:paraId="31AC44B5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Personal Growth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14:paraId="38D4AF3E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5253AF0B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F6F2ACF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6CA4408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8A0B20F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7DBCA67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5F0D345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2E5CFAA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55C7F2F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4887DA0F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vAlign w:val="bottom"/>
          </w:tcPr>
          <w:p w14:paraId="1EC53CD4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vAlign w:val="bottom"/>
          </w:tcPr>
          <w:p w14:paraId="0FBB6085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4647C" w:rsidRPr="0006330B" w14:paraId="32B9D542" w14:textId="77777777" w:rsidTr="00366AC6">
        <w:trPr>
          <w:trHeight w:val="413"/>
        </w:trPr>
        <w:tc>
          <w:tcPr>
            <w:tcW w:w="1617" w:type="dxa"/>
            <w:shd w:val="clear" w:color="auto" w:fill="auto"/>
            <w:noWrap/>
          </w:tcPr>
          <w:p w14:paraId="1C4F0CEA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Continuous </w:t>
            </w:r>
            <w:proofErr w:type="spellStart"/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score</w:t>
            </w: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f</w:t>
            </w:r>
            <w:proofErr w:type="spellEnd"/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14:paraId="1FAF2DE6" w14:textId="7B0D3AB0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0.99 (0.98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1.00)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1E808F92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4510A4A9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A89D252" w14:textId="77F71F45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0.99 (0.98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1.00)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564EFD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E20E00D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E405001" w14:textId="2CB6C2A1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0.96 (0.95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0.97)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44A04D1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6A78038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12EECA53" w14:textId="38B90A94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0.94 (0.92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0.96)</w:t>
            </w:r>
          </w:p>
        </w:tc>
        <w:tc>
          <w:tcPr>
            <w:tcW w:w="810" w:type="dxa"/>
            <w:vAlign w:val="bottom"/>
          </w:tcPr>
          <w:p w14:paraId="6DD48DDE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vAlign w:val="bottom"/>
          </w:tcPr>
          <w:p w14:paraId="0E5374F0" w14:textId="77777777" w:rsidR="0044647C" w:rsidRPr="00E949E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4647C" w:rsidRPr="0006330B" w14:paraId="2AF97DCB" w14:textId="77777777" w:rsidTr="00366AC6">
        <w:tc>
          <w:tcPr>
            <w:tcW w:w="1617" w:type="dxa"/>
            <w:shd w:val="clear" w:color="auto" w:fill="auto"/>
            <w:noWrap/>
            <w:hideMark/>
          </w:tcPr>
          <w:p w14:paraId="1E37160D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QRT1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4255B8BB" w14:textId="46EB6176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1.09 (0.90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1.32)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D9CA6C3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0.63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vAlign w:val="bottom"/>
            <w:hideMark/>
          </w:tcPr>
          <w:p w14:paraId="2DB675F6" w14:textId="77777777" w:rsidR="0044647C" w:rsidRPr="00E23A32" w:rsidRDefault="00366AC6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BD8203B" w14:textId="526B3BF5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1.18 (1.01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1.39)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D59444F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vAlign w:val="bottom"/>
            <w:hideMark/>
          </w:tcPr>
          <w:p w14:paraId="249E727A" w14:textId="77777777" w:rsidR="0044647C" w:rsidRPr="00E23A32" w:rsidRDefault="00366AC6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0.23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D9A7BBF" w14:textId="40DB2A46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1.70 (1.43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2.02)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8A4EE3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14:paraId="07014817" w14:textId="77777777" w:rsidR="0044647C" w:rsidRPr="00E23A32" w:rsidRDefault="00366AC6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1530" w:type="dxa"/>
            <w:vAlign w:val="bottom"/>
          </w:tcPr>
          <w:p w14:paraId="573743DD" w14:textId="79D0FAE4" w:rsidR="0044647C" w:rsidRPr="00E23A32" w:rsidRDefault="009F4E52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2.61 (1.84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3.70)</w:t>
            </w:r>
          </w:p>
        </w:tc>
        <w:tc>
          <w:tcPr>
            <w:tcW w:w="810" w:type="dxa"/>
            <w:vAlign w:val="bottom"/>
          </w:tcPr>
          <w:p w14:paraId="7E33673F" w14:textId="77777777" w:rsidR="0044647C" w:rsidRPr="00E23A32" w:rsidRDefault="009F4E52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vMerge w:val="restart"/>
            <w:vAlign w:val="bottom"/>
          </w:tcPr>
          <w:p w14:paraId="150CE6A8" w14:textId="77777777" w:rsidR="0044647C" w:rsidRPr="0029046E" w:rsidRDefault="00366AC6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&lt;0.001</w:t>
            </w:r>
          </w:p>
        </w:tc>
      </w:tr>
      <w:tr w:rsidR="0044647C" w:rsidRPr="0006330B" w14:paraId="3EF63E1C" w14:textId="77777777" w:rsidTr="00366AC6">
        <w:tc>
          <w:tcPr>
            <w:tcW w:w="1617" w:type="dxa"/>
            <w:shd w:val="clear" w:color="auto" w:fill="auto"/>
            <w:noWrap/>
            <w:hideMark/>
          </w:tcPr>
          <w:p w14:paraId="405BA884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QRT2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175CACA4" w14:textId="6D11067B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1.00 (0.83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1.19)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957DD81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0.96</w:t>
            </w:r>
          </w:p>
        </w:tc>
        <w:tc>
          <w:tcPr>
            <w:tcW w:w="630" w:type="dxa"/>
            <w:vMerge/>
            <w:vAlign w:val="center"/>
            <w:hideMark/>
          </w:tcPr>
          <w:p w14:paraId="1AD9741C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3480C46" w14:textId="4C8BAFB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1.14 (0.98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1.33)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E0B9274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630" w:type="dxa"/>
            <w:vMerge/>
            <w:vAlign w:val="center"/>
            <w:hideMark/>
          </w:tcPr>
          <w:p w14:paraId="3CFE2862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D6012F0" w14:textId="3F87BEBE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1.34 (1.13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1.59)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9C36B22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810" w:type="dxa"/>
            <w:vMerge/>
            <w:vAlign w:val="center"/>
            <w:hideMark/>
          </w:tcPr>
          <w:p w14:paraId="08F1F190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44CCDE9B" w14:textId="77C675FA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1.94 (1.37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9F4E52"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2.75)</w:t>
            </w:r>
          </w:p>
        </w:tc>
        <w:tc>
          <w:tcPr>
            <w:tcW w:w="810" w:type="dxa"/>
            <w:vAlign w:val="bottom"/>
          </w:tcPr>
          <w:p w14:paraId="0284AA1E" w14:textId="77777777" w:rsidR="0044647C" w:rsidRPr="00E23A32" w:rsidRDefault="009F4E52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vMerge/>
            <w:vAlign w:val="bottom"/>
          </w:tcPr>
          <w:p w14:paraId="367EF127" w14:textId="77777777" w:rsidR="0044647C" w:rsidRPr="001F6231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4647C" w:rsidRPr="0006330B" w14:paraId="6106F6CB" w14:textId="77777777" w:rsidTr="00366AC6">
        <w:tc>
          <w:tcPr>
            <w:tcW w:w="1617" w:type="dxa"/>
            <w:shd w:val="clear" w:color="auto" w:fill="auto"/>
            <w:noWrap/>
            <w:hideMark/>
          </w:tcPr>
          <w:p w14:paraId="07B999F5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QRT3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654010D" w14:textId="54932C1A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1.05 (0.87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1.26)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FB940A5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0.35</w:t>
            </w:r>
          </w:p>
        </w:tc>
        <w:tc>
          <w:tcPr>
            <w:tcW w:w="630" w:type="dxa"/>
            <w:vMerge/>
            <w:vAlign w:val="center"/>
            <w:hideMark/>
          </w:tcPr>
          <w:p w14:paraId="50F1A33A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10FC521" w14:textId="4ED5D999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1.06 (0.91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1.24)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0A73C2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0.48</w:t>
            </w:r>
          </w:p>
        </w:tc>
        <w:tc>
          <w:tcPr>
            <w:tcW w:w="630" w:type="dxa"/>
            <w:vMerge/>
            <w:vAlign w:val="center"/>
            <w:hideMark/>
          </w:tcPr>
          <w:p w14:paraId="6D079B1C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7D685DE" w14:textId="74978ED8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1.14 (0.95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1.36)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BDA89DC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0.17</w:t>
            </w:r>
          </w:p>
        </w:tc>
        <w:tc>
          <w:tcPr>
            <w:tcW w:w="810" w:type="dxa"/>
            <w:vMerge/>
            <w:vAlign w:val="center"/>
            <w:hideMark/>
          </w:tcPr>
          <w:p w14:paraId="69E7B28F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78B9F887" w14:textId="151FD69E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1.56 (1.07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2.27)</w:t>
            </w:r>
          </w:p>
        </w:tc>
        <w:tc>
          <w:tcPr>
            <w:tcW w:w="810" w:type="dxa"/>
            <w:vAlign w:val="bottom"/>
          </w:tcPr>
          <w:p w14:paraId="1180586B" w14:textId="77777777" w:rsidR="0044647C" w:rsidRPr="00E23A32" w:rsidRDefault="000A2B93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0.02</w:t>
            </w:r>
          </w:p>
        </w:tc>
        <w:tc>
          <w:tcPr>
            <w:tcW w:w="810" w:type="dxa"/>
            <w:vMerge/>
            <w:vAlign w:val="bottom"/>
          </w:tcPr>
          <w:p w14:paraId="03CCC0A4" w14:textId="77777777" w:rsidR="0044647C" w:rsidRPr="001F6231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4647C" w:rsidRPr="0006330B" w14:paraId="392EB4FD" w14:textId="77777777" w:rsidTr="00366AC6">
        <w:tc>
          <w:tcPr>
            <w:tcW w:w="1617" w:type="dxa"/>
            <w:shd w:val="clear" w:color="auto" w:fill="auto"/>
            <w:noWrap/>
            <w:hideMark/>
          </w:tcPr>
          <w:p w14:paraId="6336B1D2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QRT4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4450AA98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[Reference]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5AD52DF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551240E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4E10E44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[Reference]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ED3718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F677F3E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0893A19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[Reference]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B86C35A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C01073F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5E7FD486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[Reference]</w:t>
            </w:r>
          </w:p>
        </w:tc>
        <w:tc>
          <w:tcPr>
            <w:tcW w:w="810" w:type="dxa"/>
            <w:vAlign w:val="bottom"/>
          </w:tcPr>
          <w:p w14:paraId="6909144F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vAlign w:val="bottom"/>
          </w:tcPr>
          <w:p w14:paraId="1C5D0FAA" w14:textId="77777777" w:rsidR="0044647C" w:rsidRPr="0029046E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4647C" w:rsidRPr="0006330B" w14:paraId="7EA64EF9" w14:textId="77777777" w:rsidTr="00366AC6">
        <w:trPr>
          <w:trHeight w:val="404"/>
        </w:trPr>
        <w:tc>
          <w:tcPr>
            <w:tcW w:w="1617" w:type="dxa"/>
            <w:shd w:val="clear" w:color="auto" w:fill="auto"/>
            <w:noWrap/>
            <w:hideMark/>
          </w:tcPr>
          <w:p w14:paraId="4FE22BA5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Purpose in Life 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32B13BB3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44C04F0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3664CE6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6A0C1A4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3158E3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02BF207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0F0D029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6E71AA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0B4627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1C8EECE9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vAlign w:val="bottom"/>
          </w:tcPr>
          <w:p w14:paraId="32236219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vAlign w:val="bottom"/>
          </w:tcPr>
          <w:p w14:paraId="12771D28" w14:textId="77777777" w:rsidR="0044647C" w:rsidRPr="0029046E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4647C" w:rsidRPr="0006330B" w14:paraId="60360E64" w14:textId="77777777" w:rsidTr="00366AC6">
        <w:trPr>
          <w:trHeight w:val="404"/>
        </w:trPr>
        <w:tc>
          <w:tcPr>
            <w:tcW w:w="1617" w:type="dxa"/>
            <w:shd w:val="clear" w:color="auto" w:fill="auto"/>
            <w:noWrap/>
          </w:tcPr>
          <w:p w14:paraId="4D309AEF" w14:textId="77777777" w:rsidR="0044647C" w:rsidRPr="00E23A32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Continuous </w:t>
            </w:r>
            <w:proofErr w:type="spellStart"/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score</w:t>
            </w:r>
            <w:r w:rsidRPr="00E23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f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14:paraId="5CB4976B" w14:textId="1F20C35C" w:rsidR="0044647C" w:rsidRPr="00E23A32" w:rsidRDefault="009F4E52" w:rsidP="00761088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0.99 (0.97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1.00)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1721C07C" w14:textId="77777777" w:rsidR="0044647C" w:rsidRPr="00E23A32" w:rsidRDefault="009F4E52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4E21C02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1592CB9" w14:textId="0167AA67" w:rsidR="0044647C" w:rsidRPr="00E23A32" w:rsidRDefault="009F4E52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0.98 (0.97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0.99)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515B7A9" w14:textId="77777777" w:rsidR="0044647C" w:rsidRPr="00E23A32" w:rsidRDefault="009F4E52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338B03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D68C9E8" w14:textId="1A37786B" w:rsidR="0044647C" w:rsidRPr="00E23A32" w:rsidRDefault="009F4E52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0.94 (0.93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0.96)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8169EA0" w14:textId="77777777" w:rsidR="0044647C" w:rsidRPr="00E23A32" w:rsidRDefault="009F4E52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6D035B2" w14:textId="77777777" w:rsidR="0044647C" w:rsidRPr="00E23A32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7CA8B1C5" w14:textId="4CE8FEC9" w:rsidR="0044647C" w:rsidRPr="00E23A32" w:rsidRDefault="009F4E52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0.91 (0.89</w:t>
            </w:r>
            <w:r w:rsidR="008C5F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0.93)</w:t>
            </w:r>
          </w:p>
        </w:tc>
        <w:tc>
          <w:tcPr>
            <w:tcW w:w="810" w:type="dxa"/>
            <w:vAlign w:val="bottom"/>
          </w:tcPr>
          <w:p w14:paraId="6EB8D709" w14:textId="77777777" w:rsidR="0044647C" w:rsidRPr="00E23A32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23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vAlign w:val="bottom"/>
          </w:tcPr>
          <w:p w14:paraId="441E79DE" w14:textId="77777777" w:rsidR="0044647C" w:rsidRPr="00E949E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4647C" w:rsidRPr="0006330B" w14:paraId="62F28BF4" w14:textId="77777777" w:rsidTr="00366AC6">
        <w:tc>
          <w:tcPr>
            <w:tcW w:w="1617" w:type="dxa"/>
            <w:shd w:val="clear" w:color="auto" w:fill="auto"/>
            <w:noWrap/>
            <w:hideMark/>
          </w:tcPr>
          <w:p w14:paraId="14D2FCE1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QRT1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D3C0273" w14:textId="42F570C2" w:rsidR="0044647C" w:rsidRPr="0006330B" w:rsidRDefault="00761088" w:rsidP="0076108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1.19 (0.98</w:t>
            </w:r>
            <w:r w:rsidR="008C5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1.44)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236F742" w14:textId="77777777" w:rsidR="0044647C" w:rsidRPr="0006330B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0.07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vAlign w:val="bottom"/>
            <w:hideMark/>
          </w:tcPr>
          <w:p w14:paraId="11B84DA9" w14:textId="77777777" w:rsidR="0044647C" w:rsidRPr="00366AC6" w:rsidRDefault="00366AC6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g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6880617" w14:textId="087E8413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1.32 (1.13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1.55)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B5E8BF5" w14:textId="77777777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vAlign w:val="bottom"/>
            <w:hideMark/>
          </w:tcPr>
          <w:p w14:paraId="452BE330" w14:textId="77777777" w:rsidR="0044647C" w:rsidRPr="002E0BBD" w:rsidRDefault="00366AC6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g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B77038" w14:textId="4FF65C85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1.94 (1.62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2.31)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B58EEA1" w14:textId="77777777" w:rsidR="0044647C" w:rsidRPr="0029046E" w:rsidRDefault="00BA17F0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14:paraId="1DC791F9" w14:textId="77777777" w:rsidR="0044647C" w:rsidRPr="002E0BBD" w:rsidRDefault="00366AC6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g</w:t>
            </w:r>
            <w:proofErr w:type="spellEnd"/>
          </w:p>
        </w:tc>
        <w:tc>
          <w:tcPr>
            <w:tcW w:w="1530" w:type="dxa"/>
            <w:vAlign w:val="bottom"/>
          </w:tcPr>
          <w:p w14:paraId="0C37BE20" w14:textId="20900505" w:rsidR="0044647C" w:rsidRPr="0029046E" w:rsidRDefault="00BA17F0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4.25 (2.88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6.27)</w:t>
            </w:r>
          </w:p>
        </w:tc>
        <w:tc>
          <w:tcPr>
            <w:tcW w:w="810" w:type="dxa"/>
            <w:vAlign w:val="bottom"/>
          </w:tcPr>
          <w:p w14:paraId="51857BBC" w14:textId="77777777" w:rsidR="0044647C" w:rsidRPr="0029046E" w:rsidRDefault="00BA17F0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vMerge w:val="restart"/>
            <w:vAlign w:val="bottom"/>
          </w:tcPr>
          <w:p w14:paraId="08E8B849" w14:textId="77777777" w:rsidR="0044647C" w:rsidRPr="002E0BBD" w:rsidRDefault="00366AC6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g</w:t>
            </w:r>
            <w:proofErr w:type="spellEnd"/>
          </w:p>
        </w:tc>
      </w:tr>
      <w:tr w:rsidR="0044647C" w:rsidRPr="0006330B" w14:paraId="5CB9D5FE" w14:textId="77777777" w:rsidTr="00366AC6">
        <w:tc>
          <w:tcPr>
            <w:tcW w:w="1617" w:type="dxa"/>
            <w:shd w:val="clear" w:color="auto" w:fill="auto"/>
            <w:noWrap/>
            <w:hideMark/>
          </w:tcPr>
          <w:p w14:paraId="0DEFFBC4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QRT2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4A9A45CD" w14:textId="0D8CC606" w:rsidR="0044647C" w:rsidRPr="0006330B" w:rsidRDefault="00761088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1.13 (0.94</w:t>
            </w:r>
            <w:r w:rsidR="008C5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1.38)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B749AC6" w14:textId="77777777" w:rsidR="0044647C" w:rsidRPr="0006330B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0.19</w:t>
            </w:r>
          </w:p>
        </w:tc>
        <w:tc>
          <w:tcPr>
            <w:tcW w:w="630" w:type="dxa"/>
            <w:vMerge/>
            <w:vAlign w:val="center"/>
            <w:hideMark/>
          </w:tcPr>
          <w:p w14:paraId="6362547A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E4FAF26" w14:textId="42C3A433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1.29 (1.10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1.52)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FF350C" w14:textId="77777777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0.002</w:t>
            </w:r>
          </w:p>
        </w:tc>
        <w:tc>
          <w:tcPr>
            <w:tcW w:w="630" w:type="dxa"/>
            <w:vMerge/>
            <w:vAlign w:val="center"/>
            <w:hideMark/>
          </w:tcPr>
          <w:p w14:paraId="16A2EAF3" w14:textId="77777777" w:rsidR="0044647C" w:rsidRPr="0029046E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31C1ABD" w14:textId="32FEFCAF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1.40 (1.16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1.68)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3A6973" w14:textId="77777777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&lt;0.001</w:t>
            </w:r>
          </w:p>
        </w:tc>
        <w:tc>
          <w:tcPr>
            <w:tcW w:w="810" w:type="dxa"/>
            <w:vMerge/>
            <w:vAlign w:val="center"/>
            <w:hideMark/>
          </w:tcPr>
          <w:p w14:paraId="23EC41BD" w14:textId="77777777" w:rsidR="0044647C" w:rsidRPr="001F6231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39A2BBCA" w14:textId="1371B668" w:rsidR="0044647C" w:rsidRPr="0029046E" w:rsidRDefault="00BA17F0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1.82 (1.18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2.80)</w:t>
            </w:r>
          </w:p>
        </w:tc>
        <w:tc>
          <w:tcPr>
            <w:tcW w:w="810" w:type="dxa"/>
            <w:vAlign w:val="bottom"/>
          </w:tcPr>
          <w:p w14:paraId="330AFCD7" w14:textId="77777777" w:rsidR="0044647C" w:rsidRPr="0029046E" w:rsidRDefault="00BA17F0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0.006</w:t>
            </w:r>
          </w:p>
        </w:tc>
        <w:tc>
          <w:tcPr>
            <w:tcW w:w="810" w:type="dxa"/>
            <w:vMerge/>
            <w:vAlign w:val="bottom"/>
          </w:tcPr>
          <w:p w14:paraId="47929062" w14:textId="77777777" w:rsidR="0044647C" w:rsidRPr="001F6231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4647C" w:rsidRPr="0006330B" w14:paraId="050F45BE" w14:textId="77777777" w:rsidTr="00366AC6">
        <w:tc>
          <w:tcPr>
            <w:tcW w:w="1617" w:type="dxa"/>
            <w:shd w:val="clear" w:color="auto" w:fill="auto"/>
            <w:noWrap/>
            <w:hideMark/>
          </w:tcPr>
          <w:p w14:paraId="60535BAC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QRT3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8F0AC9F" w14:textId="2AD309E3" w:rsidR="0044647C" w:rsidRPr="0006330B" w:rsidRDefault="00761088" w:rsidP="00761088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1.11 (0.92</w:t>
            </w:r>
            <w:r w:rsidR="008C5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1.33)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441B597B" w14:textId="77777777" w:rsidR="0044647C" w:rsidRPr="0006330B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0.29</w:t>
            </w:r>
          </w:p>
        </w:tc>
        <w:tc>
          <w:tcPr>
            <w:tcW w:w="630" w:type="dxa"/>
            <w:vMerge/>
            <w:vAlign w:val="center"/>
            <w:hideMark/>
          </w:tcPr>
          <w:p w14:paraId="68449820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A8CF8AA" w14:textId="14E2F394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1.10 (0.94</w:t>
            </w:r>
            <w:r w:rsidR="008C5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1.29)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2C60F4" w14:textId="77777777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0.23</w:t>
            </w:r>
          </w:p>
        </w:tc>
        <w:tc>
          <w:tcPr>
            <w:tcW w:w="630" w:type="dxa"/>
            <w:vMerge/>
            <w:vAlign w:val="center"/>
            <w:hideMark/>
          </w:tcPr>
          <w:p w14:paraId="2A90709F" w14:textId="77777777" w:rsidR="0044647C" w:rsidRPr="001F6231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23D4088" w14:textId="677D04A3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1.19 (0.99</w:t>
            </w:r>
            <w:r w:rsidR="008C5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1.43)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2E160CD" w14:textId="77777777" w:rsidR="0044647C" w:rsidRPr="0029046E" w:rsidRDefault="00761088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810" w:type="dxa"/>
            <w:vMerge/>
            <w:vAlign w:val="center"/>
            <w:hideMark/>
          </w:tcPr>
          <w:p w14:paraId="1B4B3F37" w14:textId="77777777" w:rsidR="0044647C" w:rsidRPr="001F6231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30C4E7EF" w14:textId="0DB7E64A" w:rsidR="0044647C" w:rsidRPr="001F6231" w:rsidRDefault="00BA17F0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2.03 (1.34</w:t>
            </w:r>
            <w:r w:rsidR="008C5F3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3.09)</w:t>
            </w:r>
          </w:p>
        </w:tc>
        <w:tc>
          <w:tcPr>
            <w:tcW w:w="810" w:type="dxa"/>
            <w:vAlign w:val="bottom"/>
          </w:tcPr>
          <w:p w14:paraId="0D028E8C" w14:textId="77777777" w:rsidR="0044647C" w:rsidRPr="001F6231" w:rsidRDefault="00BA17F0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810" w:type="dxa"/>
            <w:vMerge/>
            <w:vAlign w:val="bottom"/>
          </w:tcPr>
          <w:p w14:paraId="362358B7" w14:textId="77777777" w:rsidR="0044647C" w:rsidRPr="001F6231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4647C" w:rsidRPr="0006330B" w14:paraId="57CDF038" w14:textId="77777777" w:rsidTr="00366AC6">
        <w:tc>
          <w:tcPr>
            <w:tcW w:w="1617" w:type="dxa"/>
            <w:shd w:val="clear" w:color="auto" w:fill="auto"/>
            <w:noWrap/>
            <w:hideMark/>
          </w:tcPr>
          <w:p w14:paraId="35F334A9" w14:textId="77777777" w:rsidR="0044647C" w:rsidRPr="0006330B" w:rsidRDefault="0044647C" w:rsidP="0044647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QRT4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4E37F86F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[Reference]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4428746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74C772D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B84BEA7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[Reference]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E930D8B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A7B7785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DA503FA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[Reference]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E9685C8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F971C27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vAlign w:val="bottom"/>
          </w:tcPr>
          <w:p w14:paraId="531FDD7B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6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[Reference]</w:t>
            </w:r>
          </w:p>
        </w:tc>
        <w:tc>
          <w:tcPr>
            <w:tcW w:w="810" w:type="dxa"/>
            <w:vAlign w:val="bottom"/>
          </w:tcPr>
          <w:p w14:paraId="0880A54F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vAlign w:val="bottom"/>
          </w:tcPr>
          <w:p w14:paraId="4A527136" w14:textId="77777777" w:rsidR="0044647C" w:rsidRPr="0006330B" w:rsidRDefault="0044647C" w:rsidP="004464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28578C0" w14:textId="0A5FC114" w:rsidR="0044647C" w:rsidRDefault="0044647C" w:rsidP="0044647C">
      <w:pPr>
        <w:pStyle w:val="TableNote"/>
      </w:pPr>
      <w:r w:rsidRPr="00952DB6">
        <w:rPr>
          <w:rStyle w:val="Emphasis"/>
        </w:rPr>
        <w:t>Note.</w:t>
      </w:r>
      <w:r>
        <w:t xml:space="preserve"> </w:t>
      </w:r>
      <w:proofErr w:type="spellStart"/>
      <w:r w:rsidR="00E95447">
        <w:t>QRT</w:t>
      </w:r>
      <w:proofErr w:type="spellEnd"/>
      <w:r w:rsidR="00E95447">
        <w:t xml:space="preserve"> = quartile. </w:t>
      </w:r>
      <w:r>
        <w:t>Results are from multinomial logistic regression adjusted for age, race</w:t>
      </w:r>
      <w:r w:rsidR="00DE726F">
        <w:t>,</w:t>
      </w:r>
      <w:r>
        <w:t xml:space="preserve"> and </w:t>
      </w:r>
      <w:r w:rsidRPr="00647DB3">
        <w:t>educatio</w:t>
      </w:r>
      <w:r>
        <w:t>n. The higher value of the quartiles indicates higher Personal Growth and Purpose in Life.</w:t>
      </w:r>
      <w:r w:rsidR="00FB7F7C">
        <w:t xml:space="preserve"> </w:t>
      </w:r>
      <w:r>
        <w:br/>
      </w:r>
      <w:proofErr w:type="gramStart"/>
      <w:r>
        <w:rPr>
          <w:vertAlign w:val="superscript"/>
        </w:rPr>
        <w:t>a</w:t>
      </w:r>
      <w:proofErr w:type="gramEnd"/>
      <w:r>
        <w:rPr>
          <w:vertAlign w:val="superscript"/>
        </w:rPr>
        <w:t xml:space="preserve"> </w:t>
      </w:r>
      <w:r>
        <w:t xml:space="preserve">Reference category is those living to age 85 or older with no disease and no mobility disability; </w:t>
      </w:r>
      <w:r>
        <w:rPr>
          <w:vertAlign w:val="superscript"/>
        </w:rPr>
        <w:t>b</w:t>
      </w:r>
      <w:r>
        <w:t xml:space="preserve"> Baseline disease but not incident disease or mobility disability; </w:t>
      </w:r>
      <w:r>
        <w:rPr>
          <w:vertAlign w:val="superscript"/>
        </w:rPr>
        <w:t>c</w:t>
      </w:r>
      <w:r>
        <w:t xml:space="preserve"> Incident disease but not mobility disability; </w:t>
      </w:r>
      <w:r>
        <w:rPr>
          <w:vertAlign w:val="superscript"/>
        </w:rPr>
        <w:t>d</w:t>
      </w:r>
      <w:r>
        <w:t xml:space="preserve"> Incident mobility disability with or without disease; </w:t>
      </w:r>
      <w:r>
        <w:rPr>
          <w:vertAlign w:val="superscript"/>
        </w:rPr>
        <w:t>e</w:t>
      </w:r>
      <w:r>
        <w:t xml:space="preserve"> Did not survive to December 1, 2013; </w:t>
      </w:r>
      <w:r>
        <w:rPr>
          <w:vertAlign w:val="superscript"/>
        </w:rPr>
        <w:t>f</w:t>
      </w:r>
      <w:r w:rsidRPr="00982DF5">
        <w:t xml:space="preserve"> </w:t>
      </w:r>
      <w:r w:rsidR="00DE726F">
        <w:t>H</w:t>
      </w:r>
      <w:r>
        <w:t xml:space="preserve">igher score indicates more favorable status; </w:t>
      </w:r>
      <w:r>
        <w:rPr>
          <w:vertAlign w:val="superscript"/>
        </w:rPr>
        <w:t xml:space="preserve">g </w:t>
      </w:r>
      <w:r>
        <w:t>Null results for the test for linear trend.</w:t>
      </w:r>
    </w:p>
    <w:sectPr w:rsidR="0044647C" w:rsidSect="00E23A32"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7C"/>
    <w:rsid w:val="000A2B93"/>
    <w:rsid w:val="00136C75"/>
    <w:rsid w:val="00254FC6"/>
    <w:rsid w:val="00341CE4"/>
    <w:rsid w:val="00366AC6"/>
    <w:rsid w:val="003D7A19"/>
    <w:rsid w:val="003F61AD"/>
    <w:rsid w:val="0044647C"/>
    <w:rsid w:val="00697A03"/>
    <w:rsid w:val="006B54B5"/>
    <w:rsid w:val="00761088"/>
    <w:rsid w:val="00770941"/>
    <w:rsid w:val="007E1A19"/>
    <w:rsid w:val="00893E27"/>
    <w:rsid w:val="008C5F31"/>
    <w:rsid w:val="00982DF5"/>
    <w:rsid w:val="00983151"/>
    <w:rsid w:val="009F4E52"/>
    <w:rsid w:val="00A31265"/>
    <w:rsid w:val="00AD5F6D"/>
    <w:rsid w:val="00B64DC5"/>
    <w:rsid w:val="00BA17F0"/>
    <w:rsid w:val="00C741F5"/>
    <w:rsid w:val="00D50A02"/>
    <w:rsid w:val="00D53482"/>
    <w:rsid w:val="00DE726F"/>
    <w:rsid w:val="00E23A32"/>
    <w:rsid w:val="00E95447"/>
    <w:rsid w:val="00F604D4"/>
    <w:rsid w:val="00F87AD1"/>
    <w:rsid w:val="00FB7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CA1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 Caption"/>
    <w:basedOn w:val="Normal"/>
    <w:qFormat/>
    <w:rsid w:val="0044647C"/>
    <w:pPr>
      <w:spacing w:after="120"/>
      <w:jc w:val="center"/>
    </w:pPr>
    <w:rPr>
      <w:rFonts w:ascii="Times New Roman" w:eastAsia="Times New Roman" w:hAnsi="Times New Roman" w:cs="Times New Roman"/>
      <w:color w:val="000000"/>
      <w:lang w:eastAsia="en-US"/>
    </w:rPr>
  </w:style>
  <w:style w:type="paragraph" w:customStyle="1" w:styleId="TableNote">
    <w:name w:val="Table Note"/>
    <w:basedOn w:val="Normal"/>
    <w:qFormat/>
    <w:rsid w:val="0044647C"/>
    <w:pPr>
      <w:spacing w:before="120" w:after="0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4647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D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 Caption"/>
    <w:basedOn w:val="Normal"/>
    <w:qFormat/>
    <w:rsid w:val="0044647C"/>
    <w:pPr>
      <w:spacing w:after="120"/>
      <w:jc w:val="center"/>
    </w:pPr>
    <w:rPr>
      <w:rFonts w:ascii="Times New Roman" w:eastAsia="Times New Roman" w:hAnsi="Times New Roman" w:cs="Times New Roman"/>
      <w:color w:val="000000"/>
      <w:lang w:eastAsia="en-US"/>
    </w:rPr>
  </w:style>
  <w:style w:type="paragraph" w:customStyle="1" w:styleId="TableNote">
    <w:name w:val="Table Note"/>
    <w:basedOn w:val="Normal"/>
    <w:qFormat/>
    <w:rsid w:val="0044647C"/>
    <w:pPr>
      <w:spacing w:before="120" w:after="0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4647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D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Zaslavsky</dc:creator>
  <cp:lastModifiedBy>Oleg Zaslavsky</cp:lastModifiedBy>
  <cp:revision>2</cp:revision>
  <dcterms:created xsi:type="dcterms:W3CDTF">2014-07-23T06:37:00Z</dcterms:created>
  <dcterms:modified xsi:type="dcterms:W3CDTF">2014-07-23T06:37:00Z</dcterms:modified>
</cp:coreProperties>
</file>