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46" w:rsidRDefault="00F83B46" w:rsidP="00420545">
      <w:pPr>
        <w:spacing w:after="120" w:line="240" w:lineRule="auto"/>
        <w:ind w:hanging="993"/>
      </w:pPr>
      <w:r>
        <w:t xml:space="preserve">Appendix Table </w:t>
      </w:r>
      <w:r w:rsidRPr="00746465">
        <w:rPr>
          <w:i/>
        </w:rPr>
        <w:t xml:space="preserve">(A. </w:t>
      </w:r>
      <w:r>
        <w:rPr>
          <w:i/>
        </w:rPr>
        <w:t>risk of bias</w:t>
      </w:r>
      <w:r>
        <w:t>).</w:t>
      </w:r>
    </w:p>
    <w:tbl>
      <w:tblPr>
        <w:tblStyle w:val="TableGrid"/>
        <w:tblW w:w="15735" w:type="dxa"/>
        <w:tblInd w:w="-998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284"/>
        <w:gridCol w:w="992"/>
        <w:gridCol w:w="283"/>
        <w:gridCol w:w="284"/>
        <w:gridCol w:w="283"/>
        <w:gridCol w:w="2410"/>
        <w:gridCol w:w="567"/>
        <w:gridCol w:w="851"/>
        <w:gridCol w:w="4819"/>
        <w:gridCol w:w="709"/>
        <w:gridCol w:w="283"/>
      </w:tblGrid>
      <w:tr w:rsidR="00F83B46" w:rsidRPr="00B719ED" w:rsidTr="00FB4B56">
        <w:tc>
          <w:tcPr>
            <w:tcW w:w="241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Study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3/4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Amella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(1999)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Cohort/staff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1:10</w:t>
            </w:r>
          </w:p>
        </w:tc>
        <w:tc>
          <w:tcPr>
            <w:tcW w:w="851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Correlations, multiple regression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Bahareethan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&amp; Shah </w:t>
            </w:r>
            <w:r>
              <w:rPr>
                <w:rFonts w:cstheme="minorHAnsi"/>
                <w:noProof/>
                <w:sz w:val="20"/>
                <w:szCs w:val="20"/>
              </w:rPr>
              <w:t>(2000)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1:13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N/A 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0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Ballard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(2001)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16:35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Linear regression: All predictors included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Beer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(2010)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5:19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Backward stepwise regression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Beerens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11:9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Multilevel hierarchical regression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Bravo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 w:rsidRPr="00B719E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(1999)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Continuous, dichotomous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2:23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Stepwise multiple linear regression analysis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Chang </w:t>
            </w:r>
            <w:r>
              <w:rPr>
                <w:rFonts w:cstheme="minorHAnsi"/>
                <w:sz w:val="20"/>
                <w:szCs w:val="20"/>
              </w:rPr>
              <w:t xml:space="preserve">&amp; Roberts </w:t>
            </w:r>
            <w:r>
              <w:rPr>
                <w:rFonts w:cstheme="minorHAnsi"/>
                <w:noProof/>
                <w:sz w:val="20"/>
                <w:szCs w:val="20"/>
              </w:rPr>
              <w:t>(2011)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2:7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Logistical regression: All predictors included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Chappell &amp; Reid </w:t>
            </w:r>
            <w:r>
              <w:rPr>
                <w:rFonts w:cstheme="minorHAnsi"/>
                <w:noProof/>
                <w:sz w:val="20"/>
                <w:szCs w:val="20"/>
              </w:rPr>
              <w:t>(2000)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8:19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Linear regression: All predictors included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Crespo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3:57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Correlations, Stepwise multiple linear regression analysis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Roo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1:17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Correlations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F83B46" w:rsidRPr="00B719ED" w:rsidTr="00FB4B56">
        <w:trPr>
          <w:trHeight w:val="559"/>
        </w:trPr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Dobbs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(2005)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 (99 residents self-report)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Categorical,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3:34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Odds Ratio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 </w:t>
            </w:r>
          </w:p>
        </w:tc>
      </w:tr>
      <w:tr w:rsidR="00F83B46" w:rsidRPr="00B719ED" w:rsidTr="00FB4B56">
        <w:tc>
          <w:tcPr>
            <w:tcW w:w="2411" w:type="dxa"/>
            <w:shd w:val="clear" w:color="auto" w:fill="auto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Edvardsson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(2008)</w:t>
            </w:r>
          </w:p>
        </w:tc>
        <w:tc>
          <w:tcPr>
            <w:tcW w:w="1559" w:type="dxa"/>
            <w:shd w:val="clear" w:color="auto" w:fill="auto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From intervention</w:t>
            </w:r>
          </w:p>
        </w:tc>
        <w:tc>
          <w:tcPr>
            <w:tcW w:w="284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Categorical, continuous</w:t>
            </w:r>
          </w:p>
        </w:tc>
        <w:tc>
          <w:tcPr>
            <w:tcW w:w="567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1:14</w:t>
            </w:r>
          </w:p>
        </w:tc>
        <w:tc>
          <w:tcPr>
            <w:tcW w:w="851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Edvardsson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Categorical,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3:5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Fitzgerald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(2009)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Continuous, categorical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12:12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t>ultilevel/hierarchical linear and logistic regression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Huizing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(2007)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Cohort/MDS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Continuous, categorical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3;11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Bivariate and Multi-level model. All variables entered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F83B46" w:rsidRPr="00B719ED" w:rsidTr="00FB4B56">
        <w:tc>
          <w:tcPr>
            <w:tcW w:w="2411" w:type="dxa"/>
            <w:shd w:val="clear" w:color="auto" w:fill="auto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719ED">
              <w:rPr>
                <w:rFonts w:cstheme="minorHAnsi"/>
                <w:sz w:val="20"/>
                <w:szCs w:val="20"/>
              </w:rPr>
              <w:t>Isaksson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(2009)</w:t>
            </w:r>
          </w:p>
        </w:tc>
        <w:tc>
          <w:tcPr>
            <w:tcW w:w="1559" w:type="dxa"/>
            <w:shd w:val="clear" w:color="auto" w:fill="auto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Categorical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2:33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Mann–Whitney U-test, Chi-squared test, discriminant analysis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Median Split.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Karlsson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(2001)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Cohort/MDS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4:58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  <w:r w:rsidRPr="00B719ED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Significant variables with restraint were included in a discriminant analysis: stepwise approach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Median split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Kim &amp; </w:t>
            </w:r>
            <w:proofErr w:type="spellStart"/>
            <w:r w:rsidRPr="00B719ED">
              <w:rPr>
                <w:rFonts w:cstheme="minorHAnsi"/>
                <w:sz w:val="20"/>
                <w:szCs w:val="20"/>
              </w:rPr>
              <w:t>Whall</w:t>
            </w:r>
            <w:proofErr w:type="spellEnd"/>
            <w:r w:rsidRPr="00B719E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(2006)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Cohort/state website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linear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1:10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Odds ratios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Kleijer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MDS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Categorical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3:28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0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Lin </w:t>
            </w:r>
            <w:r w:rsidRPr="0073124D">
              <w:rPr>
                <w:rFonts w:cstheme="minorHAnsi"/>
                <w:bCs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(2010)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 xml:space="preserve">Cohort 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Categorical, continuous, dichotomous 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2:15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Odds Ratio and forward stepwise regression 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Median split 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Lin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(2011)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categorical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1:16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Chi-square test and t-test. A forward stepwise logistic regression model and forward stepwise regression model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McGilton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(2012)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Categorical, </w:t>
            </w:r>
            <w:proofErr w:type="spellStart"/>
            <w:r w:rsidRPr="00B719ED">
              <w:rPr>
                <w:rFonts w:cstheme="minorHAnsi"/>
                <w:sz w:val="20"/>
                <w:szCs w:val="20"/>
              </w:rPr>
              <w:t>dicotomous</w:t>
            </w:r>
            <w:proofErr w:type="spellEnd"/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3:39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ANOVA. All predictors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&amp; Chan </w:t>
            </w:r>
            <w:r>
              <w:rPr>
                <w:rFonts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categorical,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2:17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T-tests or the Mann Whitney U test, Chi – square, logistic regression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Mjørud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 xml:space="preserve">RCT Control 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Dichotomous, categorical,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11:29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autoSpaceDE w:val="0"/>
              <w:autoSpaceDN w:val="0"/>
              <w:adjustRightInd w:val="0"/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Mann-Whitney U-test, </w:t>
            </w:r>
            <w:proofErr w:type="spellStart"/>
            <w:r w:rsidRPr="00B719ED">
              <w:rPr>
                <w:rFonts w:cstheme="minorHAnsi"/>
                <w:sz w:val="20"/>
                <w:szCs w:val="20"/>
              </w:rPr>
              <w:t>Kruskal</w:t>
            </w:r>
            <w:proofErr w:type="spellEnd"/>
            <w:r w:rsidRPr="00B719ED">
              <w:rPr>
                <w:rFonts w:cstheme="minorHAnsi"/>
                <w:sz w:val="20"/>
                <w:szCs w:val="20"/>
              </w:rPr>
              <w:t xml:space="preserve">-Wallis test, paired sample t-test. Linear regression analyses. Regression: enter and the backward method 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Reed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(2005)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Categorical, 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4:44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Bivariate linear and logistic regression models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Reid &amp; Chappell </w:t>
            </w:r>
            <w:r>
              <w:rPr>
                <w:rFonts w:cstheme="minorHAnsi"/>
                <w:noProof/>
                <w:sz w:val="20"/>
                <w:szCs w:val="20"/>
              </w:rPr>
              <w:t>(2003)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6:9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All predictors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Schreiner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(2005)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15:2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All predictors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Sjögren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 xml:space="preserve">Staff Survey 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Continuous, dichotomous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2:15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Slaughter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(2011a)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2:19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Hazard ratios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Slaughter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(2011b)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As Above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Dichotomous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2:19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Hazard ratios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Slaughter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Hayduk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(2012)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As Above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Continuous, dichotomous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3:13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Maximum likelihood coefficients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a priori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Sloane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(1998)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 xml:space="preserve">Cohort 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2:47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Backward stepwise regression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 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Categorical, continuous, dichotomous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2:20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Multilevel analysis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Zuidema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(2010)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Cohort – part of a larger study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Continuous, dichotomous 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7:15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Odds Ratio, forward stepwise regression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+ </w:t>
            </w:r>
          </w:p>
        </w:tc>
      </w:tr>
      <w:tr w:rsidR="00F83B46" w:rsidRPr="00B719ED" w:rsidTr="00FB4B56">
        <w:tc>
          <w:tcPr>
            <w:tcW w:w="2411" w:type="dxa"/>
          </w:tcPr>
          <w:p w:rsidR="00F83B46" w:rsidRPr="00B719ED" w:rsidRDefault="00F83B46" w:rsidP="0073124D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Zuidema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124D">
              <w:rPr>
                <w:rFonts w:cstheme="minorHAnsi"/>
                <w:i/>
                <w:sz w:val="20"/>
                <w:szCs w:val="20"/>
              </w:rPr>
              <w:t>et 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(2011)</w:t>
            </w:r>
          </w:p>
        </w:tc>
        <w:tc>
          <w:tcPr>
            <w:tcW w:w="1559" w:type="dxa"/>
          </w:tcPr>
          <w:p w:rsidR="00F83B46" w:rsidRPr="00B719ED" w:rsidRDefault="00F83B46" w:rsidP="00727735">
            <w:pPr>
              <w:pStyle w:val="NormalWeb"/>
              <w:spacing w:before="2" w:beforeAutospacing="0" w:after="2" w:afterAutospacing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19ED">
              <w:rPr>
                <w:rFonts w:asciiTheme="minorHAnsi" w:hAnsiTheme="minorHAnsi" w:cstheme="minorHAnsi"/>
                <w:sz w:val="20"/>
                <w:szCs w:val="20"/>
              </w:rPr>
              <w:t>As above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 xml:space="preserve">Continuous </w:t>
            </w:r>
          </w:p>
        </w:tc>
        <w:tc>
          <w:tcPr>
            <w:tcW w:w="567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4:16</w:t>
            </w:r>
          </w:p>
        </w:tc>
        <w:tc>
          <w:tcPr>
            <w:tcW w:w="851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Unclear</w:t>
            </w:r>
          </w:p>
        </w:tc>
        <w:tc>
          <w:tcPr>
            <w:tcW w:w="481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Multilevel logistic regression analysis</w:t>
            </w:r>
          </w:p>
        </w:tc>
        <w:tc>
          <w:tcPr>
            <w:tcW w:w="709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83" w:type="dxa"/>
          </w:tcPr>
          <w:p w:rsidR="00F83B46" w:rsidRPr="00B719ED" w:rsidRDefault="00F83B46" w:rsidP="00727735">
            <w:pPr>
              <w:spacing w:before="2" w:after="2" w:line="264" w:lineRule="auto"/>
              <w:rPr>
                <w:rFonts w:cstheme="minorHAnsi"/>
                <w:sz w:val="20"/>
                <w:szCs w:val="20"/>
              </w:rPr>
            </w:pPr>
            <w:r w:rsidRPr="00B719ED">
              <w:rPr>
                <w:rFonts w:cstheme="minorHAnsi"/>
                <w:sz w:val="20"/>
                <w:szCs w:val="20"/>
              </w:rPr>
              <w:t>+</w:t>
            </w:r>
          </w:p>
        </w:tc>
      </w:tr>
    </w:tbl>
    <w:p w:rsidR="00F83B46" w:rsidRDefault="00F83B46" w:rsidP="00420545">
      <w:pPr>
        <w:spacing w:after="0" w:line="240" w:lineRule="auto"/>
        <w:ind w:left="-993"/>
        <w:rPr>
          <w:rFonts w:cstheme="minorHAnsi"/>
          <w:sz w:val="18"/>
          <w:szCs w:val="18"/>
        </w:rPr>
      </w:pPr>
    </w:p>
    <w:p w:rsidR="00F83B46" w:rsidRDefault="00F83B46" w:rsidP="00727735">
      <w:pPr>
        <w:spacing w:after="0" w:line="240" w:lineRule="auto"/>
        <w:ind w:left="-993"/>
        <w:rPr>
          <w:rFonts w:cstheme="minorHAnsi"/>
          <w:sz w:val="18"/>
          <w:szCs w:val="18"/>
        </w:rPr>
        <w:sectPr w:rsidR="00F83B46" w:rsidSect="00F83B4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sz w:val="18"/>
          <w:szCs w:val="18"/>
        </w:rPr>
        <w:t xml:space="preserve">1. </w:t>
      </w:r>
      <w:r w:rsidRPr="00CE6778">
        <w:rPr>
          <w:rFonts w:cstheme="minorHAnsi"/>
          <w:sz w:val="18"/>
          <w:szCs w:val="18"/>
        </w:rPr>
        <w:t>Source of Data</w:t>
      </w:r>
      <w:r>
        <w:rPr>
          <w:rFonts w:cstheme="minorHAnsi"/>
          <w:sz w:val="18"/>
          <w:szCs w:val="18"/>
        </w:rPr>
        <w:t xml:space="preserve">; 2. </w:t>
      </w:r>
      <w:r w:rsidRPr="00CE6778">
        <w:rPr>
          <w:rFonts w:cstheme="minorHAnsi"/>
          <w:sz w:val="18"/>
          <w:szCs w:val="18"/>
        </w:rPr>
        <w:t>Timing of Outcome Collection (1=</w:t>
      </w:r>
      <w:proofErr w:type="gramStart"/>
      <w:r w:rsidRPr="00CE6778">
        <w:rPr>
          <w:rFonts w:cstheme="minorHAnsi"/>
          <w:sz w:val="18"/>
          <w:szCs w:val="18"/>
        </w:rPr>
        <w:t>Same</w:t>
      </w:r>
      <w:proofErr w:type="gramEnd"/>
      <w:r w:rsidRPr="00CE6778">
        <w:rPr>
          <w:rFonts w:cstheme="minorHAnsi"/>
          <w:sz w:val="18"/>
          <w:szCs w:val="18"/>
        </w:rPr>
        <w:t xml:space="preserve"> time as predictors, 2=After predictor data collected)</w:t>
      </w:r>
      <w:r>
        <w:rPr>
          <w:rFonts w:cstheme="minorHAnsi"/>
          <w:sz w:val="18"/>
          <w:szCs w:val="18"/>
        </w:rPr>
        <w:t xml:space="preserve">; 3. </w:t>
      </w:r>
      <w:r w:rsidRPr="00CE6778">
        <w:rPr>
          <w:rFonts w:cstheme="minorHAnsi"/>
          <w:sz w:val="18"/>
          <w:szCs w:val="18"/>
        </w:rPr>
        <w:t>Definition and method for measurement of outcome (Yes=1, No=2)</w:t>
      </w:r>
      <w:r>
        <w:rPr>
          <w:rFonts w:cstheme="minorHAnsi"/>
          <w:sz w:val="18"/>
          <w:szCs w:val="18"/>
        </w:rPr>
        <w:t xml:space="preserve">; 4. </w:t>
      </w:r>
      <w:r w:rsidRPr="00CE6778">
        <w:rPr>
          <w:rFonts w:cstheme="minorHAnsi"/>
          <w:sz w:val="18"/>
          <w:szCs w:val="18"/>
        </w:rPr>
        <w:t>Was the same outcome definition (and method for measurement) used in all residents? (Yes=1, No=2)</w:t>
      </w:r>
      <w:r>
        <w:rPr>
          <w:rFonts w:cstheme="minorHAnsi"/>
          <w:sz w:val="18"/>
          <w:szCs w:val="18"/>
        </w:rPr>
        <w:t xml:space="preserve">; 5. </w:t>
      </w:r>
      <w:r w:rsidRPr="00CE6778">
        <w:rPr>
          <w:rFonts w:cstheme="minorHAnsi"/>
          <w:sz w:val="18"/>
          <w:szCs w:val="18"/>
        </w:rPr>
        <w:t>Outcome assessed without knowledge of the candidate predictors? (Yes=1, No=2, Unclear=3)</w:t>
      </w:r>
      <w:r>
        <w:rPr>
          <w:rFonts w:cstheme="minorHAnsi"/>
          <w:sz w:val="18"/>
          <w:szCs w:val="18"/>
        </w:rPr>
        <w:t xml:space="preserve">; 6. </w:t>
      </w:r>
      <w:r w:rsidRPr="00CE6778">
        <w:rPr>
          <w:rFonts w:cstheme="minorHAnsi"/>
          <w:sz w:val="18"/>
          <w:szCs w:val="18"/>
        </w:rPr>
        <w:t xml:space="preserve">Were candidate </w:t>
      </w:r>
      <w:proofErr w:type="gramStart"/>
      <w:r w:rsidRPr="00CE6778">
        <w:rPr>
          <w:rFonts w:cstheme="minorHAnsi"/>
          <w:sz w:val="18"/>
          <w:szCs w:val="18"/>
        </w:rPr>
        <w:t>predictors</w:t>
      </w:r>
      <w:proofErr w:type="gramEnd"/>
      <w:r w:rsidRPr="00CE6778">
        <w:rPr>
          <w:rFonts w:cstheme="minorHAnsi"/>
          <w:sz w:val="18"/>
          <w:szCs w:val="18"/>
        </w:rPr>
        <w:t xml:space="preserve"> part of the outcome? (Yes=1, No=2)</w:t>
      </w:r>
      <w:r>
        <w:rPr>
          <w:rFonts w:cstheme="minorHAnsi"/>
          <w:sz w:val="18"/>
          <w:szCs w:val="18"/>
        </w:rPr>
        <w:t xml:space="preserve">; 7. </w:t>
      </w:r>
      <w:r w:rsidRPr="00CE6778">
        <w:rPr>
          <w:rFonts w:cstheme="minorHAnsi"/>
          <w:sz w:val="20"/>
          <w:szCs w:val="20"/>
        </w:rPr>
        <w:t>Were predictors assessed blinded for outcome, and for each other? (Yes=1, No=2, Unclear=3)</w:t>
      </w:r>
      <w:r>
        <w:rPr>
          <w:rFonts w:cstheme="minorHAnsi"/>
          <w:sz w:val="18"/>
          <w:szCs w:val="18"/>
        </w:rPr>
        <w:t xml:space="preserve">; 8. </w:t>
      </w:r>
      <w:r w:rsidRPr="00CE6778">
        <w:rPr>
          <w:rFonts w:cstheme="minorHAnsi"/>
          <w:sz w:val="20"/>
          <w:szCs w:val="20"/>
        </w:rPr>
        <w:t>Handling of predictors in the modelling</w:t>
      </w:r>
      <w:r>
        <w:rPr>
          <w:rFonts w:cstheme="minorHAnsi"/>
          <w:sz w:val="18"/>
          <w:szCs w:val="18"/>
        </w:rPr>
        <w:t xml:space="preserve">; 9. </w:t>
      </w:r>
      <w:r w:rsidRPr="00CE6778">
        <w:rPr>
          <w:rFonts w:cstheme="minorHAnsi"/>
          <w:sz w:val="20"/>
          <w:szCs w:val="20"/>
        </w:rPr>
        <w:t>No. of outcomes/events in relation to the no. of predictors</w:t>
      </w:r>
      <w:r>
        <w:rPr>
          <w:rFonts w:cstheme="minorHAnsi"/>
          <w:sz w:val="18"/>
          <w:szCs w:val="18"/>
        </w:rPr>
        <w:t xml:space="preserve">; 10. </w:t>
      </w:r>
      <w:r w:rsidRPr="00CE6778">
        <w:rPr>
          <w:rFonts w:cstheme="minorHAnsi"/>
          <w:sz w:val="20"/>
          <w:szCs w:val="20"/>
        </w:rPr>
        <w:t>Modelling assumptions satisfied</w:t>
      </w:r>
      <w:r>
        <w:rPr>
          <w:rFonts w:cstheme="minorHAnsi"/>
          <w:sz w:val="18"/>
          <w:szCs w:val="18"/>
        </w:rPr>
        <w:t xml:space="preserve">; 11. </w:t>
      </w:r>
      <w:r w:rsidRPr="00CE6778">
        <w:rPr>
          <w:rFonts w:cstheme="minorHAnsi"/>
          <w:sz w:val="20"/>
          <w:szCs w:val="20"/>
        </w:rPr>
        <w:t>Method for selection of predictors for inclusion in multivariable modelling and Method for selection of predictors during multivariable modelling and criteria used</w:t>
      </w:r>
      <w:r>
        <w:rPr>
          <w:rFonts w:cstheme="minorHAnsi"/>
          <w:sz w:val="18"/>
          <w:szCs w:val="18"/>
        </w:rPr>
        <w:t xml:space="preserve">; 12. </w:t>
      </w:r>
      <w:r w:rsidRPr="00CE6778">
        <w:rPr>
          <w:rFonts w:cstheme="minorHAnsi"/>
          <w:sz w:val="20"/>
          <w:szCs w:val="20"/>
        </w:rPr>
        <w:t>Classification measures and whether a priori cut points were used</w:t>
      </w:r>
      <w:r>
        <w:rPr>
          <w:rFonts w:cstheme="minorHAnsi"/>
          <w:sz w:val="18"/>
          <w:szCs w:val="18"/>
        </w:rPr>
        <w:t xml:space="preserve">; 13. </w:t>
      </w:r>
      <w:r w:rsidRPr="00CE6778">
        <w:rPr>
          <w:rFonts w:cstheme="minorHAnsi"/>
          <w:sz w:val="20"/>
          <w:szCs w:val="20"/>
        </w:rPr>
        <w:t>Quality of Statistics (From -=Low Quality, ++=High Quality)</w:t>
      </w:r>
    </w:p>
    <w:p w:rsidR="00F83B46" w:rsidRPr="00F54BA3" w:rsidRDefault="00F83B46" w:rsidP="00F83B46">
      <w:pPr>
        <w:spacing w:after="120" w:line="480" w:lineRule="auto"/>
        <w:rPr>
          <w:b/>
        </w:rPr>
      </w:pPr>
      <w:r w:rsidRPr="00F54BA3">
        <w:rPr>
          <w:b/>
        </w:rPr>
        <w:lastRenderedPageBreak/>
        <w:t>References</w:t>
      </w:r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0" w:name="_ENREF_1"/>
      <w:r w:rsidRPr="002E26C3">
        <w:rPr>
          <w:rFonts w:ascii="Calibri" w:hAnsi="Calibri" w:cs="Calibri"/>
          <w:b/>
          <w:noProof/>
        </w:rPr>
        <w:t xml:space="preserve">Amella, E. J. </w:t>
      </w:r>
      <w:r w:rsidRPr="0073124D">
        <w:rPr>
          <w:rFonts w:ascii="Calibri" w:hAnsi="Calibri" w:cs="Calibri"/>
          <w:noProof/>
        </w:rPr>
        <w:t xml:space="preserve">(1999). Factors influencing the proportion of food consumed by nursing home residents with dementia. </w:t>
      </w:r>
      <w:r w:rsidRPr="0073124D">
        <w:rPr>
          <w:rFonts w:ascii="Calibri" w:hAnsi="Calibri" w:cs="Calibri"/>
          <w:i/>
          <w:noProof/>
        </w:rPr>
        <w:t>Advancing Geriatrics Nursing Practice,</w:t>
      </w:r>
      <w:r w:rsidRPr="0073124D">
        <w:rPr>
          <w:rFonts w:ascii="Calibri" w:hAnsi="Calibri" w:cs="Calibri"/>
          <w:noProof/>
        </w:rPr>
        <w:t xml:space="preserve"> 47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879-885.</w:t>
      </w:r>
      <w:bookmarkEnd w:id="0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" w:name="_ENREF_2"/>
      <w:r w:rsidRPr="002E26C3">
        <w:rPr>
          <w:rFonts w:ascii="Calibri" w:hAnsi="Calibri" w:cs="Calibri"/>
          <w:b/>
          <w:noProof/>
        </w:rPr>
        <w:t>Bahareethan, M., and Shah, A.</w:t>
      </w:r>
      <w:r w:rsidRPr="0073124D">
        <w:rPr>
          <w:rFonts w:ascii="Calibri" w:hAnsi="Calibri" w:cs="Calibri"/>
          <w:noProof/>
        </w:rPr>
        <w:t xml:space="preserve"> (2000). Aggressive behaviour, staff attitude and staff perception of patients on two continuing care psychogeriatric wards. </w:t>
      </w:r>
      <w:r w:rsidRPr="0073124D">
        <w:rPr>
          <w:rFonts w:ascii="Calibri" w:hAnsi="Calibri" w:cs="Calibri"/>
          <w:i/>
          <w:noProof/>
        </w:rPr>
        <w:t>Aging and Mental Health,</w:t>
      </w:r>
      <w:r w:rsidRPr="0073124D">
        <w:rPr>
          <w:rFonts w:ascii="Calibri" w:hAnsi="Calibri" w:cs="Calibri"/>
          <w:noProof/>
        </w:rPr>
        <w:t xml:space="preserve"> 4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66-71.</w:t>
      </w:r>
      <w:bookmarkEnd w:id="1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" w:name="_ENREF_3"/>
      <w:r w:rsidRPr="002E26C3">
        <w:rPr>
          <w:rFonts w:ascii="Calibri" w:hAnsi="Calibri" w:cs="Calibri"/>
          <w:b/>
          <w:noProof/>
        </w:rPr>
        <w:t>Ballard, C., O'brien, J., James, I., Mynt, P., Lana, M., Potkins, D.</w:t>
      </w:r>
      <w:r w:rsidRPr="002E26C3">
        <w:rPr>
          <w:rFonts w:ascii="Calibri" w:hAnsi="Calibri" w:cs="Calibri"/>
          <w:b/>
          <w:i/>
          <w:noProof/>
        </w:rPr>
        <w:t>, et al.</w:t>
      </w:r>
      <w:r w:rsidRPr="0073124D">
        <w:rPr>
          <w:rFonts w:ascii="Calibri" w:hAnsi="Calibri" w:cs="Calibri"/>
          <w:noProof/>
        </w:rPr>
        <w:t xml:space="preserve"> (2001). Quality of life for people with dementia living in residential and nursing home care: The impact of performance on activities of daily living, behavioral and psychological symptoms, language skills, and psychotropic drugs. </w:t>
      </w:r>
      <w:r w:rsidRPr="0073124D">
        <w:rPr>
          <w:rFonts w:ascii="Calibri" w:hAnsi="Calibri" w:cs="Calibri"/>
          <w:i/>
          <w:noProof/>
        </w:rPr>
        <w:t>International Psychogeriatrics,</w:t>
      </w:r>
      <w:r w:rsidRPr="0073124D">
        <w:rPr>
          <w:rFonts w:ascii="Calibri" w:hAnsi="Calibri" w:cs="Calibri"/>
          <w:noProof/>
        </w:rPr>
        <w:t xml:space="preserve"> 13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93-106.</w:t>
      </w:r>
      <w:bookmarkEnd w:id="2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3" w:name="_ENREF_4"/>
      <w:r w:rsidRPr="002E26C3">
        <w:rPr>
          <w:rFonts w:ascii="Calibri" w:hAnsi="Calibri" w:cs="Calibri"/>
          <w:b/>
          <w:noProof/>
        </w:rPr>
        <w:t>Beer, C., Flicker, L., Horner, B., Bretl, N., Scherer, S., Lautenschlager, N. T.</w:t>
      </w:r>
      <w:r w:rsidRPr="002E26C3">
        <w:rPr>
          <w:rFonts w:ascii="Calibri" w:hAnsi="Calibri" w:cs="Calibri"/>
          <w:b/>
          <w:i/>
          <w:noProof/>
        </w:rPr>
        <w:t>, et al.</w:t>
      </w:r>
      <w:r w:rsidRPr="0073124D">
        <w:rPr>
          <w:rFonts w:ascii="Calibri" w:hAnsi="Calibri" w:cs="Calibri"/>
          <w:noProof/>
        </w:rPr>
        <w:t xml:space="preserve"> (2010). Factors associated with self and informant ratings of the quality of life of people with dementia living in care facilities: A cross sectional study. </w:t>
      </w:r>
      <w:r w:rsidRPr="0073124D">
        <w:rPr>
          <w:rFonts w:ascii="Calibri" w:hAnsi="Calibri" w:cs="Calibri"/>
          <w:i/>
          <w:noProof/>
        </w:rPr>
        <w:t>PLoS One,</w:t>
      </w:r>
      <w:r w:rsidRPr="0073124D">
        <w:rPr>
          <w:rFonts w:ascii="Calibri" w:hAnsi="Calibri" w:cs="Calibri"/>
          <w:noProof/>
        </w:rPr>
        <w:t xml:space="preserve"> 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e15621.</w:t>
      </w:r>
      <w:bookmarkEnd w:id="3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4" w:name="_ENREF_5"/>
      <w:r w:rsidRPr="002E26C3">
        <w:rPr>
          <w:rFonts w:ascii="Calibri" w:hAnsi="Calibri" w:cs="Calibri"/>
          <w:b/>
          <w:noProof/>
        </w:rPr>
        <w:t>Beerens, H. C., Sutcliffe, C., Renom-Guiteras, A., Soto M.E., Suhonen, R., Zabalegui, A.</w:t>
      </w:r>
      <w:r w:rsidRPr="002E26C3">
        <w:rPr>
          <w:rFonts w:ascii="Calibri" w:hAnsi="Calibri" w:cs="Calibri"/>
          <w:b/>
          <w:i/>
          <w:noProof/>
        </w:rPr>
        <w:t>, et al.</w:t>
      </w:r>
      <w:r w:rsidRPr="0073124D">
        <w:rPr>
          <w:rFonts w:ascii="Calibri" w:hAnsi="Calibri" w:cs="Calibri"/>
          <w:noProof/>
        </w:rPr>
        <w:t xml:space="preserve"> (2014). Quality of life and quality of care for people with dementia receiving long term institutional care or professional home care: The European RightTimePlaceCare Study. </w:t>
      </w:r>
      <w:r w:rsidRPr="0073124D">
        <w:rPr>
          <w:rFonts w:ascii="Calibri" w:hAnsi="Calibri" w:cs="Calibri"/>
          <w:i/>
          <w:noProof/>
        </w:rPr>
        <w:t>Journal of the American Directors Association,</w:t>
      </w:r>
      <w:r w:rsidRPr="0073124D">
        <w:rPr>
          <w:rFonts w:ascii="Calibri" w:hAnsi="Calibri" w:cs="Calibri"/>
          <w:noProof/>
        </w:rPr>
        <w:t xml:space="preserve"> 15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54-61.</w:t>
      </w:r>
      <w:bookmarkEnd w:id="4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5" w:name="_ENREF_6"/>
      <w:r w:rsidRPr="002E26C3">
        <w:rPr>
          <w:rFonts w:ascii="Calibri" w:hAnsi="Calibri" w:cs="Calibri"/>
          <w:b/>
          <w:noProof/>
        </w:rPr>
        <w:t>Bravo, G., De Wals, P., Dubois, M. F., and Charpentier, M.</w:t>
      </w:r>
      <w:r w:rsidRPr="0073124D">
        <w:rPr>
          <w:rFonts w:ascii="Calibri" w:hAnsi="Calibri" w:cs="Calibri"/>
          <w:noProof/>
        </w:rPr>
        <w:t xml:space="preserve"> (1999). Correlates of care quality in long-term care facilities: a multilevel analysis. </w:t>
      </w:r>
      <w:r w:rsidRPr="0073124D">
        <w:rPr>
          <w:rFonts w:ascii="Calibri" w:hAnsi="Calibri" w:cs="Calibri"/>
          <w:i/>
          <w:noProof/>
        </w:rPr>
        <w:t>Journal of Gerontology: Psychological Sciences,</w:t>
      </w:r>
      <w:r w:rsidRPr="0073124D">
        <w:rPr>
          <w:rFonts w:ascii="Calibri" w:hAnsi="Calibri" w:cs="Calibri"/>
          <w:noProof/>
        </w:rPr>
        <w:t xml:space="preserve"> 54B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180-188.</w:t>
      </w:r>
      <w:bookmarkEnd w:id="5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6" w:name="_ENREF_7"/>
      <w:r w:rsidRPr="002E26C3">
        <w:rPr>
          <w:rFonts w:ascii="Calibri" w:hAnsi="Calibri" w:cs="Calibri"/>
          <w:b/>
          <w:noProof/>
        </w:rPr>
        <w:t>Chang, C. C., and Roberts, B. L.</w:t>
      </w:r>
      <w:r w:rsidRPr="0073124D">
        <w:rPr>
          <w:rFonts w:ascii="Calibri" w:hAnsi="Calibri" w:cs="Calibri"/>
          <w:noProof/>
        </w:rPr>
        <w:t xml:space="preserve"> (2011). Malnutrition and feeding difficulty in Taiwanese older with dementia. </w:t>
      </w:r>
      <w:r w:rsidRPr="0073124D">
        <w:rPr>
          <w:rFonts w:ascii="Calibri" w:hAnsi="Calibri" w:cs="Calibri"/>
          <w:i/>
          <w:noProof/>
        </w:rPr>
        <w:t>Journal of Clinical Nursing,</w:t>
      </w:r>
      <w:r w:rsidRPr="0073124D">
        <w:rPr>
          <w:rFonts w:ascii="Calibri" w:hAnsi="Calibri" w:cs="Calibri"/>
          <w:noProof/>
        </w:rPr>
        <w:t xml:space="preserve"> 20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2153-2161.</w:t>
      </w:r>
      <w:bookmarkEnd w:id="6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7" w:name="_ENREF_8"/>
      <w:r w:rsidRPr="002E26C3">
        <w:rPr>
          <w:rFonts w:ascii="Calibri" w:hAnsi="Calibri" w:cs="Calibri"/>
          <w:b/>
          <w:noProof/>
        </w:rPr>
        <w:t>Chappell, N. L., and Reid, R.</w:t>
      </w:r>
      <w:r w:rsidRPr="0073124D">
        <w:rPr>
          <w:rFonts w:ascii="Calibri" w:hAnsi="Calibri" w:cs="Calibri"/>
          <w:noProof/>
        </w:rPr>
        <w:t xml:space="preserve"> (2000). Dimensions of care for dementia sufferers in long-term care institutions: Are they related to outcomes? </w:t>
      </w:r>
      <w:r w:rsidRPr="0073124D">
        <w:rPr>
          <w:rFonts w:ascii="Calibri" w:hAnsi="Calibri" w:cs="Calibri"/>
          <w:i/>
          <w:noProof/>
        </w:rPr>
        <w:t>Journal of Gerontology: Social Sciences,</w:t>
      </w:r>
      <w:r w:rsidRPr="0073124D">
        <w:rPr>
          <w:rFonts w:ascii="Calibri" w:hAnsi="Calibri" w:cs="Calibri"/>
          <w:noProof/>
        </w:rPr>
        <w:t xml:space="preserve"> 55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S234-S244.</w:t>
      </w:r>
      <w:bookmarkEnd w:id="7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8" w:name="_ENREF_9"/>
      <w:r w:rsidRPr="002E26C3">
        <w:rPr>
          <w:rFonts w:ascii="Calibri" w:hAnsi="Calibri" w:cs="Calibri"/>
          <w:b/>
          <w:noProof/>
        </w:rPr>
        <w:t>Crespo, M., Hornillos, C., and De Quirós, M. B.</w:t>
      </w:r>
      <w:r w:rsidRPr="0073124D">
        <w:rPr>
          <w:rFonts w:ascii="Calibri" w:hAnsi="Calibri" w:cs="Calibri"/>
          <w:noProof/>
        </w:rPr>
        <w:t xml:space="preserve"> (2013). Factors associated with quality of life in dementia patients in long-term care. </w:t>
      </w:r>
      <w:r w:rsidRPr="0073124D">
        <w:rPr>
          <w:rFonts w:ascii="Calibri" w:hAnsi="Calibri" w:cs="Calibri"/>
          <w:i/>
          <w:noProof/>
        </w:rPr>
        <w:t>International Psychogeriatrics,</w:t>
      </w:r>
      <w:r w:rsidRPr="0073124D">
        <w:rPr>
          <w:rFonts w:ascii="Calibri" w:hAnsi="Calibri" w:cs="Calibri"/>
          <w:noProof/>
        </w:rPr>
        <w:t xml:space="preserve"> 25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577-585.</w:t>
      </w:r>
      <w:bookmarkEnd w:id="8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9" w:name="_ENREF_10"/>
      <w:r w:rsidRPr="002E26C3">
        <w:rPr>
          <w:rFonts w:ascii="Calibri" w:hAnsi="Calibri" w:cs="Calibri"/>
          <w:b/>
          <w:noProof/>
        </w:rPr>
        <w:t>De Roo, M. L., Van Der Steen, J. T., Galindo Garre, F., Van Den Noortgate, N., Onwuteaka-Philipsen, B. D., Deliens, L.</w:t>
      </w:r>
      <w:r w:rsidRPr="002E26C3">
        <w:rPr>
          <w:rFonts w:ascii="Calibri" w:hAnsi="Calibri" w:cs="Calibri"/>
          <w:b/>
          <w:i/>
          <w:noProof/>
        </w:rPr>
        <w:t>, et al.</w:t>
      </w:r>
      <w:r w:rsidRPr="002E26C3">
        <w:rPr>
          <w:rFonts w:ascii="Calibri" w:hAnsi="Calibri" w:cs="Calibri"/>
          <w:b/>
          <w:noProof/>
        </w:rPr>
        <w:t xml:space="preserve"> </w:t>
      </w:r>
      <w:r w:rsidRPr="0073124D">
        <w:rPr>
          <w:rFonts w:ascii="Calibri" w:hAnsi="Calibri" w:cs="Calibri"/>
          <w:noProof/>
        </w:rPr>
        <w:t xml:space="preserve">(2014). When do people with dementia die peacefully? An analysis of data collected prospectively in long-term care settings. </w:t>
      </w:r>
      <w:r w:rsidRPr="0073124D">
        <w:rPr>
          <w:rFonts w:ascii="Calibri" w:hAnsi="Calibri" w:cs="Calibri"/>
          <w:i/>
          <w:noProof/>
        </w:rPr>
        <w:t>Palliative Medicine,</w:t>
      </w:r>
      <w:r w:rsidRPr="0073124D">
        <w:rPr>
          <w:rFonts w:ascii="Calibri" w:hAnsi="Calibri" w:cs="Calibri"/>
          <w:noProof/>
        </w:rPr>
        <w:t xml:space="preserve"> 28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210-219.</w:t>
      </w:r>
      <w:bookmarkEnd w:id="9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0" w:name="_ENREF_11"/>
      <w:r w:rsidRPr="002E26C3">
        <w:rPr>
          <w:rFonts w:ascii="Calibri" w:hAnsi="Calibri" w:cs="Calibri"/>
          <w:b/>
          <w:noProof/>
        </w:rPr>
        <w:t>Dobbs, D., Munn, J., Zimmerman, S., Boustani, M., Williams, C. S., Sloane, P. D.</w:t>
      </w:r>
      <w:r w:rsidRPr="002E26C3">
        <w:rPr>
          <w:rFonts w:ascii="Calibri" w:hAnsi="Calibri" w:cs="Calibri"/>
          <w:b/>
          <w:i/>
          <w:noProof/>
        </w:rPr>
        <w:t>, et al.</w:t>
      </w:r>
      <w:r w:rsidRPr="0073124D">
        <w:rPr>
          <w:rFonts w:ascii="Calibri" w:hAnsi="Calibri" w:cs="Calibri"/>
          <w:noProof/>
        </w:rPr>
        <w:t xml:space="preserve"> (2005). Characteristics associated with lower activity involvement in long-term care residents with dementia. </w:t>
      </w:r>
      <w:r w:rsidRPr="0073124D">
        <w:rPr>
          <w:rFonts w:ascii="Calibri" w:hAnsi="Calibri" w:cs="Calibri"/>
          <w:i/>
          <w:noProof/>
        </w:rPr>
        <w:t>The Gerontologist,</w:t>
      </w:r>
      <w:r w:rsidRPr="0073124D">
        <w:rPr>
          <w:rFonts w:ascii="Calibri" w:hAnsi="Calibri" w:cs="Calibri"/>
          <w:noProof/>
        </w:rPr>
        <w:t xml:space="preserve"> 45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81–86.</w:t>
      </w:r>
      <w:bookmarkEnd w:id="10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1" w:name="_ENREF_12"/>
      <w:r w:rsidRPr="002E26C3">
        <w:rPr>
          <w:rFonts w:ascii="Calibri" w:hAnsi="Calibri" w:cs="Calibri"/>
          <w:b/>
          <w:noProof/>
        </w:rPr>
        <w:t>Edvardsson, D., Petersson, L., Sjogren, K., Lindkvist, M., and Sandman, P. O.</w:t>
      </w:r>
      <w:r w:rsidRPr="0073124D">
        <w:rPr>
          <w:rFonts w:ascii="Calibri" w:hAnsi="Calibri" w:cs="Calibri"/>
          <w:noProof/>
        </w:rPr>
        <w:t xml:space="preserve"> (2014). Everyday activities for people with dementia in residential aged care. </w:t>
      </w:r>
      <w:r w:rsidRPr="0073124D">
        <w:rPr>
          <w:rFonts w:ascii="Calibri" w:hAnsi="Calibri" w:cs="Calibri"/>
          <w:i/>
          <w:noProof/>
        </w:rPr>
        <w:t>International Journal of Older People Nursing,</w:t>
      </w:r>
      <w:r w:rsidRPr="0073124D">
        <w:rPr>
          <w:rFonts w:ascii="Calibri" w:hAnsi="Calibri" w:cs="Calibri"/>
          <w:noProof/>
        </w:rPr>
        <w:t xml:space="preserve"> 9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269-276.</w:t>
      </w:r>
      <w:bookmarkEnd w:id="11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2" w:name="_ENREF_13"/>
      <w:r w:rsidRPr="002E26C3">
        <w:rPr>
          <w:rFonts w:ascii="Calibri" w:hAnsi="Calibri" w:cs="Calibri"/>
          <w:b/>
          <w:noProof/>
        </w:rPr>
        <w:t xml:space="preserve">Edvardsson, D., Sandman, P. O., Nay, R., and Karlsson, S. </w:t>
      </w:r>
      <w:r w:rsidRPr="0073124D">
        <w:rPr>
          <w:rFonts w:ascii="Calibri" w:hAnsi="Calibri" w:cs="Calibri"/>
          <w:noProof/>
        </w:rPr>
        <w:t xml:space="preserve">(2008). Associations between the working characteristics of nursing staff and the prevalence of behavioral symptoms in people with dementia in residential care. </w:t>
      </w:r>
      <w:r w:rsidRPr="0073124D">
        <w:rPr>
          <w:rFonts w:ascii="Calibri" w:hAnsi="Calibri" w:cs="Calibri"/>
          <w:i/>
          <w:noProof/>
        </w:rPr>
        <w:t>International Psychogeriatrics,</w:t>
      </w:r>
      <w:r w:rsidRPr="0073124D">
        <w:rPr>
          <w:rFonts w:ascii="Calibri" w:hAnsi="Calibri" w:cs="Calibri"/>
          <w:noProof/>
        </w:rPr>
        <w:t xml:space="preserve"> 20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764-776.</w:t>
      </w:r>
      <w:bookmarkEnd w:id="12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3" w:name="_ENREF_14"/>
      <w:r w:rsidRPr="002E26C3">
        <w:rPr>
          <w:rFonts w:ascii="Calibri" w:hAnsi="Calibri" w:cs="Calibri"/>
          <w:b/>
          <w:noProof/>
        </w:rPr>
        <w:t>Fitzgerald, T. G., Hadjistavropoulos, T., and Macnab, Y. C.</w:t>
      </w:r>
      <w:r w:rsidRPr="0073124D">
        <w:rPr>
          <w:rFonts w:ascii="Calibri" w:hAnsi="Calibri" w:cs="Calibri"/>
          <w:noProof/>
        </w:rPr>
        <w:t xml:space="preserve"> (2009). Caregiver fear of falling and functional ability among seniors residing in long-term care facilities. </w:t>
      </w:r>
      <w:r w:rsidRPr="0073124D">
        <w:rPr>
          <w:rFonts w:ascii="Calibri" w:hAnsi="Calibri" w:cs="Calibri"/>
          <w:i/>
          <w:noProof/>
        </w:rPr>
        <w:t>Gerontology,</w:t>
      </w:r>
      <w:r w:rsidRPr="0073124D">
        <w:rPr>
          <w:rFonts w:ascii="Calibri" w:hAnsi="Calibri" w:cs="Calibri"/>
          <w:noProof/>
        </w:rPr>
        <w:t xml:space="preserve"> 55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460-467.</w:t>
      </w:r>
      <w:bookmarkEnd w:id="13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4" w:name="_ENREF_15"/>
      <w:r w:rsidRPr="002E26C3">
        <w:rPr>
          <w:rFonts w:ascii="Calibri" w:hAnsi="Calibri" w:cs="Calibri"/>
          <w:b/>
          <w:noProof/>
        </w:rPr>
        <w:t>Huizing, A. R., Hamers, J. P., De Jonge, J., Candel, M., and Berger, M. P.</w:t>
      </w:r>
      <w:r w:rsidRPr="0073124D">
        <w:rPr>
          <w:rFonts w:ascii="Calibri" w:hAnsi="Calibri" w:cs="Calibri"/>
          <w:noProof/>
        </w:rPr>
        <w:t xml:space="preserve"> (2007). Organisational determinants of the use of physical restraints: A multilevel approach. </w:t>
      </w:r>
      <w:r w:rsidR="00E16424">
        <w:rPr>
          <w:rFonts w:ascii="Calibri" w:hAnsi="Calibri" w:cs="Calibri"/>
          <w:i/>
          <w:noProof/>
        </w:rPr>
        <w:t>Social Science and</w:t>
      </w:r>
      <w:bookmarkStart w:id="15" w:name="_GoBack"/>
      <w:bookmarkEnd w:id="15"/>
      <w:r w:rsidRPr="0073124D">
        <w:rPr>
          <w:rFonts w:ascii="Calibri" w:hAnsi="Calibri" w:cs="Calibri"/>
          <w:i/>
          <w:noProof/>
        </w:rPr>
        <w:t xml:space="preserve"> Medicine,</w:t>
      </w:r>
      <w:r w:rsidRPr="0073124D">
        <w:rPr>
          <w:rFonts w:ascii="Calibri" w:hAnsi="Calibri" w:cs="Calibri"/>
          <w:noProof/>
        </w:rPr>
        <w:t xml:space="preserve"> 65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924-933.</w:t>
      </w:r>
      <w:bookmarkEnd w:id="14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6" w:name="_ENREF_16"/>
      <w:r w:rsidRPr="002E26C3">
        <w:rPr>
          <w:rFonts w:ascii="Calibri" w:hAnsi="Calibri" w:cs="Calibri"/>
          <w:b/>
          <w:noProof/>
        </w:rPr>
        <w:t>Isaksson, U., Aström, S., Sandman, P. O., and Karlsson, S.</w:t>
      </w:r>
      <w:r w:rsidRPr="0073124D">
        <w:rPr>
          <w:rFonts w:ascii="Calibri" w:hAnsi="Calibri" w:cs="Calibri"/>
          <w:noProof/>
        </w:rPr>
        <w:t xml:space="preserve"> (2009). Factors associated with the prevalence of violent behaviour among residents living in nursing homes. </w:t>
      </w:r>
      <w:r w:rsidRPr="0073124D">
        <w:rPr>
          <w:rFonts w:ascii="Calibri" w:hAnsi="Calibri" w:cs="Calibri"/>
          <w:i/>
          <w:noProof/>
        </w:rPr>
        <w:t>Journal of Clinical Nursing,</w:t>
      </w:r>
      <w:r w:rsidRPr="0073124D">
        <w:rPr>
          <w:rFonts w:ascii="Calibri" w:hAnsi="Calibri" w:cs="Calibri"/>
          <w:noProof/>
        </w:rPr>
        <w:t xml:space="preserve"> 18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972-980.</w:t>
      </w:r>
      <w:bookmarkEnd w:id="16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7" w:name="_ENREF_17"/>
      <w:r w:rsidRPr="002E26C3">
        <w:rPr>
          <w:rFonts w:ascii="Calibri" w:hAnsi="Calibri" w:cs="Calibri"/>
          <w:b/>
          <w:noProof/>
        </w:rPr>
        <w:t>Karlsson, S., Bucht, G., Eriksson, S., and Sandman, P. O.</w:t>
      </w:r>
      <w:r w:rsidRPr="0073124D">
        <w:rPr>
          <w:rFonts w:ascii="Calibri" w:hAnsi="Calibri" w:cs="Calibri"/>
          <w:noProof/>
        </w:rPr>
        <w:t xml:space="preserve"> (2001). Factors relating to the use of physical restraints in geriatric care settings. </w:t>
      </w:r>
      <w:r w:rsidRPr="0073124D">
        <w:rPr>
          <w:rFonts w:ascii="Calibri" w:hAnsi="Calibri" w:cs="Calibri"/>
          <w:i/>
          <w:noProof/>
        </w:rPr>
        <w:t>Journal of the American Geriatrics Society,</w:t>
      </w:r>
      <w:r w:rsidRPr="0073124D">
        <w:rPr>
          <w:rFonts w:ascii="Calibri" w:hAnsi="Calibri" w:cs="Calibri"/>
          <w:noProof/>
        </w:rPr>
        <w:t xml:space="preserve"> 49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1722–1728.</w:t>
      </w:r>
      <w:bookmarkEnd w:id="17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8" w:name="_ENREF_18"/>
      <w:r w:rsidRPr="002E26C3">
        <w:rPr>
          <w:rFonts w:ascii="Calibri" w:hAnsi="Calibri" w:cs="Calibri"/>
          <w:b/>
          <w:noProof/>
        </w:rPr>
        <w:t>Kim, H., and Whall, A. L.</w:t>
      </w:r>
      <w:r w:rsidRPr="0073124D">
        <w:rPr>
          <w:rFonts w:ascii="Calibri" w:hAnsi="Calibri" w:cs="Calibri"/>
          <w:noProof/>
        </w:rPr>
        <w:t xml:space="preserve"> (2006). Factors associated with psychotropic drug usage among nursing home residents with dementia. </w:t>
      </w:r>
      <w:r w:rsidRPr="0073124D">
        <w:rPr>
          <w:rFonts w:ascii="Calibri" w:hAnsi="Calibri" w:cs="Calibri"/>
          <w:i/>
          <w:noProof/>
        </w:rPr>
        <w:t>Nursing Research,</w:t>
      </w:r>
      <w:r w:rsidRPr="0073124D">
        <w:rPr>
          <w:rFonts w:ascii="Calibri" w:hAnsi="Calibri" w:cs="Calibri"/>
          <w:noProof/>
        </w:rPr>
        <w:t xml:space="preserve"> 55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252-258.</w:t>
      </w:r>
      <w:bookmarkEnd w:id="18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19" w:name="_ENREF_19"/>
      <w:r w:rsidRPr="002E26C3">
        <w:rPr>
          <w:rFonts w:ascii="Calibri" w:hAnsi="Calibri" w:cs="Calibri"/>
          <w:b/>
          <w:noProof/>
        </w:rPr>
        <w:t>Kleijer, B. C., Van Marum, R. J., Frijters, D. H., Jansen, P. A., Ribbe, M. W., Egberts, A. C.</w:t>
      </w:r>
      <w:r w:rsidRPr="002E26C3">
        <w:rPr>
          <w:rFonts w:ascii="Calibri" w:hAnsi="Calibri" w:cs="Calibri"/>
          <w:b/>
          <w:i/>
          <w:noProof/>
        </w:rPr>
        <w:t>, et al.</w:t>
      </w:r>
      <w:r w:rsidRPr="0073124D">
        <w:rPr>
          <w:rFonts w:ascii="Calibri" w:hAnsi="Calibri" w:cs="Calibri"/>
          <w:noProof/>
        </w:rPr>
        <w:t xml:space="preserve"> (2014). Variability between nursing homes in prevalence of antipsychotic use in patients with dementia. </w:t>
      </w:r>
      <w:r w:rsidRPr="0073124D">
        <w:rPr>
          <w:rFonts w:ascii="Calibri" w:hAnsi="Calibri" w:cs="Calibri"/>
          <w:i/>
          <w:noProof/>
        </w:rPr>
        <w:t>International Psychogeriatrics,</w:t>
      </w:r>
      <w:r w:rsidRPr="0073124D">
        <w:rPr>
          <w:rFonts w:ascii="Calibri" w:hAnsi="Calibri" w:cs="Calibri"/>
          <w:noProof/>
        </w:rPr>
        <w:t xml:space="preserve"> 26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363-371.</w:t>
      </w:r>
      <w:bookmarkEnd w:id="19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0" w:name="_ENREF_20"/>
      <w:r w:rsidRPr="002E26C3">
        <w:rPr>
          <w:rFonts w:ascii="Calibri" w:hAnsi="Calibri" w:cs="Calibri"/>
          <w:b/>
          <w:noProof/>
        </w:rPr>
        <w:t>Lin, L. C., Watson, R., and Wu, S. C.</w:t>
      </w:r>
      <w:r w:rsidRPr="0073124D">
        <w:rPr>
          <w:rFonts w:ascii="Calibri" w:hAnsi="Calibri" w:cs="Calibri"/>
          <w:noProof/>
        </w:rPr>
        <w:t xml:space="preserve"> (2010). What is associated with low food intake in older people with dementia? </w:t>
      </w:r>
      <w:r w:rsidRPr="0073124D">
        <w:rPr>
          <w:rFonts w:ascii="Calibri" w:hAnsi="Calibri" w:cs="Calibri"/>
          <w:i/>
          <w:noProof/>
        </w:rPr>
        <w:t>Journal of Clinical Nursing,</w:t>
      </w:r>
      <w:r w:rsidRPr="0073124D">
        <w:rPr>
          <w:rFonts w:ascii="Calibri" w:hAnsi="Calibri" w:cs="Calibri"/>
          <w:noProof/>
        </w:rPr>
        <w:t xml:space="preserve"> 19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53-59.</w:t>
      </w:r>
      <w:bookmarkEnd w:id="20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1" w:name="_ENREF_21"/>
      <w:r w:rsidRPr="002E26C3">
        <w:rPr>
          <w:rFonts w:ascii="Calibri" w:hAnsi="Calibri" w:cs="Calibri"/>
          <w:b/>
          <w:noProof/>
        </w:rPr>
        <w:t>Lin, P. C., Lin, L. C., Shyu, Y. I., and Hua, M. S.</w:t>
      </w:r>
      <w:r w:rsidRPr="0073124D">
        <w:rPr>
          <w:rFonts w:ascii="Calibri" w:hAnsi="Calibri" w:cs="Calibri"/>
          <w:noProof/>
        </w:rPr>
        <w:t xml:space="preserve"> (2011). Predictors of pain in nursing home residents with dementia: A cross-sectional study. </w:t>
      </w:r>
      <w:r w:rsidRPr="0073124D">
        <w:rPr>
          <w:rFonts w:ascii="Calibri" w:hAnsi="Calibri" w:cs="Calibri"/>
          <w:i/>
          <w:noProof/>
        </w:rPr>
        <w:t>Journal of Clinical Nursing,</w:t>
      </w:r>
      <w:r w:rsidRPr="0073124D">
        <w:rPr>
          <w:rFonts w:ascii="Calibri" w:hAnsi="Calibri" w:cs="Calibri"/>
          <w:noProof/>
        </w:rPr>
        <w:t xml:space="preserve"> 20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1849-1857.</w:t>
      </w:r>
      <w:bookmarkEnd w:id="21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2" w:name="_ENREF_22"/>
      <w:r w:rsidRPr="002E26C3">
        <w:rPr>
          <w:rFonts w:ascii="Calibri" w:hAnsi="Calibri" w:cs="Calibri"/>
          <w:b/>
          <w:noProof/>
        </w:rPr>
        <w:t>Mcgilton, K. S., Sidani, S., Boscart, V. M., Guruge, S., and Brown, M.</w:t>
      </w:r>
      <w:r w:rsidRPr="0073124D">
        <w:rPr>
          <w:rFonts w:ascii="Calibri" w:hAnsi="Calibri" w:cs="Calibri"/>
          <w:noProof/>
        </w:rPr>
        <w:t xml:space="preserve"> (2012). The relationship between care providers' relational behaviors and residents mood and behavior in long-term care settings. </w:t>
      </w:r>
      <w:r w:rsidRPr="0073124D">
        <w:rPr>
          <w:rFonts w:ascii="Calibri" w:hAnsi="Calibri" w:cs="Calibri"/>
          <w:i/>
          <w:noProof/>
        </w:rPr>
        <w:t>Aging and Mental Health,</w:t>
      </w:r>
      <w:r w:rsidRPr="0073124D">
        <w:rPr>
          <w:rFonts w:ascii="Calibri" w:hAnsi="Calibri" w:cs="Calibri"/>
          <w:noProof/>
        </w:rPr>
        <w:t xml:space="preserve"> 16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507-515.</w:t>
      </w:r>
      <w:bookmarkEnd w:id="22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3" w:name="_ENREF_23"/>
      <w:r w:rsidRPr="002E26C3">
        <w:rPr>
          <w:rFonts w:ascii="Calibri" w:hAnsi="Calibri" w:cs="Calibri"/>
          <w:b/>
          <w:noProof/>
        </w:rPr>
        <w:t xml:space="preserve">Miu, D. K. Y., and Chan, K. C. </w:t>
      </w:r>
      <w:r w:rsidRPr="0073124D">
        <w:rPr>
          <w:rFonts w:ascii="Calibri" w:hAnsi="Calibri" w:cs="Calibri"/>
          <w:noProof/>
        </w:rPr>
        <w:t xml:space="preserve">(2014). Under-detection of pain in elderly nursing home residents with moderate to severe dementia. </w:t>
      </w:r>
      <w:r w:rsidRPr="0073124D">
        <w:rPr>
          <w:rFonts w:ascii="Calibri" w:hAnsi="Calibri" w:cs="Calibri"/>
          <w:i/>
          <w:noProof/>
        </w:rPr>
        <w:t>Journal of Clinical Gerontology and Geriatrics,</w:t>
      </w:r>
      <w:r w:rsidRPr="0073124D">
        <w:rPr>
          <w:rFonts w:ascii="Calibri" w:hAnsi="Calibri" w:cs="Calibri"/>
          <w:noProof/>
        </w:rPr>
        <w:t xml:space="preserve"> 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23–27.</w:t>
      </w:r>
      <w:bookmarkEnd w:id="23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4" w:name="_ENREF_24"/>
      <w:r w:rsidRPr="002E26C3">
        <w:rPr>
          <w:rFonts w:ascii="Calibri" w:hAnsi="Calibri" w:cs="Calibri"/>
          <w:b/>
          <w:noProof/>
        </w:rPr>
        <w:t>Mjørud, M., Røsvik, J., Rokstad, A. M., Kirkevold, M., and Engedal, K.</w:t>
      </w:r>
      <w:r w:rsidRPr="0073124D">
        <w:rPr>
          <w:rFonts w:ascii="Calibri" w:hAnsi="Calibri" w:cs="Calibri"/>
          <w:noProof/>
        </w:rPr>
        <w:t xml:space="preserve"> (2014). Variables associated with change in quality of life among persons with Dementia in nursing homes: A 10 months follow-up study. </w:t>
      </w:r>
      <w:r w:rsidRPr="0073124D">
        <w:rPr>
          <w:rFonts w:ascii="Calibri" w:hAnsi="Calibri" w:cs="Calibri"/>
          <w:i/>
          <w:noProof/>
        </w:rPr>
        <w:t>PLos ONE,</w:t>
      </w:r>
      <w:r w:rsidRPr="0073124D">
        <w:rPr>
          <w:rFonts w:ascii="Calibri" w:hAnsi="Calibri" w:cs="Calibri"/>
          <w:noProof/>
        </w:rPr>
        <w:t xml:space="preserve"> 9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e115248.</w:t>
      </w:r>
      <w:bookmarkEnd w:id="24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5" w:name="_ENREF_25"/>
      <w:r w:rsidRPr="00F83B46">
        <w:rPr>
          <w:rFonts w:ascii="Calibri" w:hAnsi="Calibri" w:cs="Calibri"/>
          <w:b/>
          <w:noProof/>
        </w:rPr>
        <w:t>Reed, P. S., Zimmerman, S., Sloane, P. D., Williams, C. S., and Boustani, M.</w:t>
      </w:r>
      <w:r w:rsidRPr="0073124D">
        <w:rPr>
          <w:rFonts w:ascii="Calibri" w:hAnsi="Calibri" w:cs="Calibri"/>
          <w:noProof/>
        </w:rPr>
        <w:t xml:space="preserve"> (2005). Characteristics associated with low food and fluid intake in long-term care residents with dementia. </w:t>
      </w:r>
      <w:r w:rsidRPr="0073124D">
        <w:rPr>
          <w:rFonts w:ascii="Calibri" w:hAnsi="Calibri" w:cs="Calibri"/>
          <w:i/>
          <w:noProof/>
        </w:rPr>
        <w:t>The Gerontologist,</w:t>
      </w:r>
      <w:r w:rsidRPr="0073124D">
        <w:rPr>
          <w:rFonts w:ascii="Calibri" w:hAnsi="Calibri" w:cs="Calibri"/>
          <w:noProof/>
        </w:rPr>
        <w:t xml:space="preserve"> 45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74–80.</w:t>
      </w:r>
      <w:bookmarkEnd w:id="25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6" w:name="_ENREF_26"/>
      <w:r w:rsidRPr="00F83B46">
        <w:rPr>
          <w:rFonts w:ascii="Calibri" w:hAnsi="Calibri" w:cs="Calibri"/>
          <w:b/>
          <w:noProof/>
        </w:rPr>
        <w:t>Reid, R. C., and Chappell, N. L.</w:t>
      </w:r>
      <w:r w:rsidRPr="0073124D">
        <w:rPr>
          <w:rFonts w:ascii="Calibri" w:hAnsi="Calibri" w:cs="Calibri"/>
          <w:noProof/>
        </w:rPr>
        <w:t xml:space="preserve"> (2003). Staff ratios and resident outcomes in special care units: Do activity aides make a difference? </w:t>
      </w:r>
      <w:r w:rsidRPr="0073124D">
        <w:rPr>
          <w:rFonts w:ascii="Calibri" w:hAnsi="Calibri" w:cs="Calibri"/>
          <w:i/>
          <w:noProof/>
        </w:rPr>
        <w:t>Journal of Applied Gerontology,</w:t>
      </w:r>
      <w:r w:rsidRPr="0073124D">
        <w:rPr>
          <w:rFonts w:ascii="Calibri" w:hAnsi="Calibri" w:cs="Calibri"/>
          <w:noProof/>
        </w:rPr>
        <w:t xml:space="preserve"> 22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89-103.</w:t>
      </w:r>
      <w:bookmarkEnd w:id="26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7" w:name="_ENREF_27"/>
      <w:r w:rsidRPr="00F83B46">
        <w:rPr>
          <w:rFonts w:ascii="Calibri" w:hAnsi="Calibri" w:cs="Calibri"/>
          <w:b/>
          <w:noProof/>
        </w:rPr>
        <w:t>Schreiner, A. S., Yamamoto, E., and Shiotani, H.</w:t>
      </w:r>
      <w:r w:rsidRPr="0073124D">
        <w:rPr>
          <w:rFonts w:ascii="Calibri" w:hAnsi="Calibri" w:cs="Calibri"/>
          <w:noProof/>
        </w:rPr>
        <w:t xml:space="preserve"> (2005). Positive affect among nursing home residents with Alzheimer's dementia: The effect of recreational activity. </w:t>
      </w:r>
      <w:r w:rsidRPr="0073124D">
        <w:rPr>
          <w:rFonts w:ascii="Calibri" w:hAnsi="Calibri" w:cs="Calibri"/>
          <w:i/>
          <w:noProof/>
        </w:rPr>
        <w:t>Aging and Mental Health,</w:t>
      </w:r>
      <w:r w:rsidRPr="0073124D">
        <w:rPr>
          <w:rFonts w:ascii="Calibri" w:hAnsi="Calibri" w:cs="Calibri"/>
          <w:noProof/>
        </w:rPr>
        <w:t xml:space="preserve"> 9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129-134.</w:t>
      </w:r>
      <w:bookmarkEnd w:id="27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8" w:name="_ENREF_28"/>
      <w:r w:rsidRPr="00F83B46">
        <w:rPr>
          <w:rFonts w:ascii="Calibri" w:hAnsi="Calibri" w:cs="Calibri"/>
          <w:b/>
          <w:noProof/>
        </w:rPr>
        <w:t xml:space="preserve">Sjögren, K., Lindkvist, M., Sandman, P. O., Zingmark, K., and Edvardsson, D. </w:t>
      </w:r>
      <w:r w:rsidRPr="0073124D">
        <w:rPr>
          <w:rFonts w:ascii="Calibri" w:hAnsi="Calibri" w:cs="Calibri"/>
          <w:noProof/>
        </w:rPr>
        <w:t xml:space="preserve">(2013). Person-centredness and its association with resident well-being in dementia care units. </w:t>
      </w:r>
      <w:r w:rsidRPr="0073124D">
        <w:rPr>
          <w:rFonts w:ascii="Calibri" w:hAnsi="Calibri" w:cs="Calibri"/>
          <w:i/>
          <w:noProof/>
        </w:rPr>
        <w:t>Journal of Advanced Nursing,</w:t>
      </w:r>
      <w:r w:rsidRPr="0073124D">
        <w:rPr>
          <w:rFonts w:ascii="Calibri" w:hAnsi="Calibri" w:cs="Calibri"/>
          <w:noProof/>
        </w:rPr>
        <w:t xml:space="preserve"> 69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2196-2206.</w:t>
      </w:r>
      <w:bookmarkEnd w:id="28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29" w:name="_ENREF_29"/>
      <w:r w:rsidRPr="00F83B46">
        <w:rPr>
          <w:rFonts w:ascii="Calibri" w:hAnsi="Calibri" w:cs="Calibri"/>
          <w:b/>
          <w:noProof/>
        </w:rPr>
        <w:t>Slaughter, S. E., Eliasziw, M., Morgan, D., and Drummond, N.</w:t>
      </w:r>
      <w:r w:rsidRPr="0073124D">
        <w:rPr>
          <w:rFonts w:ascii="Calibri" w:hAnsi="Calibri" w:cs="Calibri"/>
          <w:noProof/>
        </w:rPr>
        <w:t xml:space="preserve"> (2011a). Incidence and predictors of eating disability among nursing home residents with middle-stage dementia. </w:t>
      </w:r>
      <w:r w:rsidRPr="0073124D">
        <w:rPr>
          <w:rFonts w:ascii="Calibri" w:hAnsi="Calibri" w:cs="Calibri"/>
          <w:i/>
          <w:noProof/>
        </w:rPr>
        <w:t>Clinical Nutrition,</w:t>
      </w:r>
      <w:r w:rsidRPr="0073124D">
        <w:rPr>
          <w:rFonts w:ascii="Calibri" w:hAnsi="Calibri" w:cs="Calibri"/>
          <w:noProof/>
        </w:rPr>
        <w:t xml:space="preserve"> 30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172-177.</w:t>
      </w:r>
      <w:bookmarkEnd w:id="29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30" w:name="_ENREF_30"/>
      <w:r w:rsidRPr="00F83B46">
        <w:rPr>
          <w:rFonts w:ascii="Calibri" w:hAnsi="Calibri" w:cs="Calibri"/>
          <w:b/>
          <w:noProof/>
        </w:rPr>
        <w:t>Slaughter, S. E., Eliasziw, M., Morgan, D., and Drummond, N.</w:t>
      </w:r>
      <w:r w:rsidRPr="0073124D">
        <w:rPr>
          <w:rFonts w:ascii="Calibri" w:hAnsi="Calibri" w:cs="Calibri"/>
          <w:noProof/>
        </w:rPr>
        <w:t xml:space="preserve"> (2011b). Incidence and predictors of excess disability in walking among nursing home residents with middle-stage dementia: A prospective cohort study. </w:t>
      </w:r>
      <w:r w:rsidRPr="0073124D">
        <w:rPr>
          <w:rFonts w:ascii="Calibri" w:hAnsi="Calibri" w:cs="Calibri"/>
          <w:i/>
          <w:noProof/>
        </w:rPr>
        <w:t>International Psychogeriatrics,</w:t>
      </w:r>
      <w:r w:rsidRPr="0073124D">
        <w:rPr>
          <w:rFonts w:ascii="Calibri" w:hAnsi="Calibri" w:cs="Calibri"/>
          <w:noProof/>
        </w:rPr>
        <w:t xml:space="preserve"> 23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54-64.</w:t>
      </w:r>
      <w:bookmarkEnd w:id="30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31" w:name="_ENREF_31"/>
      <w:r w:rsidRPr="00F83B46">
        <w:rPr>
          <w:rFonts w:ascii="Calibri" w:hAnsi="Calibri" w:cs="Calibri"/>
          <w:b/>
          <w:noProof/>
        </w:rPr>
        <w:t>Slaughter, S. E., and Hayduk, L. A.</w:t>
      </w:r>
      <w:r w:rsidRPr="0073124D">
        <w:rPr>
          <w:rFonts w:ascii="Calibri" w:hAnsi="Calibri" w:cs="Calibri"/>
          <w:noProof/>
        </w:rPr>
        <w:t xml:space="preserve"> (2012). Contributions of environment, comorbidity, and stage of dementia to the onset of walking and eating disability in long-term care residents. </w:t>
      </w:r>
      <w:r w:rsidRPr="0073124D">
        <w:rPr>
          <w:rFonts w:ascii="Calibri" w:hAnsi="Calibri" w:cs="Calibri"/>
          <w:i/>
          <w:noProof/>
        </w:rPr>
        <w:t>Journal of the American Geriatrics Society,</w:t>
      </w:r>
      <w:r w:rsidRPr="0073124D">
        <w:rPr>
          <w:rFonts w:ascii="Calibri" w:hAnsi="Calibri" w:cs="Calibri"/>
          <w:noProof/>
        </w:rPr>
        <w:t xml:space="preserve"> 60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1624–1631.</w:t>
      </w:r>
      <w:bookmarkEnd w:id="31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32" w:name="_ENREF_32"/>
      <w:r w:rsidRPr="00F83B46">
        <w:rPr>
          <w:rFonts w:ascii="Calibri" w:hAnsi="Calibri" w:cs="Calibri"/>
          <w:b/>
          <w:noProof/>
        </w:rPr>
        <w:t>Sloane, P. D., Mitchell, C. M., Preisser, J. S., Phillips, C., Commander, C., and Burker, E.</w:t>
      </w:r>
      <w:r w:rsidRPr="0073124D">
        <w:rPr>
          <w:rFonts w:ascii="Calibri" w:hAnsi="Calibri" w:cs="Calibri"/>
          <w:noProof/>
        </w:rPr>
        <w:t xml:space="preserve"> (1998). Environmental correlates of resident agitation in Alzheimer's disease Special Care Units. </w:t>
      </w:r>
      <w:r w:rsidRPr="0073124D">
        <w:rPr>
          <w:rFonts w:ascii="Calibri" w:hAnsi="Calibri" w:cs="Calibri"/>
          <w:i/>
          <w:noProof/>
        </w:rPr>
        <w:t>Journal of the American Geriatrics Society,</w:t>
      </w:r>
      <w:r w:rsidRPr="0073124D">
        <w:rPr>
          <w:rFonts w:ascii="Calibri" w:hAnsi="Calibri" w:cs="Calibri"/>
          <w:noProof/>
        </w:rPr>
        <w:t xml:space="preserve"> 46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862-869.</w:t>
      </w:r>
      <w:bookmarkEnd w:id="32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33" w:name="_ENREF_33"/>
      <w:r w:rsidRPr="002E26C3">
        <w:rPr>
          <w:rFonts w:ascii="Calibri" w:hAnsi="Calibri" w:cs="Calibri"/>
          <w:b/>
          <w:noProof/>
        </w:rPr>
        <w:t>Van Beek, A. P., Wagner, C., Frijters, D. H., Ribbe, M. W., and Groenewegen, P. P.</w:t>
      </w:r>
      <w:r w:rsidRPr="0073124D">
        <w:rPr>
          <w:rFonts w:ascii="Calibri" w:hAnsi="Calibri" w:cs="Calibri"/>
          <w:noProof/>
        </w:rPr>
        <w:t xml:space="preserve"> (2013). The ties that bind? Social networks of nursing staff and staff's behaviour towards residents with dementia. . </w:t>
      </w:r>
      <w:r w:rsidRPr="0073124D">
        <w:rPr>
          <w:rFonts w:ascii="Calibri" w:hAnsi="Calibri" w:cs="Calibri"/>
          <w:i/>
          <w:noProof/>
        </w:rPr>
        <w:t>Social Networks,</w:t>
      </w:r>
      <w:r w:rsidRPr="0073124D">
        <w:rPr>
          <w:rFonts w:ascii="Calibri" w:hAnsi="Calibri" w:cs="Calibri"/>
          <w:noProof/>
        </w:rPr>
        <w:t xml:space="preserve"> 35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347-356.</w:t>
      </w:r>
      <w:bookmarkEnd w:id="33"/>
    </w:p>
    <w:p w:rsidR="00F83B46" w:rsidRPr="0073124D" w:rsidRDefault="00F83B46" w:rsidP="00F83B46">
      <w:pPr>
        <w:spacing w:after="0" w:line="480" w:lineRule="auto"/>
        <w:ind w:left="720" w:hanging="720"/>
        <w:rPr>
          <w:rFonts w:ascii="Calibri" w:hAnsi="Calibri" w:cs="Calibri"/>
          <w:noProof/>
        </w:rPr>
      </w:pPr>
      <w:bookmarkStart w:id="34" w:name="_ENREF_34"/>
      <w:r w:rsidRPr="002E26C3">
        <w:rPr>
          <w:rFonts w:ascii="Calibri" w:hAnsi="Calibri" w:cs="Calibri"/>
          <w:b/>
          <w:noProof/>
        </w:rPr>
        <w:t>Zuidema, S. U., De Jonghe, J. F., Verhey, F. R., and Koopmans, R. T.</w:t>
      </w:r>
      <w:r w:rsidRPr="0073124D">
        <w:rPr>
          <w:rFonts w:ascii="Calibri" w:hAnsi="Calibri" w:cs="Calibri"/>
          <w:noProof/>
        </w:rPr>
        <w:t xml:space="preserve"> (2010). Environmental correlates of neuropsychiatric symptoms in nursing home patients with dementia. </w:t>
      </w:r>
      <w:r w:rsidRPr="0073124D">
        <w:rPr>
          <w:rFonts w:ascii="Calibri" w:hAnsi="Calibri" w:cs="Calibri"/>
          <w:i/>
          <w:noProof/>
        </w:rPr>
        <w:t>International Journal of Geriatric Psychiatry,</w:t>
      </w:r>
      <w:r w:rsidRPr="0073124D">
        <w:rPr>
          <w:rFonts w:ascii="Calibri" w:hAnsi="Calibri" w:cs="Calibri"/>
          <w:noProof/>
        </w:rPr>
        <w:t xml:space="preserve"> 25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14-22.</w:t>
      </w:r>
      <w:bookmarkEnd w:id="34"/>
    </w:p>
    <w:p w:rsidR="00F83B46" w:rsidRPr="0073124D" w:rsidRDefault="00F83B46" w:rsidP="00F83B46">
      <w:pPr>
        <w:spacing w:line="480" w:lineRule="auto"/>
        <w:ind w:left="720" w:hanging="720"/>
        <w:rPr>
          <w:rFonts w:ascii="Calibri" w:hAnsi="Calibri" w:cs="Calibri"/>
          <w:noProof/>
        </w:rPr>
      </w:pPr>
      <w:bookmarkStart w:id="35" w:name="_ENREF_35"/>
      <w:r w:rsidRPr="002E26C3">
        <w:rPr>
          <w:rFonts w:ascii="Calibri" w:hAnsi="Calibri" w:cs="Calibri"/>
          <w:b/>
          <w:noProof/>
        </w:rPr>
        <w:t xml:space="preserve">Zuidema, S. U., De Jonghe, J. F., Verhey, F. R., and Koopmans, R. T. </w:t>
      </w:r>
      <w:r w:rsidRPr="0073124D">
        <w:rPr>
          <w:rFonts w:ascii="Calibri" w:hAnsi="Calibri" w:cs="Calibri"/>
          <w:noProof/>
        </w:rPr>
        <w:t xml:space="preserve">(2011). Psychotropic drug prescription in nursing home patients with dementia: Influence of environmental correlates and staff distress on physicians' prescription behavior. </w:t>
      </w:r>
      <w:r w:rsidRPr="0073124D">
        <w:rPr>
          <w:rFonts w:ascii="Calibri" w:hAnsi="Calibri" w:cs="Calibri"/>
          <w:i/>
          <w:noProof/>
        </w:rPr>
        <w:t>International Psychogeriatrics,</w:t>
      </w:r>
      <w:r w:rsidRPr="0073124D">
        <w:rPr>
          <w:rFonts w:ascii="Calibri" w:hAnsi="Calibri" w:cs="Calibri"/>
          <w:noProof/>
        </w:rPr>
        <w:t xml:space="preserve"> 23</w:t>
      </w:r>
      <w:r w:rsidRPr="0073124D">
        <w:rPr>
          <w:rFonts w:ascii="Calibri" w:hAnsi="Calibri" w:cs="Calibri"/>
          <w:b/>
          <w:noProof/>
        </w:rPr>
        <w:t>,</w:t>
      </w:r>
      <w:r w:rsidRPr="0073124D">
        <w:rPr>
          <w:rFonts w:ascii="Calibri" w:hAnsi="Calibri" w:cs="Calibri"/>
          <w:noProof/>
        </w:rPr>
        <w:t xml:space="preserve"> 1632-1639.</w:t>
      </w:r>
      <w:bookmarkEnd w:id="35"/>
    </w:p>
    <w:p w:rsidR="00F83B46" w:rsidRDefault="00F83B46" w:rsidP="00F83B46">
      <w:pPr>
        <w:spacing w:line="480" w:lineRule="auto"/>
        <w:rPr>
          <w:rFonts w:ascii="Calibri" w:hAnsi="Calibri" w:cs="Calibri"/>
          <w:noProof/>
        </w:rPr>
      </w:pPr>
    </w:p>
    <w:p w:rsidR="00F83B46" w:rsidRDefault="00F83B46" w:rsidP="00F83B46">
      <w:pPr>
        <w:spacing w:after="120" w:line="480" w:lineRule="auto"/>
      </w:pPr>
    </w:p>
    <w:p w:rsidR="00AF3AEF" w:rsidRDefault="00AF3AEF" w:rsidP="00F83B46">
      <w:pPr>
        <w:spacing w:line="480" w:lineRule="auto"/>
      </w:pPr>
    </w:p>
    <w:sectPr w:rsidR="00AF3AEF" w:rsidSect="00F8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83B46"/>
    <w:rsid w:val="002E26C3"/>
    <w:rsid w:val="00AF3AEF"/>
    <w:rsid w:val="00E16424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8860-80D4-4022-A3C2-8694EBC2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46"/>
    <w:pPr>
      <w:spacing w:after="200" w:line="276" w:lineRule="auto"/>
    </w:pPr>
    <w:rPr>
      <w:rFonts w:eastAsiaTheme="minorEastAsia"/>
      <w:lang w:eastAsia="en-AU" w:bidi="he-IL"/>
    </w:rPr>
  </w:style>
  <w:style w:type="paragraph" w:styleId="Heading1">
    <w:name w:val="heading 1"/>
    <w:basedOn w:val="Normal"/>
    <w:link w:val="Heading1Char"/>
    <w:uiPriority w:val="9"/>
    <w:qFormat/>
    <w:rsid w:val="00F83B46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  <w:rsid w:val="00F83B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3B46"/>
  </w:style>
  <w:style w:type="character" w:customStyle="1" w:styleId="Heading1Char">
    <w:name w:val="Heading 1 Char"/>
    <w:basedOn w:val="DefaultParagraphFont"/>
    <w:link w:val="Heading1"/>
    <w:uiPriority w:val="9"/>
    <w:rsid w:val="00F83B46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AU" w:bidi="he-IL"/>
    </w:rPr>
  </w:style>
  <w:style w:type="paragraph" w:styleId="ListParagraph">
    <w:name w:val="List Paragraph"/>
    <w:basedOn w:val="Normal"/>
    <w:uiPriority w:val="34"/>
    <w:qFormat/>
    <w:rsid w:val="00F83B46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83B46"/>
    <w:rPr>
      <w:i/>
      <w:iCs/>
    </w:rPr>
  </w:style>
  <w:style w:type="character" w:customStyle="1" w:styleId="groupname">
    <w:name w:val="groupname"/>
    <w:basedOn w:val="DefaultParagraphFont"/>
    <w:rsid w:val="00F83B46"/>
  </w:style>
  <w:style w:type="character" w:customStyle="1" w:styleId="pubyear">
    <w:name w:val="pubyear"/>
    <w:basedOn w:val="DefaultParagraphFont"/>
    <w:rsid w:val="00F83B46"/>
  </w:style>
  <w:style w:type="character" w:customStyle="1" w:styleId="booktitle2">
    <w:name w:val="booktitle2"/>
    <w:basedOn w:val="DefaultParagraphFont"/>
    <w:rsid w:val="00F83B46"/>
    <w:rPr>
      <w:i/>
      <w:iCs/>
    </w:rPr>
  </w:style>
  <w:style w:type="character" w:customStyle="1" w:styleId="publisherlocation">
    <w:name w:val="publisherlocation"/>
    <w:basedOn w:val="DefaultParagraphFont"/>
    <w:rsid w:val="00F83B46"/>
  </w:style>
  <w:style w:type="character" w:styleId="CommentReference">
    <w:name w:val="annotation reference"/>
    <w:basedOn w:val="DefaultParagraphFont"/>
    <w:unhideWhenUsed/>
    <w:rsid w:val="00F83B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3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3B46"/>
    <w:rPr>
      <w:rFonts w:eastAsiaTheme="minorEastAsia"/>
      <w:sz w:val="20"/>
      <w:szCs w:val="20"/>
      <w:lang w:eastAsia="en-AU" w:bidi="he-I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83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3B46"/>
    <w:rPr>
      <w:rFonts w:eastAsiaTheme="minorEastAsia"/>
      <w:b/>
      <w:bCs/>
      <w:sz w:val="20"/>
      <w:szCs w:val="20"/>
      <w:lang w:eastAsia="en-AU" w:bidi="he-IL"/>
    </w:rPr>
  </w:style>
  <w:style w:type="paragraph" w:styleId="BalloonText">
    <w:name w:val="Balloon Text"/>
    <w:basedOn w:val="Normal"/>
    <w:link w:val="BalloonTextChar"/>
    <w:unhideWhenUsed/>
    <w:rsid w:val="00F8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3B46"/>
    <w:rPr>
      <w:rFonts w:ascii="Segoe UI" w:eastAsiaTheme="minorEastAsia" w:hAnsi="Segoe UI" w:cs="Segoe UI"/>
      <w:sz w:val="18"/>
      <w:szCs w:val="18"/>
      <w:lang w:eastAsia="en-AU" w:bidi="he-IL"/>
    </w:rPr>
  </w:style>
  <w:style w:type="character" w:customStyle="1" w:styleId="maintitle">
    <w:name w:val="maintitle"/>
    <w:basedOn w:val="DefaultParagraphFont"/>
    <w:rsid w:val="00F83B46"/>
  </w:style>
  <w:style w:type="character" w:styleId="Hyperlink">
    <w:name w:val="Hyperlink"/>
    <w:basedOn w:val="DefaultParagraphFont"/>
    <w:uiPriority w:val="99"/>
    <w:unhideWhenUsed/>
    <w:rsid w:val="00F83B46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customStyle="1" w:styleId="NormalWeb">
    <w:name w:val="NormalWeb"/>
    <w:uiPriority w:val="99"/>
    <w:rsid w:val="00F83B46"/>
    <w:pPr>
      <w:spacing w:before="99" w:beforeAutospacing="1" w:after="99" w:afterAutospacing="1" w:line="276" w:lineRule="auto"/>
    </w:pPr>
    <w:rPr>
      <w:rFonts w:ascii="Verdana" w:eastAsia="Times New Roman" w:hAnsi="Verdana" w:cs="Verdana"/>
      <w:sz w:val="24"/>
      <w:szCs w:val="24"/>
      <w:lang w:eastAsia="en-AU" w:bidi="he-IL"/>
    </w:rPr>
  </w:style>
  <w:style w:type="paragraph" w:styleId="NormalWeb0">
    <w:name w:val="Normal (Web)"/>
    <w:basedOn w:val="Normal"/>
    <w:uiPriority w:val="99"/>
    <w:semiHidden/>
    <w:unhideWhenUsed/>
    <w:rsid w:val="00F83B46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83B46"/>
  </w:style>
  <w:style w:type="character" w:styleId="FollowedHyperlink">
    <w:name w:val="FollowedHyperlink"/>
    <w:basedOn w:val="DefaultParagraphFont"/>
    <w:uiPriority w:val="99"/>
    <w:semiHidden/>
    <w:unhideWhenUsed/>
    <w:rsid w:val="00F83B46"/>
    <w:rPr>
      <w:color w:val="954F72" w:themeColor="followedHyperlink"/>
      <w:u w:val="single"/>
    </w:rPr>
  </w:style>
  <w:style w:type="character" w:customStyle="1" w:styleId="highlight2">
    <w:name w:val="highlight2"/>
    <w:basedOn w:val="DefaultParagraphFont"/>
    <w:rsid w:val="00F83B46"/>
  </w:style>
  <w:style w:type="paragraph" w:styleId="Header">
    <w:name w:val="header"/>
    <w:basedOn w:val="Normal"/>
    <w:link w:val="HeaderChar"/>
    <w:uiPriority w:val="99"/>
    <w:unhideWhenUsed/>
    <w:rsid w:val="00F8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46"/>
    <w:rPr>
      <w:rFonts w:eastAsiaTheme="minorEastAsia"/>
      <w:lang w:eastAsia="en-AU" w:bidi="he-IL"/>
    </w:rPr>
  </w:style>
  <w:style w:type="paragraph" w:styleId="Footer">
    <w:name w:val="footer"/>
    <w:basedOn w:val="Normal"/>
    <w:link w:val="FooterChar"/>
    <w:uiPriority w:val="99"/>
    <w:unhideWhenUsed/>
    <w:rsid w:val="00F8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46"/>
    <w:rPr>
      <w:rFonts w:eastAsiaTheme="minorEastAsia"/>
      <w:lang w:eastAsia="en-AU" w:bidi="he-IL"/>
    </w:rPr>
  </w:style>
  <w:style w:type="table" w:styleId="TableGrid">
    <w:name w:val="Table Grid"/>
    <w:basedOn w:val="TableNormal"/>
    <w:rsid w:val="00F83B46"/>
    <w:pPr>
      <w:spacing w:after="0" w:line="240" w:lineRule="auto"/>
    </w:pPr>
    <w:rPr>
      <w:rFonts w:eastAsiaTheme="minorEastAsia"/>
      <w:lang w:eastAsia="en-A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F83B46"/>
  </w:style>
  <w:style w:type="numbering" w:customStyle="1" w:styleId="NoList1">
    <w:name w:val="No List1"/>
    <w:next w:val="NoList"/>
    <w:uiPriority w:val="99"/>
    <w:semiHidden/>
    <w:unhideWhenUsed/>
    <w:rsid w:val="00F83B46"/>
  </w:style>
  <w:style w:type="table" w:customStyle="1" w:styleId="TableGrid1">
    <w:name w:val="Table Grid1"/>
    <w:basedOn w:val="TableNormal"/>
    <w:next w:val="TableGrid"/>
    <w:rsid w:val="00F83B46"/>
    <w:pPr>
      <w:spacing w:after="0" w:line="240" w:lineRule="auto"/>
    </w:pPr>
    <w:rPr>
      <w:rFonts w:eastAsiaTheme="minorEastAsia"/>
      <w:lang w:eastAsia="en-A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F83B4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3B46"/>
    <w:rPr>
      <w:i/>
      <w:iCs/>
    </w:rPr>
  </w:style>
  <w:style w:type="character" w:styleId="Strong">
    <w:name w:val="Strong"/>
    <w:basedOn w:val="DefaultParagraphFont"/>
    <w:uiPriority w:val="22"/>
    <w:qFormat/>
    <w:rsid w:val="00F83B46"/>
    <w:rPr>
      <w:b/>
      <w:bCs/>
    </w:rPr>
  </w:style>
  <w:style w:type="paragraph" w:customStyle="1" w:styleId="Default">
    <w:name w:val="Default"/>
    <w:rsid w:val="00F83B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 w:bidi="he-IL"/>
    </w:rPr>
  </w:style>
  <w:style w:type="character" w:customStyle="1" w:styleId="authornames">
    <w:name w:val="authornames"/>
    <w:basedOn w:val="DefaultParagraphFont"/>
    <w:rsid w:val="00F83B46"/>
  </w:style>
  <w:style w:type="paragraph" w:styleId="Revision">
    <w:name w:val="Revision"/>
    <w:hidden/>
    <w:uiPriority w:val="99"/>
    <w:semiHidden/>
    <w:rsid w:val="00F83B46"/>
    <w:pPr>
      <w:spacing w:after="0" w:line="240" w:lineRule="auto"/>
    </w:pPr>
    <w:rPr>
      <w:rFonts w:eastAsiaTheme="minorEastAsia"/>
      <w:lang w:eastAsia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1964</Words>
  <Characters>11195</Characters>
  <Application>Microsoft Office Word</Application>
  <DocSecurity>0</DocSecurity>
  <Lines>93</Lines>
  <Paragraphs>26</Paragraphs>
  <ScaleCrop>false</ScaleCrop>
  <Company>Information Services Unit</Company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Anderson</dc:creator>
  <cp:keywords/>
  <dc:description/>
  <cp:lastModifiedBy>Katrina Anderson</cp:lastModifiedBy>
  <cp:revision>3</cp:revision>
  <dcterms:created xsi:type="dcterms:W3CDTF">2015-10-07T04:44:00Z</dcterms:created>
  <dcterms:modified xsi:type="dcterms:W3CDTF">2015-10-07T04:49:00Z</dcterms:modified>
</cp:coreProperties>
</file>