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39" w:rsidRPr="007F19EC" w:rsidRDefault="00C13739" w:rsidP="00C13739">
      <w:pPr>
        <w:rPr>
          <w:rFonts w:eastAsiaTheme="minorHAnsi"/>
        </w:rPr>
      </w:pPr>
      <w:r w:rsidRPr="00B439A2">
        <w:rPr>
          <w:b/>
        </w:rPr>
        <w:t>Supplement</w:t>
      </w:r>
      <w:r w:rsidR="00FF414B">
        <w:rPr>
          <w:b/>
        </w:rPr>
        <w:t>ary information</w:t>
      </w:r>
      <w:r w:rsidRPr="00B439A2">
        <w:rPr>
          <w:b/>
        </w:rPr>
        <w:t xml:space="preserve"> 1: </w:t>
      </w:r>
      <w:r w:rsidRPr="00B439A2">
        <w:rPr>
          <w:rFonts w:eastAsiaTheme="minorHAnsi"/>
          <w:b/>
        </w:rPr>
        <w:t>Sample search strategy for MEDLINE (OVID)</w:t>
      </w:r>
    </w:p>
    <w:p w:rsidR="00C13739" w:rsidRPr="007F19EC" w:rsidRDefault="00C13739" w:rsidP="00C13739">
      <w:pPr>
        <w:spacing w:after="160" w:line="259" w:lineRule="auto"/>
        <w:rPr>
          <w:rFonts w:eastAsiaTheme="minorHAnsi"/>
        </w:rPr>
      </w:pP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1. (carer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care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?giv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caregiv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care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giv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*).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ti,ab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2. (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caretak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care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tak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care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?tak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*).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ti,ab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3. 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informal</w:t>
      </w:r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care.ti,ab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4. 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children</w:t>
      </w:r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caring.ti,ab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5. (children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provid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* adj3 care).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,ab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6. ((parent or parents or mother or mothers or father or fathers) adj2 (care or caring)).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,ab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7. ((son? or daughter? or friend?) adj2 (care or caring)).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,ab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8. ((husband? or wives or wife or spouse? or grandparent? or grandchild? or neighbour?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neighbor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? or relatives) adj2 (care or caring or support or supporting)).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,ab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9. ((family or families) adj2 (caring or support)).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,ab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10. ((grandfather? or grandmother?) adj2 (care or caring or support or supporting)).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,ab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11. </w:t>
      </w:r>
      <w:proofErr w:type="spellStart"/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exp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caregivers/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12. or/1-11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13. (Dementia or Alzheimer* or elderly or old age or oldest old or delirium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huntington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creutzfeldt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CJD*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binswanger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korsakoff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wernicke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lewy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*).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,ab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14. </w:t>
      </w:r>
      <w:proofErr w:type="spellStart"/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exp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dementia/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alzheimer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disease/ or *COGNITION DISORDERS/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15. 13 or 14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16. 12 and 15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17. (Intervention* or non-pharmacologic* or non-pharmaceutic*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psycho?social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support or training or therapy or (multi-dimensional adj4 support) or (carer* adj2 support*)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counsel?ing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psycho?educational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education or (emotional adj2 support) or befriend* or one-to-one emotional or conversation group* or (multi-component adj3 intervention*) or (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behavio?r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adj3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manag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*) or (telephone adj3 support) or (multi-component adj3 training) or (training adj3 carer*) or peer group* or support group* or information).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af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18. *health promotion/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exp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*community health services/ or preventive health services/ or "early intervention (education)"/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exp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health education/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exp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mental health services/ or personal health services/ or Self-Help Groups/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19. 17 or 18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20. 16 and 19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21. *health promotion/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exp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*community health services/ or preventive health services/ or "early intervention (education)"/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exp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health education/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exp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mental health services/ or personal health services/ or Self-Help Groups/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22. (((quality of life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qol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well being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qaly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quality-adjusted life year or ((caregiver* or carer*) adj2 health)) and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well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?being</w:t>
      </w:r>
      <w:proofErr w:type="spellEnd"/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) or depression or (measure adj2 happiness) or outcome* or burden or mental health).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af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23. or/21-22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24. 20 and 23</w:t>
      </w:r>
    </w:p>
    <w:p w:rsidR="00C13739" w:rsidRPr="007F19EC" w:rsidRDefault="00C13739" w:rsidP="00C13739">
      <w:pPr>
        <w:spacing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lastRenderedPageBreak/>
        <w:t>25. (((comprehensive* or systematic*) adj3 (bibliographic* or review* or literature)) or (meta-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analy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*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metaanaly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* or "research synthesis" or ((information or data) adj3 synthesis) or (data adj2 extract*))).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ti,ab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 or (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cinahl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(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cochrane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adj3 trial*)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embase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medline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psyclit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(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psycinfo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not "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psycinfo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database")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pubmed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scopus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or "sociological abstracts" or "web of science").ab. or "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cochrane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database of systematic reviews".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jn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. </w:t>
      </w:r>
      <w:proofErr w:type="gram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or</w:t>
      </w:r>
      <w:proofErr w:type="gram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 xml:space="preserve"> ((review adj5 (rationale or evidence)).</w:t>
      </w:r>
      <w:proofErr w:type="spellStart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ti,ab</w:t>
      </w:r>
      <w:proofErr w:type="spellEnd"/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. and review.pt.) or meta-analysis as topic/ or Meta-Analysis.pt.</w:t>
      </w:r>
    </w:p>
    <w:p w:rsidR="00C13739" w:rsidRDefault="00C13739" w:rsidP="00C13739">
      <w:pPr>
        <w:spacing w:after="100" w:line="360" w:lineRule="atLeast"/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</w:pPr>
      <w:r w:rsidRPr="007F19EC">
        <w:rPr>
          <w:rFonts w:ascii="Trebuchet MS" w:eastAsia="Times New Roman" w:hAnsi="Trebuchet MS" w:cs="Times New Roman"/>
          <w:color w:val="0A0905"/>
          <w:sz w:val="18"/>
          <w:szCs w:val="18"/>
          <w:lang w:eastAsia="en-GB"/>
        </w:rPr>
        <w:t>26. 24 and 25</w:t>
      </w:r>
    </w:p>
    <w:p w:rsidR="003E4F7C" w:rsidRDefault="003E4F7C">
      <w:pPr>
        <w:sectPr w:rsidR="003E4F7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E4F7C" w:rsidRDefault="003E4F7C" w:rsidP="003E4F7C">
      <w:pPr>
        <w:rPr>
          <w:b/>
        </w:rPr>
      </w:pPr>
      <w:r w:rsidRPr="002953B3">
        <w:rPr>
          <w:b/>
        </w:rPr>
        <w:lastRenderedPageBreak/>
        <w:t>Supplement</w:t>
      </w:r>
      <w:r>
        <w:rPr>
          <w:b/>
        </w:rPr>
        <w:t>ary information</w:t>
      </w:r>
      <w:r w:rsidRPr="002953B3">
        <w:rPr>
          <w:b/>
        </w:rPr>
        <w:t xml:space="preserve"> 2</w:t>
      </w:r>
      <w:r>
        <w:rPr>
          <w:b/>
        </w:rPr>
        <w:t>: List of low quality reviews not reported</w:t>
      </w:r>
    </w:p>
    <w:p w:rsidR="003E4F7C" w:rsidRPr="002953B3" w:rsidRDefault="003E4F7C" w:rsidP="003E4F7C"/>
    <w:p w:rsidR="003E4F7C" w:rsidRDefault="003E4F7C" w:rsidP="003E4F7C">
      <w:pPr>
        <w:ind w:left="720" w:hanging="720"/>
      </w:pPr>
      <w:r>
        <w:t xml:space="preserve">Acton GJ, Kang J. Interventions to reduce the burden of caregiving for an adult with dementia: a meta-analysis.  Res </w:t>
      </w:r>
      <w:proofErr w:type="spellStart"/>
      <w:r>
        <w:t>Nurs</w:t>
      </w:r>
      <w:proofErr w:type="spellEnd"/>
      <w:r>
        <w:t xml:space="preserve"> Health 2001; 24 (5): 349-60.</w:t>
      </w:r>
    </w:p>
    <w:p w:rsidR="003E4F7C" w:rsidRDefault="003E4F7C" w:rsidP="003E4F7C">
      <w:pPr>
        <w:ind w:left="720" w:hanging="720"/>
      </w:pPr>
      <w:r>
        <w:t xml:space="preserve">Acton, GJ, Winter MA. Interventions for family members caring for an elder with dementia.  Ann Rev of </w:t>
      </w:r>
      <w:proofErr w:type="spellStart"/>
      <w:r>
        <w:t>Nurs</w:t>
      </w:r>
      <w:proofErr w:type="spellEnd"/>
      <w:r>
        <w:t xml:space="preserve"> Res 2002; 20: 149-79.</w:t>
      </w:r>
    </w:p>
    <w:p w:rsidR="003E4F7C" w:rsidRDefault="003E4F7C" w:rsidP="003E4F7C">
      <w:pPr>
        <w:ind w:left="720" w:hanging="720"/>
      </w:pPr>
      <w:r>
        <w:t xml:space="preserve">Cooke DD, McNally L, Mulligan KT, Harrison MJ, Newman SP. Psychosocial interventions for caregivers of people with dementia: a systematic review. Aging </w:t>
      </w:r>
      <w:proofErr w:type="spellStart"/>
      <w:r>
        <w:t>Ment</w:t>
      </w:r>
      <w:proofErr w:type="spellEnd"/>
      <w:r>
        <w:t xml:space="preserve"> Health 2001; 5(2): 120-35.</w:t>
      </w:r>
    </w:p>
    <w:p w:rsidR="003E4F7C" w:rsidRDefault="003E4F7C" w:rsidP="003E4F7C">
      <w:pPr>
        <w:ind w:left="720" w:hanging="720"/>
      </w:pPr>
      <w:r>
        <w:t xml:space="preserve">Cooper C, </w:t>
      </w:r>
      <w:proofErr w:type="spellStart"/>
      <w:r>
        <w:t>Balamurali</w:t>
      </w:r>
      <w:proofErr w:type="spellEnd"/>
      <w:r>
        <w:t xml:space="preserve"> TB, Selwood A, Livingston G. A systematic review of intervention studies about anxiety in caregivers of people with dementia.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Geriatr</w:t>
      </w:r>
      <w:proofErr w:type="spellEnd"/>
      <w:r>
        <w:t xml:space="preserve"> Psychiatry 2007; 22(3); 181-8.</w:t>
      </w:r>
    </w:p>
    <w:p w:rsidR="003E4F7C" w:rsidRDefault="003E4F7C" w:rsidP="003E4F7C">
      <w:pPr>
        <w:ind w:left="720" w:hanging="720"/>
      </w:pPr>
      <w:r>
        <w:t xml:space="preserve">Corbett A, Stevens J, </w:t>
      </w:r>
      <w:proofErr w:type="spellStart"/>
      <w:r>
        <w:t>Aarsland</w:t>
      </w:r>
      <w:proofErr w:type="spellEnd"/>
      <w:r>
        <w:t xml:space="preserve"> D, Day S, Moniz-Cook E, Woods R, et al. Systematic review of services providing information and/or advice to people with dementia and/or their caregivers.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Geriatr</w:t>
      </w:r>
      <w:proofErr w:type="spellEnd"/>
      <w:r>
        <w:t xml:space="preserve"> Psychiatry 2012; 27(6): 628-36.</w:t>
      </w:r>
    </w:p>
    <w:p w:rsidR="003E4F7C" w:rsidRDefault="003E4F7C" w:rsidP="003E4F7C">
      <w:pPr>
        <w:ind w:left="720" w:hanging="720"/>
      </w:pPr>
      <w:proofErr w:type="spellStart"/>
      <w:r>
        <w:t>Eggenberger</w:t>
      </w:r>
      <w:proofErr w:type="spellEnd"/>
      <w:r>
        <w:t xml:space="preserve"> E, </w:t>
      </w:r>
      <w:proofErr w:type="spellStart"/>
      <w:r>
        <w:t>Heimerl</w:t>
      </w:r>
      <w:proofErr w:type="spellEnd"/>
      <w:r>
        <w:t xml:space="preserve"> K, Bennett MI. Communication skills training in dementia care: a systematic review of effectiveness, training content, and didactic methods in different care settings.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Psychogeriatr</w:t>
      </w:r>
      <w:proofErr w:type="spellEnd"/>
      <w:r>
        <w:t xml:space="preserve"> 2013; 25(3): 345-58.</w:t>
      </w:r>
    </w:p>
    <w:p w:rsidR="003E4F7C" w:rsidRDefault="003E4F7C" w:rsidP="003E4F7C">
      <w:pPr>
        <w:ind w:left="720" w:hanging="720"/>
      </w:pPr>
      <w:r>
        <w:t xml:space="preserve">Godwin KM, Mills WL, Anderson JA, </w:t>
      </w:r>
      <w:proofErr w:type="spellStart"/>
      <w:r>
        <w:t>Kunik</w:t>
      </w:r>
      <w:proofErr w:type="spellEnd"/>
      <w:r>
        <w:t xml:space="preserve"> ME. Technology-driven interventions for caregivers of persons with dementia: a systematic review.  Am J Alzheimer Dis Other </w:t>
      </w:r>
      <w:proofErr w:type="spellStart"/>
      <w:r>
        <w:t>Demen</w:t>
      </w:r>
      <w:proofErr w:type="spellEnd"/>
      <w:r>
        <w:t xml:space="preserve"> 2013: 28(3): 216-</w:t>
      </w:r>
      <w:proofErr w:type="gramStart"/>
      <w:r>
        <w:t>22.</w:t>
      </w:r>
      <w:proofErr w:type="gramEnd"/>
    </w:p>
    <w:p w:rsidR="003E4F7C" w:rsidRDefault="003E4F7C" w:rsidP="003E4F7C">
      <w:pPr>
        <w:ind w:left="720" w:hanging="720"/>
      </w:pPr>
      <w:r>
        <w:t xml:space="preserve">Hall L, Skelton DA. Occupational therapy for caregivers of people with dementia: a review of the United Kingdom literature.  Br J Occupational </w:t>
      </w:r>
      <w:proofErr w:type="spellStart"/>
      <w:r>
        <w:t>Therap</w:t>
      </w:r>
      <w:proofErr w:type="spellEnd"/>
      <w:r>
        <w:t xml:space="preserve"> 2012; 75: 281-8.</w:t>
      </w:r>
    </w:p>
    <w:p w:rsidR="003E4F7C" w:rsidRDefault="003E4F7C" w:rsidP="003E4F7C">
      <w:pPr>
        <w:ind w:left="720" w:hanging="720"/>
      </w:pPr>
      <w:r>
        <w:t>Martin-Carrasco M, Ballesteros-Rodriguez J, Dominguez-</w:t>
      </w:r>
      <w:proofErr w:type="spellStart"/>
      <w:r>
        <w:t>Panchon</w:t>
      </w:r>
      <w:proofErr w:type="spellEnd"/>
      <w:r>
        <w:t xml:space="preserve"> A, Munoz-</w:t>
      </w:r>
      <w:proofErr w:type="spellStart"/>
      <w:r>
        <w:t>Hermoso</w:t>
      </w:r>
      <w:proofErr w:type="spellEnd"/>
      <w:r>
        <w:t xml:space="preserve"> P, Gonzalez-</w:t>
      </w:r>
      <w:proofErr w:type="spellStart"/>
      <w:r>
        <w:t>Fraile</w:t>
      </w:r>
      <w:proofErr w:type="spellEnd"/>
      <w:r>
        <w:t xml:space="preserve"> E. Interventions for caregivers of patients with dementia.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Espanolas</w:t>
      </w:r>
      <w:proofErr w:type="spellEnd"/>
      <w:r>
        <w:t xml:space="preserve"> de </w:t>
      </w:r>
      <w:proofErr w:type="spellStart"/>
      <w:r>
        <w:t>Psiquiatria</w:t>
      </w:r>
      <w:proofErr w:type="spellEnd"/>
      <w:r>
        <w:t xml:space="preserve"> 2014: 42: 300-14.</w:t>
      </w:r>
    </w:p>
    <w:p w:rsidR="003E4F7C" w:rsidRDefault="003E4F7C" w:rsidP="003E4F7C">
      <w:pPr>
        <w:ind w:left="720" w:hanging="720"/>
      </w:pPr>
      <w:proofErr w:type="spellStart"/>
      <w:r>
        <w:t>McKechnie</w:t>
      </w:r>
      <w:proofErr w:type="spellEnd"/>
      <w:r>
        <w:t xml:space="preserve"> V, Barker C, Stott J. Effectiveness of computer-mediated interventions for informal carers of people with dementia – a systematic review.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Psychogeriatr</w:t>
      </w:r>
      <w:proofErr w:type="spellEnd"/>
      <w:r>
        <w:t xml:space="preserve"> 2014; 26: 1619-37.</w:t>
      </w:r>
    </w:p>
    <w:p w:rsidR="003E4F7C" w:rsidRDefault="003E4F7C" w:rsidP="003E4F7C">
      <w:pPr>
        <w:ind w:left="720" w:hanging="720"/>
      </w:pPr>
      <w:proofErr w:type="spellStart"/>
      <w:r>
        <w:t>Napoles</w:t>
      </w:r>
      <w:proofErr w:type="spellEnd"/>
      <w:r>
        <w:t xml:space="preserve"> AM, </w:t>
      </w:r>
      <w:proofErr w:type="spellStart"/>
      <w:r>
        <w:t>Chadiha</w:t>
      </w:r>
      <w:proofErr w:type="spellEnd"/>
      <w:r>
        <w:t xml:space="preserve"> L, </w:t>
      </w:r>
      <w:proofErr w:type="spellStart"/>
      <w:r>
        <w:t>Eversley</w:t>
      </w:r>
      <w:proofErr w:type="spellEnd"/>
      <w:r>
        <w:t xml:space="preserve"> R, Moreno-John G. Developing culturally sensitive dementia caregiver interventions: are we there yet? Am J Alzheimer Dis Other </w:t>
      </w:r>
      <w:proofErr w:type="spellStart"/>
      <w:r>
        <w:t>Demen</w:t>
      </w:r>
      <w:proofErr w:type="spellEnd"/>
      <w:r>
        <w:t xml:space="preserve"> 2010; 25: 389-</w:t>
      </w:r>
      <w:proofErr w:type="gramStart"/>
      <w:r>
        <w:t>406.</w:t>
      </w:r>
      <w:proofErr w:type="gramEnd"/>
    </w:p>
    <w:p w:rsidR="003E4F7C" w:rsidRDefault="003E4F7C" w:rsidP="003E4F7C">
      <w:pPr>
        <w:ind w:left="720" w:hanging="720"/>
      </w:pPr>
      <w:proofErr w:type="spellStart"/>
      <w:r>
        <w:t>Nunnesmann</w:t>
      </w:r>
      <w:proofErr w:type="spellEnd"/>
      <w:r>
        <w:t xml:space="preserve"> S, </w:t>
      </w:r>
      <w:proofErr w:type="spellStart"/>
      <w:r>
        <w:t>Kurz</w:t>
      </w:r>
      <w:proofErr w:type="spellEnd"/>
      <w:r>
        <w:t xml:space="preserve"> A, </w:t>
      </w:r>
      <w:proofErr w:type="spellStart"/>
      <w:r>
        <w:t>Leucht</w:t>
      </w:r>
      <w:proofErr w:type="spellEnd"/>
      <w:r>
        <w:t xml:space="preserve"> S, Diehl-</w:t>
      </w:r>
      <w:proofErr w:type="spellStart"/>
      <w:r>
        <w:t>Schmid</w:t>
      </w:r>
      <w:proofErr w:type="spellEnd"/>
      <w:r>
        <w:t xml:space="preserve"> J. Caregivers of patients with frontotemporal lobar degeneration: a review of burden, problems, needs, and interventions.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Psychogeriatr</w:t>
      </w:r>
      <w:proofErr w:type="spellEnd"/>
      <w:r>
        <w:t xml:space="preserve"> 2012; 24: 1368-86.</w:t>
      </w:r>
    </w:p>
    <w:p w:rsidR="003E4F7C" w:rsidRDefault="003E4F7C" w:rsidP="003E4F7C">
      <w:pPr>
        <w:ind w:left="720" w:hanging="720"/>
      </w:pPr>
      <w:r>
        <w:lastRenderedPageBreak/>
        <w:t xml:space="preserve">Medical Advisory Secretariat. Caregiver and patient-directed interventions for dementia: an evidence-based analysis.  Ontario Health Technology Assessment Series 2008, 8(4). </w:t>
      </w:r>
    </w:p>
    <w:p w:rsidR="003E4F7C" w:rsidRDefault="003E4F7C" w:rsidP="003E4F7C">
      <w:pPr>
        <w:ind w:left="720" w:hanging="720"/>
      </w:pPr>
      <w:r>
        <w:t xml:space="preserve">Powell J, Chiu T, </w:t>
      </w:r>
      <w:proofErr w:type="spellStart"/>
      <w:r>
        <w:t>Eysenbach</w:t>
      </w:r>
      <w:proofErr w:type="spellEnd"/>
      <w:r>
        <w:t xml:space="preserve"> G. A systematic review of networked technologies supporting carers of people with dementia.  J Telemedicine &amp; Telecare 2008: 14: 154-6.</w:t>
      </w:r>
    </w:p>
    <w:p w:rsidR="003E4F7C" w:rsidRDefault="003E4F7C" w:rsidP="003E4F7C">
      <w:pPr>
        <w:ind w:left="720" w:hanging="720"/>
      </w:pPr>
      <w:r>
        <w:t xml:space="preserve">Selwood A, Johnston K, </w:t>
      </w:r>
      <w:proofErr w:type="spellStart"/>
      <w:r>
        <w:t>Katona</w:t>
      </w:r>
      <w:proofErr w:type="spellEnd"/>
      <w:r>
        <w:t xml:space="preserve"> C, </w:t>
      </w:r>
      <w:proofErr w:type="spellStart"/>
      <w:r>
        <w:t>Lyketsos</w:t>
      </w:r>
      <w:proofErr w:type="spellEnd"/>
      <w:r>
        <w:t xml:space="preserve"> C, Livingston G. Systematic review of the effect of psychological interventions on family caregivers of people with dementia.  J Affective Disorders 2007; 101:75-89.</w:t>
      </w:r>
    </w:p>
    <w:p w:rsidR="003E4F7C" w:rsidRDefault="003E4F7C" w:rsidP="003E4F7C">
      <w:pPr>
        <w:ind w:left="720" w:hanging="720"/>
      </w:pPr>
      <w:r>
        <w:t xml:space="preserve">Smith R, Greenwood N. the impact of volunteer mentoring schemes on carers of people with dementia and volunteer mentors: A systematic review. Am J Alzheimer Dis Other </w:t>
      </w:r>
      <w:proofErr w:type="spellStart"/>
      <w:r>
        <w:t>Demen</w:t>
      </w:r>
      <w:proofErr w:type="spellEnd"/>
      <w:r>
        <w:t xml:space="preserve"> 2014; 29: 8-</w:t>
      </w:r>
      <w:proofErr w:type="gramStart"/>
      <w:r>
        <w:t>18.</w:t>
      </w:r>
      <w:proofErr w:type="gramEnd"/>
    </w:p>
    <w:p w:rsidR="003E4F7C" w:rsidRDefault="003E4F7C" w:rsidP="003E4F7C">
      <w:pPr>
        <w:ind w:left="720" w:hanging="720"/>
      </w:pPr>
      <w:proofErr w:type="spellStart"/>
      <w:r>
        <w:t>Thinnes</w:t>
      </w:r>
      <w:proofErr w:type="spellEnd"/>
      <w:r>
        <w:t xml:space="preserve"> A, Padilla R. Effect of educational and supportive strategies on the ability of caregivers of people with dementia to maintain participation in that role.  Am J </w:t>
      </w:r>
      <w:proofErr w:type="spellStart"/>
      <w:r>
        <w:t>Occ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2011; 65: 541-</w:t>
      </w:r>
      <w:proofErr w:type="gramStart"/>
      <w:r>
        <w:t>49.</w:t>
      </w:r>
      <w:proofErr w:type="gramEnd"/>
    </w:p>
    <w:p w:rsidR="003E4F7C" w:rsidRDefault="003E4F7C" w:rsidP="003E4F7C">
      <w:pPr>
        <w:ind w:left="720" w:hanging="720"/>
      </w:pPr>
      <w:proofErr w:type="spellStart"/>
      <w:r>
        <w:t>Zientz</w:t>
      </w:r>
      <w:proofErr w:type="spellEnd"/>
      <w:r>
        <w:t xml:space="preserve"> J, </w:t>
      </w:r>
      <w:proofErr w:type="spellStart"/>
      <w:r>
        <w:t>Rackley</w:t>
      </w:r>
      <w:proofErr w:type="spellEnd"/>
      <w:r>
        <w:t xml:space="preserve"> A, Chapman SB, Hopper T, </w:t>
      </w:r>
      <w:proofErr w:type="spellStart"/>
      <w:r>
        <w:t>Mahendra</w:t>
      </w:r>
      <w:proofErr w:type="spellEnd"/>
      <w:r>
        <w:t xml:space="preserve"> N, Kim ES, Cleary S. Evidence-based practice recommendation for dementia: educating caregivers on Alzheimer’s disease and training communication strategies. J Med Speech-Language Pathology 2007; 15: liii-lxiv.</w:t>
      </w:r>
    </w:p>
    <w:p w:rsidR="003E4F7C" w:rsidRDefault="003E4F7C" w:rsidP="003E4F7C"/>
    <w:p w:rsidR="00E805C7" w:rsidRDefault="00E805C7">
      <w:pPr>
        <w:sectPr w:rsidR="00E805C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805C7" w:rsidRPr="00057486" w:rsidRDefault="00E805C7" w:rsidP="00E805C7">
      <w:pPr>
        <w:rPr>
          <w:rFonts w:eastAsiaTheme="majorEastAsia"/>
        </w:rPr>
      </w:pPr>
      <w:r>
        <w:rPr>
          <w:rFonts w:eastAsiaTheme="majorEastAsia"/>
          <w:b/>
        </w:rPr>
        <w:lastRenderedPageBreak/>
        <w:t xml:space="preserve">Supplementary information 3: </w:t>
      </w:r>
      <w:r w:rsidRPr="00057486">
        <w:rPr>
          <w:rFonts w:eastAsiaTheme="majorEastAsia"/>
        </w:rPr>
        <w:t>AMSTAR Ratings</w:t>
      </w:r>
    </w:p>
    <w:p w:rsidR="00E805C7" w:rsidRPr="00057486" w:rsidRDefault="00E805C7" w:rsidP="00E805C7"/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1035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1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A priori design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2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Duplicate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3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Search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4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Publication status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5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List of studies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6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Characteristics studies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7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Scientific quality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8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Conclusions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9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Combination methods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10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Publication bias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11</w:t>
            </w:r>
          </w:p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Conflict of interest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Quality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Acton, 2001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Acton and Winter, 2002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Boots, 2014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Brodaty</w:t>
            </w:r>
            <w:proofErr w:type="spellEnd"/>
            <w:r w:rsidRPr="00B3185E">
              <w:rPr>
                <w:b/>
                <w:sz w:val="20"/>
                <w:szCs w:val="20"/>
              </w:rPr>
              <w:t>, 2003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Chien</w:t>
            </w:r>
            <w:proofErr w:type="spellEnd"/>
            <w:r w:rsidRPr="00B3185E">
              <w:rPr>
                <w:b/>
                <w:sz w:val="20"/>
                <w:szCs w:val="20"/>
              </w:rPr>
              <w:t>, 2011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Cooke, 2010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Cooper, 2007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Corbett, 2012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Eggenberger</w:t>
            </w:r>
            <w:proofErr w:type="spellEnd"/>
            <w:r w:rsidRPr="00B3185E">
              <w:rPr>
                <w:b/>
                <w:sz w:val="20"/>
                <w:szCs w:val="20"/>
              </w:rPr>
              <w:t>, 2013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Elvish, 2012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Godwin, 2013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Hall, 2012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Lins</w:t>
            </w:r>
            <w:proofErr w:type="spellEnd"/>
            <w:r w:rsidRPr="00B3185E">
              <w:rPr>
                <w:b/>
                <w:sz w:val="20"/>
                <w:szCs w:val="20"/>
              </w:rPr>
              <w:t>, 2014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High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Marim</w:t>
            </w:r>
            <w:proofErr w:type="spellEnd"/>
            <w:r w:rsidRPr="00B3185E">
              <w:rPr>
                <w:b/>
                <w:sz w:val="20"/>
                <w:szCs w:val="20"/>
              </w:rPr>
              <w:t>, 2013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lastRenderedPageBreak/>
              <w:t>Martin-Carrasco, 2014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McKechnie</w:t>
            </w:r>
            <w:proofErr w:type="spellEnd"/>
            <w:r w:rsidRPr="00B3185E">
              <w:rPr>
                <w:b/>
                <w:sz w:val="20"/>
                <w:szCs w:val="20"/>
              </w:rPr>
              <w:t>, 2014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Medical Advisory Secretariat, 2008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Napoles</w:t>
            </w:r>
            <w:proofErr w:type="spellEnd"/>
            <w:r w:rsidRPr="00B3185E">
              <w:rPr>
                <w:b/>
                <w:sz w:val="20"/>
                <w:szCs w:val="20"/>
              </w:rPr>
              <w:t>, 2010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Nunnemann</w:t>
            </w:r>
            <w:proofErr w:type="spellEnd"/>
            <w:r w:rsidRPr="00B3185E">
              <w:rPr>
                <w:b/>
                <w:sz w:val="20"/>
                <w:szCs w:val="20"/>
              </w:rPr>
              <w:t>, 2012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Olazaran</w:t>
            </w:r>
            <w:proofErr w:type="spellEnd"/>
            <w:r w:rsidRPr="00B3185E">
              <w:rPr>
                <w:b/>
                <w:sz w:val="20"/>
                <w:szCs w:val="20"/>
              </w:rPr>
              <w:t>, 2010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Parker, 2008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Peacock, 2003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Pinquart</w:t>
            </w:r>
            <w:proofErr w:type="spellEnd"/>
            <w:r w:rsidRPr="00B3185E">
              <w:rPr>
                <w:b/>
                <w:sz w:val="20"/>
                <w:szCs w:val="20"/>
              </w:rPr>
              <w:t>, 2006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Powell, 2008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Pusey, 2010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Yes*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Selwood, 2007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Smith and Greenwood, 2014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Thinnes</w:t>
            </w:r>
            <w:proofErr w:type="spellEnd"/>
            <w:r w:rsidRPr="00B3185E">
              <w:rPr>
                <w:b/>
                <w:sz w:val="20"/>
                <w:szCs w:val="20"/>
              </w:rPr>
              <w:t>, 2011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r w:rsidRPr="00B3185E">
              <w:rPr>
                <w:b/>
                <w:sz w:val="20"/>
                <w:szCs w:val="20"/>
              </w:rPr>
              <w:t>Thompson, 2007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Moderate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lastRenderedPageBreak/>
              <w:t>Vernooij-Dassen</w:t>
            </w:r>
            <w:proofErr w:type="spellEnd"/>
            <w:r w:rsidRPr="00B3185E">
              <w:rPr>
                <w:b/>
                <w:sz w:val="20"/>
                <w:szCs w:val="20"/>
              </w:rPr>
              <w:t>, 2011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9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High</w:t>
            </w:r>
          </w:p>
        </w:tc>
      </w:tr>
      <w:tr w:rsidR="00E805C7" w:rsidRPr="00B3185E" w:rsidTr="00E678C2">
        <w:tc>
          <w:tcPr>
            <w:tcW w:w="1271" w:type="dxa"/>
          </w:tcPr>
          <w:p w:rsidR="00E805C7" w:rsidRPr="00B3185E" w:rsidRDefault="00E805C7" w:rsidP="00E678C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B3185E">
              <w:rPr>
                <w:b/>
                <w:sz w:val="20"/>
                <w:szCs w:val="20"/>
              </w:rPr>
              <w:t>Zientz</w:t>
            </w:r>
            <w:proofErr w:type="spellEnd"/>
            <w:r w:rsidRPr="00B3185E">
              <w:rPr>
                <w:b/>
                <w:sz w:val="20"/>
                <w:szCs w:val="20"/>
              </w:rPr>
              <w:t>, 2007</w:t>
            </w:r>
          </w:p>
        </w:tc>
        <w:tc>
          <w:tcPr>
            <w:tcW w:w="1035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Can’t answer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Yes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No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E805C7" w:rsidRPr="00B3185E" w:rsidRDefault="00E805C7" w:rsidP="00E678C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85E">
              <w:rPr>
                <w:sz w:val="20"/>
                <w:szCs w:val="20"/>
              </w:rPr>
              <w:t>Low</w:t>
            </w:r>
          </w:p>
        </w:tc>
      </w:tr>
    </w:tbl>
    <w:p w:rsidR="00E805C7" w:rsidRPr="00057486" w:rsidRDefault="00E805C7" w:rsidP="00E805C7">
      <w:r>
        <w:t>0-4 indicated low quality, 5-8 indicated moderate quality and 9-11 indicated high quality</w:t>
      </w:r>
    </w:p>
    <w:p w:rsidR="00E805C7" w:rsidRPr="002953B3" w:rsidRDefault="00E805C7" w:rsidP="00E805C7">
      <w:pPr>
        <w:ind w:left="720" w:hanging="720"/>
      </w:pPr>
    </w:p>
    <w:p w:rsidR="00E805C7" w:rsidRDefault="00E805C7" w:rsidP="00E805C7"/>
    <w:p w:rsidR="00E805C7" w:rsidRDefault="00E805C7">
      <w:pPr>
        <w:sectPr w:rsidR="00E805C7" w:rsidSect="007B366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E805C7" w:rsidRDefault="00E805C7" w:rsidP="00E805C7">
      <w:pPr>
        <w:rPr>
          <w:b/>
        </w:rPr>
      </w:pPr>
      <w:r>
        <w:rPr>
          <w:b/>
        </w:rPr>
        <w:lastRenderedPageBreak/>
        <w:t>Supplementary information 4</w:t>
      </w:r>
      <w:r>
        <w:rPr>
          <w:b/>
        </w:rPr>
        <w:t>: Characteristics of included reviews</w:t>
      </w:r>
    </w:p>
    <w:p w:rsidR="00E805C7" w:rsidRPr="007B3667" w:rsidRDefault="00E805C7" w:rsidP="00E805C7">
      <w:bookmarkStart w:id="0" w:name="_GoBack"/>
      <w:bookmarkEnd w:id="0"/>
      <w:r w:rsidRPr="007B3667">
        <w:t>Table of inclusion criteria (outcome measures, study design and date range) used by the reviews</w:t>
      </w:r>
    </w:p>
    <w:tbl>
      <w:tblPr>
        <w:tblStyle w:val="TableGrid1"/>
        <w:tblW w:w="13604" w:type="dxa"/>
        <w:tblLayout w:type="fixed"/>
        <w:tblLook w:val="04A0" w:firstRow="1" w:lastRow="0" w:firstColumn="1" w:lastColumn="0" w:noHBand="0" w:noVBand="1"/>
      </w:tblPr>
      <w:tblGrid>
        <w:gridCol w:w="426"/>
        <w:gridCol w:w="1245"/>
        <w:gridCol w:w="1585"/>
        <w:gridCol w:w="5102"/>
        <w:gridCol w:w="3970"/>
        <w:gridCol w:w="1276"/>
      </w:tblGrid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Lead Author (Year)</w:t>
            </w:r>
          </w:p>
        </w:tc>
        <w:tc>
          <w:tcPr>
            <w:tcW w:w="6687" w:type="dxa"/>
            <w:gridSpan w:val="2"/>
          </w:tcPr>
          <w:p w:rsidR="00E805C7" w:rsidRPr="007B3667" w:rsidRDefault="00E805C7" w:rsidP="00E678C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Outcome measures*</w:t>
            </w:r>
          </w:p>
        </w:tc>
        <w:tc>
          <w:tcPr>
            <w:tcW w:w="3970" w:type="dxa"/>
            <w:vMerge w:val="restart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Study designs</w:t>
            </w:r>
          </w:p>
        </w:tc>
        <w:tc>
          <w:tcPr>
            <w:tcW w:w="1276" w:type="dxa"/>
            <w:vMerge w:val="restart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Dates range of included studies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bottom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Primary**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Secondary/ others</w:t>
            </w:r>
          </w:p>
        </w:tc>
        <w:tc>
          <w:tcPr>
            <w:tcW w:w="3970" w:type="dxa"/>
            <w:vMerge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Boots, 2014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and qualitative studies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1988- 2013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Brodaty</w:t>
            </w:r>
            <w:proofErr w:type="spellEnd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, 2003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 psychological morbidity &amp; burden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 xml:space="preserve">Carers -  coping skills, social support, knowledge 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PWD – mood, nursing home placement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(Randomised Controlled trials, quasi-experimental studies)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1984-2000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Chien</w:t>
            </w:r>
            <w:proofErr w:type="spellEnd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, 2011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Carers – psychological well-being, burden, social consequence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 xml:space="preserve">Quantitative 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1998- 2009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Elvish, 2013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 psychosocial wellbeing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 xml:space="preserve">Quantitative (studies that used random assignment) and qualitative 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2005-2011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Lins</w:t>
            </w:r>
            <w:proofErr w:type="spellEnd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, 2014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Depressive symptoms of carers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 – burden, distress, anxiety, quality of life, self-efficacy, satisfaction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PWD-institutionalisation, mood, quality of life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for efficacy (Randomised controlled trials or cross-over trials) and qualitative studies for experience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Up to 2013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Marim</w:t>
            </w:r>
            <w:proofErr w:type="spellEnd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, 2013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 xml:space="preserve">Carer- burden using the </w:t>
            </w:r>
            <w:proofErr w:type="spellStart"/>
            <w:r w:rsidRPr="007B3667">
              <w:rPr>
                <w:sz w:val="16"/>
                <w:szCs w:val="16"/>
              </w:rPr>
              <w:t>Zarit</w:t>
            </w:r>
            <w:proofErr w:type="spellEnd"/>
            <w:r w:rsidRPr="007B3667">
              <w:rPr>
                <w:sz w:val="16"/>
                <w:szCs w:val="16"/>
              </w:rPr>
              <w:t xml:space="preserve"> burden index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(Randomised controlled trials with blinded assessments)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Up to 2011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Olazaran</w:t>
            </w:r>
            <w:proofErr w:type="spellEnd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, 2010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Carer- mood, psychological well-being, objective burden, quality of life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PWD - cognition, activities of daily living, behaviour, mood, physical domain, quality of life, institutionalisation, restraint usage, mortality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Economic - cost-effectiveness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(Randomised controlled trials)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Up to 2008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i/>
                <w:iCs/>
                <w:sz w:val="16"/>
                <w:szCs w:val="16"/>
              </w:rPr>
            </w:pPr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Parker, 2008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 - health service utilisation, satisfaction with health service utilisation, psychological morbidity, quality of life, knowledge/ competence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PWD - health service utilisation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(Systematic review, meta-analyses, randomised controlled trials, quasi-experimental studies, cohort studies, case control studies &amp; observational studies without control groups)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2000-2005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Peacock, 2003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Carers - wellbeing, depression, strain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PWD - institutionalisation, healthcare expenditure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(Control group or pre-post design)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1992-2002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Pinquart</w:t>
            </w:r>
            <w:proofErr w:type="spellEnd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, 2006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Carers - Burden, depression, subjective well-being, ability/ knowledge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PWD - symptoms, institutionalisation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(Controlled studies)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1982-2005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Pusey, 2001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 - psychological health, physical health, quality of life (including perception of burden)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(Randomised controlled trials or controlled trials)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Up to 1999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Thompson, 2007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 – quality of life, physical and mental health, burden or satisfaction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PWD -  activities of daily living or behaviours, health service utilisation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Economic – time spent on caring activities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(Randomised controlled trials)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Up to 2005</w:t>
            </w:r>
          </w:p>
        </w:tc>
      </w:tr>
      <w:tr w:rsidR="00E805C7" w:rsidRPr="007B3667" w:rsidTr="00E678C2">
        <w:tc>
          <w:tcPr>
            <w:tcW w:w="42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5C7" w:rsidRPr="007B3667" w:rsidRDefault="00E805C7" w:rsidP="00E678C2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Vernooij-Dassen</w:t>
            </w:r>
            <w:proofErr w:type="spellEnd"/>
            <w:r w:rsidRPr="007B366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, 2011</w:t>
            </w:r>
          </w:p>
        </w:tc>
        <w:tc>
          <w:tcPr>
            <w:tcW w:w="1585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NS</w:t>
            </w:r>
          </w:p>
        </w:tc>
        <w:tc>
          <w:tcPr>
            <w:tcW w:w="5102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Carer - psychological morbidity and distress, quality of life, appraisal of performance</w:t>
            </w:r>
          </w:p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PWD - healthcare utilisation</w:t>
            </w:r>
          </w:p>
        </w:tc>
        <w:tc>
          <w:tcPr>
            <w:tcW w:w="3970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Quantitative (Randomised controlled trials)</w:t>
            </w:r>
          </w:p>
        </w:tc>
        <w:tc>
          <w:tcPr>
            <w:tcW w:w="1276" w:type="dxa"/>
          </w:tcPr>
          <w:p w:rsidR="00E805C7" w:rsidRPr="007B3667" w:rsidRDefault="00E805C7" w:rsidP="00E678C2">
            <w:pPr>
              <w:spacing w:line="276" w:lineRule="auto"/>
              <w:rPr>
                <w:sz w:val="16"/>
                <w:szCs w:val="16"/>
              </w:rPr>
            </w:pPr>
            <w:r w:rsidRPr="007B3667">
              <w:rPr>
                <w:sz w:val="16"/>
                <w:szCs w:val="16"/>
              </w:rPr>
              <w:t>Up to 2009</w:t>
            </w:r>
          </w:p>
        </w:tc>
      </w:tr>
    </w:tbl>
    <w:p w:rsidR="00E805C7" w:rsidRPr="007B3667" w:rsidRDefault="00E805C7" w:rsidP="00E805C7">
      <w:pPr>
        <w:spacing w:after="200" w:line="276" w:lineRule="auto"/>
        <w:rPr>
          <w:sz w:val="16"/>
        </w:rPr>
      </w:pPr>
      <w:r w:rsidRPr="007B3667">
        <w:rPr>
          <w:sz w:val="16"/>
        </w:rPr>
        <w:t xml:space="preserve">*NS= Not specified, ** primary outcomes only reported if so termed by original review authors </w:t>
      </w:r>
    </w:p>
    <w:p w:rsidR="00E805C7" w:rsidRDefault="00E805C7" w:rsidP="00E805C7"/>
    <w:p w:rsidR="00476600" w:rsidRDefault="00E805C7"/>
    <w:sectPr w:rsidR="00476600" w:rsidSect="007B36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39"/>
    <w:rsid w:val="003714BE"/>
    <w:rsid w:val="003E4F7C"/>
    <w:rsid w:val="004015C2"/>
    <w:rsid w:val="00B43437"/>
    <w:rsid w:val="00C13739"/>
    <w:rsid w:val="00E805C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DA8B-ED87-4034-96FA-AA093C9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739"/>
    <w:pPr>
      <w:spacing w:after="0" w:line="36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5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05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Dickinson</dc:creator>
  <cp:keywords/>
  <dc:description/>
  <cp:lastModifiedBy>Claire Dickinson</cp:lastModifiedBy>
  <cp:revision>3</cp:revision>
  <dcterms:created xsi:type="dcterms:W3CDTF">2016-07-29T11:59:00Z</dcterms:created>
  <dcterms:modified xsi:type="dcterms:W3CDTF">2016-07-29T12:01:00Z</dcterms:modified>
</cp:coreProperties>
</file>