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C43" w:rsidRDefault="00C34C43" w:rsidP="00E65E9E">
      <w:pPr>
        <w:spacing w:line="240" w:lineRule="auto"/>
        <w:jc w:val="both"/>
        <w:rPr>
          <w:rFonts w:ascii="Times New Roman" w:hAnsi="Times New Roman" w:cs="Times New Roman"/>
          <w:b/>
        </w:rPr>
      </w:pPr>
      <w:bookmarkStart w:id="0" w:name="_GoBack"/>
      <w:bookmarkEnd w:id="0"/>
    </w:p>
    <w:p w:rsidR="00E65E9E" w:rsidRPr="009D5E3D" w:rsidRDefault="00A3307E" w:rsidP="00E65E9E">
      <w:pPr>
        <w:spacing w:line="240" w:lineRule="auto"/>
        <w:jc w:val="both"/>
        <w:rPr>
          <w:rFonts w:ascii="Times New Roman" w:hAnsi="Times New Roman" w:cs="Times New Roman"/>
          <w:b/>
        </w:rPr>
      </w:pPr>
      <w:r>
        <w:rPr>
          <w:rFonts w:ascii="Times New Roman" w:hAnsi="Times New Roman" w:cs="Times New Roman"/>
          <w:b/>
        </w:rPr>
        <w:t xml:space="preserve">Table S3 </w:t>
      </w:r>
      <w:r w:rsidR="00E65E9E" w:rsidRPr="009D5E3D">
        <w:rPr>
          <w:rFonts w:ascii="Times New Roman" w:hAnsi="Times New Roman" w:cs="Times New Roman"/>
          <w:b/>
        </w:rPr>
        <w:t>- Characteristics of the instruments used to measure ageism and components of ageism (quantitative studies)</w:t>
      </w:r>
    </w:p>
    <w:tbl>
      <w:tblPr>
        <w:tblStyle w:val="Tabelacomgrelha"/>
        <w:tblW w:w="875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59"/>
        <w:gridCol w:w="1559"/>
        <w:gridCol w:w="2126"/>
        <w:gridCol w:w="1843"/>
        <w:gridCol w:w="2268"/>
      </w:tblGrid>
      <w:tr w:rsidR="00E65E9E" w:rsidRPr="009D5E3D" w:rsidTr="008D70A9">
        <w:tc>
          <w:tcPr>
            <w:tcW w:w="959" w:type="dxa"/>
          </w:tcPr>
          <w:p w:rsidR="00E65E9E" w:rsidRPr="009D5E3D" w:rsidRDefault="00AA3A3B" w:rsidP="00B85753">
            <w:pPr>
              <w:rPr>
                <w:rFonts w:ascii="Times New Roman" w:hAnsi="Times New Roman" w:cs="Times New Roman"/>
                <w:sz w:val="20"/>
                <w:szCs w:val="20"/>
              </w:rPr>
            </w:pPr>
            <w:r w:rsidRPr="009D5E3D">
              <w:rPr>
                <w:rFonts w:ascii="Times New Roman" w:hAnsi="Times New Roman" w:cs="Times New Roman"/>
                <w:sz w:val="20"/>
                <w:szCs w:val="20"/>
              </w:rPr>
              <w:t>Number of the article</w:t>
            </w:r>
          </w:p>
        </w:tc>
        <w:tc>
          <w:tcPr>
            <w:tcW w:w="1559" w:type="dxa"/>
          </w:tcPr>
          <w:p w:rsidR="00E65E9E" w:rsidRPr="009D5E3D" w:rsidRDefault="00E65E9E" w:rsidP="00B637BF">
            <w:pPr>
              <w:jc w:val="center"/>
              <w:rPr>
                <w:rFonts w:ascii="Times New Roman" w:hAnsi="Times New Roman" w:cs="Times New Roman"/>
                <w:sz w:val="20"/>
                <w:szCs w:val="20"/>
              </w:rPr>
            </w:pPr>
            <w:r w:rsidRPr="009D5E3D">
              <w:rPr>
                <w:rFonts w:ascii="Times New Roman" w:hAnsi="Times New Roman" w:cs="Times New Roman"/>
                <w:sz w:val="20"/>
                <w:szCs w:val="20"/>
              </w:rPr>
              <w:t>Instrument used to collect data</w:t>
            </w:r>
          </w:p>
        </w:tc>
        <w:tc>
          <w:tcPr>
            <w:tcW w:w="2126"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Factors/dimensions included in the instrument</w:t>
            </w:r>
          </w:p>
        </w:tc>
        <w:tc>
          <w:tcPr>
            <w:tcW w:w="1843"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Factors/dimen</w:t>
            </w:r>
            <w:r w:rsidR="00574110" w:rsidRPr="009D5E3D">
              <w:rPr>
                <w:rFonts w:ascii="Times New Roman" w:hAnsi="Times New Roman" w:cs="Times New Roman"/>
                <w:sz w:val="20"/>
                <w:szCs w:val="20"/>
              </w:rPr>
              <w:t>-</w:t>
            </w:r>
            <w:r w:rsidRPr="009D5E3D">
              <w:rPr>
                <w:rFonts w:ascii="Times New Roman" w:hAnsi="Times New Roman" w:cs="Times New Roman"/>
                <w:sz w:val="20"/>
                <w:szCs w:val="20"/>
              </w:rPr>
              <w:t>sions included in the study</w:t>
            </w:r>
          </w:p>
        </w:tc>
        <w:tc>
          <w:tcPr>
            <w:tcW w:w="2268"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Components of ageism covered by the included factors/dimensions</w:t>
            </w:r>
          </w:p>
        </w:tc>
      </w:tr>
      <w:tr w:rsidR="00E65E9E" w:rsidRPr="009D5E3D" w:rsidTr="008D70A9">
        <w:tc>
          <w:tcPr>
            <w:tcW w:w="959" w:type="dxa"/>
          </w:tcPr>
          <w:p w:rsidR="00E65E9E" w:rsidRPr="009D5E3D" w:rsidRDefault="00AA3A3B" w:rsidP="00AA3A3B">
            <w:pPr>
              <w:jc w:val="center"/>
              <w:rPr>
                <w:rFonts w:ascii="Times New Roman" w:hAnsi="Times New Roman" w:cs="Times New Roman"/>
                <w:sz w:val="20"/>
                <w:szCs w:val="20"/>
              </w:rPr>
            </w:pPr>
            <w:r w:rsidRPr="009D5E3D">
              <w:rPr>
                <w:rFonts w:ascii="Times New Roman" w:hAnsi="Times New Roman" w:cs="Times New Roman"/>
                <w:sz w:val="20"/>
                <w:szCs w:val="20"/>
              </w:rPr>
              <w:t>4</w:t>
            </w:r>
          </w:p>
        </w:tc>
        <w:tc>
          <w:tcPr>
            <w:tcW w:w="1559" w:type="dxa"/>
          </w:tcPr>
          <w:p w:rsidR="00E65E9E" w:rsidRPr="009D5E3D" w:rsidRDefault="00E65E9E" w:rsidP="00B637BF">
            <w:pPr>
              <w:autoSpaceDE w:val="0"/>
              <w:autoSpaceDN w:val="0"/>
              <w:adjustRightInd w:val="0"/>
              <w:rPr>
                <w:rFonts w:ascii="Times New Roman" w:hAnsi="Times New Roman" w:cs="Times New Roman"/>
                <w:sz w:val="20"/>
                <w:szCs w:val="20"/>
              </w:rPr>
            </w:pPr>
            <w:proofErr w:type="spellStart"/>
            <w:r w:rsidRPr="009D5E3D">
              <w:rPr>
                <w:rFonts w:ascii="Times New Roman" w:hAnsi="Times New Roman" w:cs="Times New Roman"/>
                <w:sz w:val="20"/>
                <w:szCs w:val="20"/>
              </w:rPr>
              <w:t>Fraboni</w:t>
            </w:r>
            <w:proofErr w:type="spellEnd"/>
            <w:r w:rsidRPr="009D5E3D">
              <w:rPr>
                <w:rFonts w:ascii="Times New Roman" w:hAnsi="Times New Roman" w:cs="Times New Roman"/>
                <w:sz w:val="20"/>
                <w:szCs w:val="20"/>
              </w:rPr>
              <w:t xml:space="preserve"> Scale of Ageism (1990)</w:t>
            </w:r>
          </w:p>
        </w:tc>
        <w:tc>
          <w:tcPr>
            <w:tcW w:w="2126" w:type="dxa"/>
          </w:tcPr>
          <w:p w:rsidR="00E65E9E" w:rsidRPr="009D5E3D" w:rsidRDefault="00E65E9E" w:rsidP="00B637BF">
            <w:pPr>
              <w:autoSpaceDE w:val="0"/>
              <w:autoSpaceDN w:val="0"/>
              <w:adjustRightInd w:val="0"/>
              <w:rPr>
                <w:rFonts w:ascii="Times New Roman" w:hAnsi="Times New Roman" w:cs="Times New Roman"/>
                <w:sz w:val="20"/>
                <w:szCs w:val="20"/>
              </w:rPr>
            </w:pPr>
            <w:proofErr w:type="spellStart"/>
            <w:r w:rsidRPr="009D5E3D">
              <w:rPr>
                <w:rFonts w:ascii="Times New Roman" w:hAnsi="Times New Roman" w:cs="Times New Roman"/>
                <w:sz w:val="20"/>
                <w:szCs w:val="20"/>
              </w:rPr>
              <w:t>Antilocution</w:t>
            </w:r>
            <w:proofErr w:type="spellEnd"/>
            <w:r w:rsidRPr="009D5E3D">
              <w:rPr>
                <w:rFonts w:ascii="Times New Roman" w:hAnsi="Times New Roman" w:cs="Times New Roman"/>
                <w:sz w:val="20"/>
                <w:szCs w:val="20"/>
              </w:rPr>
              <w:t xml:space="preserve"> </w:t>
            </w:r>
          </w:p>
          <w:p w:rsidR="00E65E9E" w:rsidRPr="009D5E3D" w:rsidRDefault="00E65E9E" w:rsidP="00B637BF">
            <w:pPr>
              <w:autoSpaceDE w:val="0"/>
              <w:autoSpaceDN w:val="0"/>
              <w:adjustRightInd w:val="0"/>
              <w:rPr>
                <w:rFonts w:ascii="Times New Roman" w:hAnsi="Times New Roman" w:cs="Times New Roman"/>
                <w:sz w:val="20"/>
                <w:szCs w:val="20"/>
              </w:rPr>
            </w:pPr>
            <w:r w:rsidRPr="009D5E3D">
              <w:rPr>
                <w:rFonts w:ascii="Times New Roman" w:hAnsi="Times New Roman" w:cs="Times New Roman"/>
                <w:sz w:val="20"/>
                <w:szCs w:val="20"/>
              </w:rPr>
              <w:t>Discrimination</w:t>
            </w:r>
          </w:p>
          <w:p w:rsidR="00E65E9E" w:rsidRPr="009D5E3D" w:rsidRDefault="00E65E9E" w:rsidP="00B637BF">
            <w:pPr>
              <w:rPr>
                <w:rFonts w:ascii="Times New Roman" w:hAnsi="Times New Roman" w:cs="Times New Roman"/>
                <w:sz w:val="20"/>
                <w:szCs w:val="20"/>
              </w:rPr>
            </w:pPr>
            <w:proofErr w:type="spellStart"/>
            <w:r w:rsidRPr="009D5E3D">
              <w:rPr>
                <w:rFonts w:ascii="Times New Roman" w:hAnsi="Times New Roman" w:cs="Times New Roman"/>
                <w:sz w:val="20"/>
                <w:szCs w:val="20"/>
              </w:rPr>
              <w:t>Avoidance</w:t>
            </w:r>
            <w:r w:rsidRPr="009D5E3D">
              <w:rPr>
                <w:rFonts w:ascii="Times New Roman" w:hAnsi="Times New Roman" w:cs="Times New Roman"/>
                <w:sz w:val="20"/>
                <w:szCs w:val="20"/>
                <w:vertAlign w:val="superscript"/>
              </w:rPr>
              <w:t>a</w:t>
            </w:r>
            <w:proofErr w:type="spellEnd"/>
          </w:p>
        </w:tc>
        <w:tc>
          <w:tcPr>
            <w:tcW w:w="1843" w:type="dxa"/>
          </w:tcPr>
          <w:p w:rsidR="00E65E9E" w:rsidRPr="009D5E3D" w:rsidRDefault="00E65E9E" w:rsidP="00B637BF">
            <w:pPr>
              <w:autoSpaceDE w:val="0"/>
              <w:autoSpaceDN w:val="0"/>
              <w:adjustRightInd w:val="0"/>
              <w:rPr>
                <w:rFonts w:ascii="Times New Roman" w:hAnsi="Times New Roman" w:cs="Times New Roman"/>
                <w:sz w:val="20"/>
                <w:szCs w:val="20"/>
              </w:rPr>
            </w:pPr>
            <w:r w:rsidRPr="009D5E3D">
              <w:rPr>
                <w:rFonts w:ascii="Times New Roman" w:hAnsi="Times New Roman" w:cs="Times New Roman"/>
                <w:sz w:val="20"/>
                <w:szCs w:val="20"/>
              </w:rPr>
              <w:t xml:space="preserve">Intergenerational factor (it corresponds mainly to the avoidance factor) </w:t>
            </w:r>
          </w:p>
        </w:tc>
        <w:tc>
          <w:tcPr>
            <w:tcW w:w="2268"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Affective</w:t>
            </w:r>
          </w:p>
          <w:p w:rsidR="002518C1"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Self-directed</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Explicit</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Positive</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Negative</w:t>
            </w:r>
          </w:p>
        </w:tc>
      </w:tr>
      <w:tr w:rsidR="00E65E9E" w:rsidRPr="009D5E3D" w:rsidTr="008D70A9">
        <w:tc>
          <w:tcPr>
            <w:tcW w:w="959" w:type="dxa"/>
          </w:tcPr>
          <w:p w:rsidR="00E65E9E" w:rsidRPr="009D5E3D" w:rsidRDefault="00AA3A3B" w:rsidP="00AA3A3B">
            <w:pPr>
              <w:jc w:val="center"/>
              <w:rPr>
                <w:rFonts w:ascii="Times New Roman" w:hAnsi="Times New Roman" w:cs="Times New Roman"/>
                <w:sz w:val="20"/>
                <w:szCs w:val="20"/>
              </w:rPr>
            </w:pPr>
            <w:r w:rsidRPr="009D5E3D">
              <w:rPr>
                <w:rFonts w:ascii="Times New Roman" w:hAnsi="Times New Roman" w:cs="Times New Roman"/>
                <w:sz w:val="20"/>
                <w:szCs w:val="20"/>
              </w:rPr>
              <w:t>8</w:t>
            </w:r>
          </w:p>
        </w:tc>
        <w:tc>
          <w:tcPr>
            <w:tcW w:w="1559" w:type="dxa"/>
          </w:tcPr>
          <w:p w:rsidR="00E65E9E" w:rsidRPr="009D5E3D" w:rsidRDefault="00E65E9E" w:rsidP="00B637BF">
            <w:pPr>
              <w:autoSpaceDE w:val="0"/>
              <w:autoSpaceDN w:val="0"/>
              <w:adjustRightInd w:val="0"/>
              <w:rPr>
                <w:rFonts w:ascii="Times New Roman" w:hAnsi="Times New Roman" w:cs="Times New Roman"/>
                <w:sz w:val="20"/>
                <w:szCs w:val="20"/>
              </w:rPr>
            </w:pPr>
            <w:r w:rsidRPr="009D5E3D">
              <w:rPr>
                <w:rFonts w:ascii="Times New Roman" w:hAnsi="Times New Roman" w:cs="Times New Roman"/>
                <w:sz w:val="20"/>
                <w:szCs w:val="20"/>
              </w:rPr>
              <w:t xml:space="preserve">Thompson List of Ageist Assumptions (Thompson 2006) </w:t>
            </w:r>
          </w:p>
        </w:tc>
        <w:tc>
          <w:tcPr>
            <w:tcW w:w="2126"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Not organised by factors/dimensions; All the instrument’s statements measure negative stereotypes</w:t>
            </w:r>
          </w:p>
        </w:tc>
        <w:tc>
          <w:tcPr>
            <w:tcW w:w="1843"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All of the instrument’s statements were used</w:t>
            </w:r>
          </w:p>
        </w:tc>
        <w:tc>
          <w:tcPr>
            <w:tcW w:w="2268"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Cognitive</w:t>
            </w:r>
          </w:p>
          <w:p w:rsidR="00E65E9E" w:rsidRPr="009D5E3D" w:rsidRDefault="00666274" w:rsidP="00B637BF">
            <w:pPr>
              <w:rPr>
                <w:rFonts w:ascii="Times New Roman" w:hAnsi="Times New Roman" w:cs="Times New Roman"/>
                <w:sz w:val="20"/>
                <w:szCs w:val="20"/>
              </w:rPr>
            </w:pPr>
            <w:r w:rsidRPr="009D5E3D">
              <w:rPr>
                <w:rFonts w:ascii="Times New Roman" w:hAnsi="Times New Roman" w:cs="Times New Roman"/>
                <w:sz w:val="20"/>
                <w:szCs w:val="20"/>
              </w:rPr>
              <w:t>Other</w:t>
            </w:r>
            <w:r w:rsidR="00E65E9E" w:rsidRPr="009D5E3D">
              <w:rPr>
                <w:rFonts w:ascii="Times New Roman" w:hAnsi="Times New Roman" w:cs="Times New Roman"/>
                <w:sz w:val="20"/>
                <w:szCs w:val="20"/>
              </w:rPr>
              <w:t>-directed</w:t>
            </w:r>
          </w:p>
          <w:p w:rsidR="00A0317D" w:rsidRPr="009D5E3D" w:rsidRDefault="00A0317D" w:rsidP="00B637BF">
            <w:pPr>
              <w:rPr>
                <w:rFonts w:ascii="Times New Roman" w:hAnsi="Times New Roman" w:cs="Times New Roman"/>
                <w:sz w:val="20"/>
                <w:szCs w:val="20"/>
              </w:rPr>
            </w:pPr>
            <w:r w:rsidRPr="009D5E3D">
              <w:rPr>
                <w:rFonts w:ascii="Times New Roman" w:hAnsi="Times New Roman" w:cs="Times New Roman"/>
                <w:sz w:val="20"/>
                <w:szCs w:val="20"/>
              </w:rPr>
              <w:t>Institutional and cultural</w:t>
            </w:r>
            <w:r w:rsidR="00574110" w:rsidRPr="009D5E3D">
              <w:rPr>
                <w:rFonts w:ascii="Times New Roman" w:hAnsi="Times New Roman" w:cs="Times New Roman"/>
                <w:sz w:val="20"/>
                <w:szCs w:val="20"/>
              </w:rPr>
              <w:t xml:space="preserve"> (behavioural)</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Explicit</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Negative</w:t>
            </w:r>
          </w:p>
        </w:tc>
      </w:tr>
      <w:tr w:rsidR="00E65E9E" w:rsidRPr="009D5E3D" w:rsidTr="008D70A9">
        <w:tc>
          <w:tcPr>
            <w:tcW w:w="959" w:type="dxa"/>
          </w:tcPr>
          <w:p w:rsidR="00E65E9E" w:rsidRPr="009D5E3D" w:rsidRDefault="00AA3A3B" w:rsidP="00AA3A3B">
            <w:pPr>
              <w:jc w:val="center"/>
              <w:rPr>
                <w:rFonts w:ascii="Times New Roman" w:hAnsi="Times New Roman" w:cs="Times New Roman"/>
                <w:sz w:val="20"/>
                <w:szCs w:val="20"/>
              </w:rPr>
            </w:pPr>
            <w:r w:rsidRPr="009D5E3D">
              <w:rPr>
                <w:rFonts w:ascii="Times New Roman" w:hAnsi="Times New Roman" w:cs="Times New Roman"/>
                <w:sz w:val="20"/>
                <w:szCs w:val="20"/>
              </w:rPr>
              <w:t>10</w:t>
            </w:r>
          </w:p>
        </w:tc>
        <w:tc>
          <w:tcPr>
            <w:tcW w:w="1559" w:type="dxa"/>
          </w:tcPr>
          <w:p w:rsidR="00E65E9E" w:rsidRPr="009D5E3D" w:rsidRDefault="00E65E9E" w:rsidP="00B637BF">
            <w:pPr>
              <w:rPr>
                <w:rFonts w:ascii="Times New Roman" w:hAnsi="Times New Roman" w:cs="Times New Roman"/>
                <w:sz w:val="20"/>
                <w:szCs w:val="20"/>
              </w:rPr>
            </w:pPr>
            <w:proofErr w:type="spellStart"/>
            <w:r w:rsidRPr="009D5E3D">
              <w:rPr>
                <w:rFonts w:ascii="Times New Roman" w:hAnsi="Times New Roman" w:cs="Times New Roman"/>
                <w:sz w:val="20"/>
                <w:szCs w:val="20"/>
              </w:rPr>
              <w:t>Fraboni</w:t>
            </w:r>
            <w:proofErr w:type="spellEnd"/>
            <w:r w:rsidRPr="009D5E3D">
              <w:rPr>
                <w:rFonts w:ascii="Times New Roman" w:hAnsi="Times New Roman" w:cs="Times New Roman"/>
                <w:sz w:val="20"/>
                <w:szCs w:val="20"/>
              </w:rPr>
              <w:t xml:space="preserve"> Scale of Ageism (1990),</w:t>
            </w:r>
            <w:r w:rsidRPr="009D5E3D">
              <w:rPr>
                <w:rFonts w:ascii="Times New Roman" w:eastAsia="Palatino-Italic" w:hAnsi="Times New Roman" w:cs="Times New Roman"/>
                <w:sz w:val="20"/>
                <w:szCs w:val="20"/>
              </w:rPr>
              <w:t xml:space="preserve"> validated to French by</w:t>
            </w:r>
            <w:r w:rsidRPr="009D5E3D">
              <w:rPr>
                <w:rFonts w:ascii="Times New Roman" w:hAnsi="Times New Roman" w:cs="Times New Roman"/>
                <w:sz w:val="20"/>
                <w:szCs w:val="20"/>
              </w:rPr>
              <w:t xml:space="preserve"> </w:t>
            </w:r>
            <w:proofErr w:type="spellStart"/>
            <w:r w:rsidRPr="009D5E3D">
              <w:rPr>
                <w:rFonts w:ascii="Times New Roman" w:eastAsia="Palatino-Italic" w:hAnsi="Times New Roman" w:cs="Times New Roman"/>
                <w:sz w:val="20"/>
                <w:szCs w:val="20"/>
              </w:rPr>
              <w:t>Boudjemad</w:t>
            </w:r>
            <w:proofErr w:type="spellEnd"/>
            <w:r w:rsidRPr="009D5E3D">
              <w:rPr>
                <w:rFonts w:ascii="Times New Roman" w:eastAsia="Palatino-Italic" w:hAnsi="Times New Roman" w:cs="Times New Roman"/>
                <w:sz w:val="20"/>
                <w:szCs w:val="20"/>
              </w:rPr>
              <w:t xml:space="preserve"> and </w:t>
            </w:r>
            <w:proofErr w:type="spellStart"/>
            <w:r w:rsidRPr="009D5E3D">
              <w:rPr>
                <w:rFonts w:ascii="Times New Roman" w:eastAsia="Palatino-Italic" w:hAnsi="Times New Roman" w:cs="Times New Roman"/>
                <w:sz w:val="20"/>
                <w:szCs w:val="20"/>
              </w:rPr>
              <w:t>Gana</w:t>
            </w:r>
            <w:proofErr w:type="spellEnd"/>
            <w:r w:rsidRPr="009D5E3D">
              <w:rPr>
                <w:rFonts w:ascii="Times New Roman" w:eastAsia="Palatino-Italic" w:hAnsi="Times New Roman" w:cs="Times New Roman"/>
                <w:sz w:val="20"/>
                <w:szCs w:val="20"/>
              </w:rPr>
              <w:t xml:space="preserve"> (2009)</w:t>
            </w:r>
          </w:p>
        </w:tc>
        <w:tc>
          <w:tcPr>
            <w:tcW w:w="2126" w:type="dxa"/>
          </w:tcPr>
          <w:p w:rsidR="00E65E9E" w:rsidRPr="009D5E3D" w:rsidRDefault="00E65E9E" w:rsidP="00B637BF">
            <w:pPr>
              <w:autoSpaceDE w:val="0"/>
              <w:autoSpaceDN w:val="0"/>
              <w:adjustRightInd w:val="0"/>
              <w:rPr>
                <w:rFonts w:ascii="Times New Roman" w:hAnsi="Times New Roman" w:cs="Times New Roman"/>
                <w:sz w:val="20"/>
                <w:szCs w:val="20"/>
              </w:rPr>
            </w:pPr>
            <w:proofErr w:type="spellStart"/>
            <w:r w:rsidRPr="009D5E3D">
              <w:rPr>
                <w:rFonts w:ascii="Times New Roman" w:hAnsi="Times New Roman" w:cs="Times New Roman"/>
                <w:sz w:val="20"/>
                <w:szCs w:val="20"/>
              </w:rPr>
              <w:t>Antilocution</w:t>
            </w:r>
            <w:proofErr w:type="spellEnd"/>
            <w:r w:rsidRPr="009D5E3D">
              <w:rPr>
                <w:rFonts w:ascii="Times New Roman" w:hAnsi="Times New Roman" w:cs="Times New Roman"/>
                <w:sz w:val="20"/>
                <w:szCs w:val="20"/>
              </w:rPr>
              <w:t xml:space="preserve">; </w:t>
            </w:r>
          </w:p>
          <w:p w:rsidR="00E65E9E" w:rsidRPr="009D5E3D" w:rsidRDefault="00E65E9E" w:rsidP="00B637BF">
            <w:pPr>
              <w:autoSpaceDE w:val="0"/>
              <w:autoSpaceDN w:val="0"/>
              <w:adjustRightInd w:val="0"/>
              <w:rPr>
                <w:rFonts w:ascii="Times New Roman" w:hAnsi="Times New Roman" w:cs="Times New Roman"/>
                <w:sz w:val="20"/>
                <w:szCs w:val="20"/>
              </w:rPr>
            </w:pPr>
            <w:r w:rsidRPr="009D5E3D">
              <w:rPr>
                <w:rFonts w:ascii="Times New Roman" w:hAnsi="Times New Roman" w:cs="Times New Roman"/>
                <w:sz w:val="20"/>
                <w:szCs w:val="20"/>
              </w:rPr>
              <w:t>Discrimination;</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Avoidance</w:t>
            </w:r>
          </w:p>
        </w:tc>
        <w:tc>
          <w:tcPr>
            <w:tcW w:w="1843" w:type="dxa"/>
          </w:tcPr>
          <w:p w:rsidR="00E65E9E" w:rsidRPr="009D5E3D" w:rsidRDefault="00E65E9E" w:rsidP="00B637BF">
            <w:pPr>
              <w:autoSpaceDE w:val="0"/>
              <w:autoSpaceDN w:val="0"/>
              <w:adjustRightInd w:val="0"/>
              <w:rPr>
                <w:rFonts w:ascii="Times New Roman" w:hAnsi="Times New Roman" w:cs="Times New Roman"/>
                <w:sz w:val="20"/>
                <w:szCs w:val="20"/>
              </w:rPr>
            </w:pPr>
            <w:r w:rsidRPr="009D5E3D">
              <w:rPr>
                <w:rFonts w:ascii="Times New Roman" w:hAnsi="Times New Roman" w:cs="Times New Roman"/>
                <w:sz w:val="20"/>
                <w:szCs w:val="20"/>
              </w:rPr>
              <w:t>All</w:t>
            </w:r>
          </w:p>
        </w:tc>
        <w:tc>
          <w:tcPr>
            <w:tcW w:w="2268"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Cognitive</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Affective</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Behavioural</w:t>
            </w:r>
          </w:p>
          <w:p w:rsidR="00E65E9E" w:rsidRPr="009D5E3D" w:rsidRDefault="00666274" w:rsidP="00B637BF">
            <w:pPr>
              <w:rPr>
                <w:rFonts w:ascii="Times New Roman" w:hAnsi="Times New Roman" w:cs="Times New Roman"/>
                <w:sz w:val="20"/>
                <w:szCs w:val="20"/>
              </w:rPr>
            </w:pPr>
            <w:r w:rsidRPr="009D5E3D">
              <w:rPr>
                <w:rFonts w:ascii="Times New Roman" w:hAnsi="Times New Roman" w:cs="Times New Roman"/>
                <w:sz w:val="20"/>
                <w:szCs w:val="20"/>
              </w:rPr>
              <w:t>Other</w:t>
            </w:r>
            <w:r w:rsidR="00E65E9E" w:rsidRPr="009D5E3D">
              <w:rPr>
                <w:rFonts w:ascii="Times New Roman" w:hAnsi="Times New Roman" w:cs="Times New Roman"/>
                <w:sz w:val="20"/>
                <w:szCs w:val="20"/>
              </w:rPr>
              <w:t>-directed</w:t>
            </w:r>
          </w:p>
          <w:p w:rsidR="002518C1" w:rsidRPr="009D5E3D" w:rsidRDefault="002518C1" w:rsidP="00B637BF">
            <w:pPr>
              <w:rPr>
                <w:rFonts w:ascii="Times New Roman" w:hAnsi="Times New Roman" w:cs="Times New Roman"/>
                <w:sz w:val="20"/>
                <w:szCs w:val="20"/>
              </w:rPr>
            </w:pPr>
            <w:r w:rsidRPr="009D5E3D">
              <w:rPr>
                <w:rFonts w:ascii="Times New Roman" w:hAnsi="Times New Roman" w:cs="Times New Roman"/>
                <w:sz w:val="20"/>
                <w:szCs w:val="20"/>
              </w:rPr>
              <w:t xml:space="preserve">Corporate and </w:t>
            </w:r>
            <w:proofErr w:type="spellStart"/>
            <w:r w:rsidRPr="009D5E3D">
              <w:rPr>
                <w:rFonts w:ascii="Times New Roman" w:hAnsi="Times New Roman" w:cs="Times New Roman"/>
                <w:sz w:val="20"/>
                <w:szCs w:val="20"/>
              </w:rPr>
              <w:t>categoric</w:t>
            </w:r>
            <w:proofErr w:type="spellEnd"/>
            <w:r w:rsidR="00574110" w:rsidRPr="009D5E3D">
              <w:rPr>
                <w:rFonts w:ascii="Times New Roman" w:hAnsi="Times New Roman" w:cs="Times New Roman"/>
                <w:sz w:val="20"/>
                <w:szCs w:val="20"/>
              </w:rPr>
              <w:t xml:space="preserve"> (behavioural)</w:t>
            </w:r>
          </w:p>
          <w:p w:rsidR="002518C1" w:rsidRPr="009D5E3D" w:rsidRDefault="002518C1" w:rsidP="00B637BF">
            <w:pPr>
              <w:rPr>
                <w:rFonts w:ascii="Times New Roman" w:hAnsi="Times New Roman" w:cs="Times New Roman"/>
                <w:sz w:val="20"/>
                <w:szCs w:val="20"/>
              </w:rPr>
            </w:pPr>
            <w:r w:rsidRPr="009D5E3D">
              <w:rPr>
                <w:rFonts w:ascii="Times New Roman" w:hAnsi="Times New Roman" w:cs="Times New Roman"/>
                <w:sz w:val="20"/>
                <w:szCs w:val="20"/>
              </w:rPr>
              <w:t>Institutional and cultural</w:t>
            </w:r>
            <w:r w:rsidR="00574110" w:rsidRPr="009D5E3D">
              <w:rPr>
                <w:rFonts w:ascii="Times New Roman" w:hAnsi="Times New Roman" w:cs="Times New Roman"/>
                <w:sz w:val="20"/>
                <w:szCs w:val="20"/>
              </w:rPr>
              <w:t xml:space="preserve"> (behavioural)</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Explicit</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Positive</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Negative</w:t>
            </w:r>
          </w:p>
        </w:tc>
      </w:tr>
      <w:tr w:rsidR="00E65E9E" w:rsidRPr="009D5E3D" w:rsidTr="008D70A9">
        <w:tc>
          <w:tcPr>
            <w:tcW w:w="959" w:type="dxa"/>
          </w:tcPr>
          <w:p w:rsidR="00E65E9E" w:rsidRPr="009D5E3D" w:rsidRDefault="00AA3A3B" w:rsidP="00AA3A3B">
            <w:pPr>
              <w:jc w:val="center"/>
              <w:rPr>
                <w:rFonts w:ascii="Times New Roman" w:hAnsi="Times New Roman" w:cs="Times New Roman"/>
                <w:sz w:val="20"/>
                <w:szCs w:val="20"/>
              </w:rPr>
            </w:pPr>
            <w:r w:rsidRPr="009D5E3D">
              <w:rPr>
                <w:rFonts w:ascii="Times New Roman" w:hAnsi="Times New Roman" w:cs="Times New Roman"/>
                <w:sz w:val="20"/>
                <w:szCs w:val="20"/>
              </w:rPr>
              <w:t>13</w:t>
            </w:r>
          </w:p>
        </w:tc>
        <w:tc>
          <w:tcPr>
            <w:tcW w:w="1559"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Attitudes Towards Older People Scale (</w:t>
            </w:r>
            <w:proofErr w:type="spellStart"/>
            <w:r w:rsidRPr="009D5E3D">
              <w:rPr>
                <w:rFonts w:ascii="Times New Roman" w:hAnsi="Times New Roman" w:cs="Times New Roman"/>
                <w:sz w:val="20"/>
                <w:szCs w:val="20"/>
              </w:rPr>
              <w:t>Kogan</w:t>
            </w:r>
            <w:proofErr w:type="spellEnd"/>
            <w:r w:rsidRPr="009D5E3D">
              <w:rPr>
                <w:rFonts w:ascii="Times New Roman" w:hAnsi="Times New Roman" w:cs="Times New Roman"/>
                <w:sz w:val="20"/>
                <w:szCs w:val="20"/>
              </w:rPr>
              <w:t xml:space="preserve"> 1961)</w:t>
            </w:r>
          </w:p>
          <w:p w:rsidR="00E65E9E" w:rsidRPr="009D5E3D" w:rsidRDefault="00E65E9E" w:rsidP="00B637BF">
            <w:pPr>
              <w:rPr>
                <w:rFonts w:ascii="Times New Roman" w:hAnsi="Times New Roman" w:cs="Times New Roman"/>
                <w:sz w:val="20"/>
                <w:szCs w:val="20"/>
              </w:rPr>
            </w:pPr>
          </w:p>
          <w:p w:rsidR="00E65E9E" w:rsidRPr="009D5E3D" w:rsidRDefault="00E65E9E" w:rsidP="00B637BF">
            <w:pPr>
              <w:rPr>
                <w:rFonts w:ascii="Times New Roman" w:hAnsi="Times New Roman" w:cs="Times New Roman"/>
                <w:sz w:val="20"/>
                <w:szCs w:val="20"/>
              </w:rPr>
            </w:pPr>
          </w:p>
        </w:tc>
        <w:tc>
          <w:tcPr>
            <w:tcW w:w="2126"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Not organised by factors/dimension; The instrument’s statements measure explicit stereotypes and prejudices, both positive and negative</w:t>
            </w:r>
          </w:p>
        </w:tc>
        <w:tc>
          <w:tcPr>
            <w:tcW w:w="1843" w:type="dxa"/>
          </w:tcPr>
          <w:p w:rsidR="00E65E9E" w:rsidRPr="009D5E3D" w:rsidRDefault="00E65E9E" w:rsidP="00B637BF">
            <w:pPr>
              <w:jc w:val="both"/>
              <w:rPr>
                <w:rFonts w:ascii="Times New Roman" w:hAnsi="Times New Roman" w:cs="Times New Roman"/>
                <w:sz w:val="20"/>
                <w:szCs w:val="20"/>
              </w:rPr>
            </w:pPr>
            <w:r w:rsidRPr="009D5E3D">
              <w:rPr>
                <w:rFonts w:ascii="Times New Roman" w:hAnsi="Times New Roman" w:cs="Times New Roman"/>
                <w:sz w:val="20"/>
                <w:szCs w:val="20"/>
              </w:rPr>
              <w:t>The authors report that the scale was used partially but they do not explicitly indicate which statements were used</w:t>
            </w:r>
          </w:p>
          <w:p w:rsidR="00E65E9E" w:rsidRPr="009D5E3D" w:rsidRDefault="00E65E9E" w:rsidP="00B637BF">
            <w:pPr>
              <w:rPr>
                <w:rFonts w:ascii="Times New Roman" w:hAnsi="Times New Roman" w:cs="Times New Roman"/>
                <w:sz w:val="20"/>
                <w:szCs w:val="20"/>
              </w:rPr>
            </w:pPr>
          </w:p>
        </w:tc>
        <w:tc>
          <w:tcPr>
            <w:tcW w:w="2268"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Cognitive</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Affective</w:t>
            </w:r>
          </w:p>
          <w:p w:rsidR="00E65E9E" w:rsidRPr="009D5E3D" w:rsidRDefault="00666274" w:rsidP="00B637BF">
            <w:pPr>
              <w:rPr>
                <w:rFonts w:ascii="Times New Roman" w:hAnsi="Times New Roman" w:cs="Times New Roman"/>
                <w:sz w:val="20"/>
                <w:szCs w:val="20"/>
              </w:rPr>
            </w:pPr>
            <w:r w:rsidRPr="009D5E3D">
              <w:rPr>
                <w:rFonts w:ascii="Times New Roman" w:hAnsi="Times New Roman" w:cs="Times New Roman"/>
                <w:sz w:val="20"/>
                <w:szCs w:val="20"/>
              </w:rPr>
              <w:t>Other</w:t>
            </w:r>
            <w:r w:rsidR="00E65E9E" w:rsidRPr="009D5E3D">
              <w:rPr>
                <w:rFonts w:ascii="Times New Roman" w:hAnsi="Times New Roman" w:cs="Times New Roman"/>
                <w:sz w:val="20"/>
                <w:szCs w:val="20"/>
              </w:rPr>
              <w:t>-directed</w:t>
            </w:r>
          </w:p>
          <w:p w:rsidR="002518C1" w:rsidRPr="009D5E3D" w:rsidRDefault="002518C1" w:rsidP="00B637BF">
            <w:pPr>
              <w:rPr>
                <w:rFonts w:ascii="Times New Roman" w:hAnsi="Times New Roman" w:cs="Times New Roman"/>
                <w:sz w:val="20"/>
                <w:szCs w:val="20"/>
              </w:rPr>
            </w:pPr>
            <w:r w:rsidRPr="009D5E3D">
              <w:rPr>
                <w:rFonts w:ascii="Times New Roman" w:hAnsi="Times New Roman" w:cs="Times New Roman"/>
                <w:sz w:val="20"/>
                <w:szCs w:val="20"/>
              </w:rPr>
              <w:t xml:space="preserve">Corporate and </w:t>
            </w:r>
            <w:proofErr w:type="spellStart"/>
            <w:r w:rsidRPr="009D5E3D">
              <w:rPr>
                <w:rFonts w:ascii="Times New Roman" w:hAnsi="Times New Roman" w:cs="Times New Roman"/>
                <w:sz w:val="20"/>
                <w:szCs w:val="20"/>
              </w:rPr>
              <w:t>categoric</w:t>
            </w:r>
            <w:proofErr w:type="spellEnd"/>
            <w:r w:rsidR="00574110" w:rsidRPr="009D5E3D">
              <w:rPr>
                <w:rFonts w:ascii="Times New Roman" w:hAnsi="Times New Roman" w:cs="Times New Roman"/>
                <w:sz w:val="20"/>
                <w:szCs w:val="20"/>
              </w:rPr>
              <w:t xml:space="preserve"> (behavioural)</w:t>
            </w:r>
          </w:p>
          <w:p w:rsidR="00670433" w:rsidRPr="009D5E3D" w:rsidRDefault="00670433" w:rsidP="00B637BF">
            <w:pPr>
              <w:rPr>
                <w:rFonts w:ascii="Times New Roman" w:hAnsi="Times New Roman" w:cs="Times New Roman"/>
                <w:sz w:val="20"/>
                <w:szCs w:val="20"/>
              </w:rPr>
            </w:pPr>
            <w:r w:rsidRPr="009D5E3D">
              <w:rPr>
                <w:rFonts w:ascii="Times New Roman" w:hAnsi="Times New Roman" w:cs="Times New Roman"/>
                <w:sz w:val="20"/>
                <w:szCs w:val="20"/>
              </w:rPr>
              <w:t>Institutional and cultural</w:t>
            </w:r>
            <w:r w:rsidR="00574110" w:rsidRPr="009D5E3D">
              <w:rPr>
                <w:rFonts w:ascii="Times New Roman" w:hAnsi="Times New Roman" w:cs="Times New Roman"/>
                <w:sz w:val="20"/>
                <w:szCs w:val="20"/>
              </w:rPr>
              <w:t xml:space="preserve"> (behavioural)</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Explicit</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Positive</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Negative</w:t>
            </w:r>
          </w:p>
        </w:tc>
      </w:tr>
      <w:tr w:rsidR="00E65E9E" w:rsidRPr="009D5E3D" w:rsidTr="008D70A9">
        <w:tc>
          <w:tcPr>
            <w:tcW w:w="959" w:type="dxa"/>
          </w:tcPr>
          <w:p w:rsidR="00E65E9E" w:rsidRPr="009D5E3D" w:rsidRDefault="00AA3A3B" w:rsidP="00AA3A3B">
            <w:pPr>
              <w:jc w:val="center"/>
              <w:rPr>
                <w:rFonts w:ascii="Times New Roman" w:hAnsi="Times New Roman" w:cs="Times New Roman"/>
                <w:sz w:val="20"/>
                <w:szCs w:val="20"/>
              </w:rPr>
            </w:pPr>
            <w:r w:rsidRPr="009D5E3D">
              <w:rPr>
                <w:rFonts w:ascii="Times New Roman" w:hAnsi="Times New Roman" w:cs="Times New Roman"/>
                <w:sz w:val="20"/>
                <w:szCs w:val="20"/>
              </w:rPr>
              <w:t>15</w:t>
            </w:r>
          </w:p>
        </w:tc>
        <w:tc>
          <w:tcPr>
            <w:tcW w:w="1559" w:type="dxa"/>
          </w:tcPr>
          <w:p w:rsidR="00E65E9E" w:rsidRPr="009D5E3D" w:rsidRDefault="00E65E9E" w:rsidP="00B637BF">
            <w:pPr>
              <w:autoSpaceDE w:val="0"/>
              <w:autoSpaceDN w:val="0"/>
              <w:adjustRightInd w:val="0"/>
              <w:rPr>
                <w:rFonts w:ascii="Times New Roman" w:hAnsi="Times New Roman" w:cs="Times New Roman"/>
                <w:sz w:val="20"/>
                <w:szCs w:val="20"/>
              </w:rPr>
            </w:pPr>
            <w:r w:rsidRPr="009D5E3D">
              <w:rPr>
                <w:rFonts w:ascii="Times New Roman" w:hAnsi="Times New Roman" w:cs="Times New Roman"/>
                <w:sz w:val="20"/>
                <w:szCs w:val="20"/>
              </w:rPr>
              <w:t>Aging Semantic Differential Scale (</w:t>
            </w:r>
            <w:proofErr w:type="spellStart"/>
            <w:r w:rsidRPr="009D5E3D">
              <w:rPr>
                <w:rFonts w:ascii="Times New Roman" w:hAnsi="Times New Roman" w:cs="Times New Roman"/>
                <w:sz w:val="20"/>
                <w:szCs w:val="20"/>
              </w:rPr>
              <w:t>Rosencranz</w:t>
            </w:r>
            <w:proofErr w:type="spellEnd"/>
            <w:r w:rsidRPr="009D5E3D">
              <w:rPr>
                <w:rFonts w:ascii="Times New Roman" w:hAnsi="Times New Roman" w:cs="Times New Roman"/>
                <w:sz w:val="20"/>
                <w:szCs w:val="20"/>
              </w:rPr>
              <w:t xml:space="preserve"> and </w:t>
            </w:r>
            <w:proofErr w:type="spellStart"/>
            <w:r w:rsidRPr="009D5E3D">
              <w:rPr>
                <w:rFonts w:ascii="Times New Roman" w:hAnsi="Times New Roman" w:cs="Times New Roman"/>
                <w:sz w:val="20"/>
                <w:szCs w:val="20"/>
              </w:rPr>
              <w:t>McNevin</w:t>
            </w:r>
            <w:proofErr w:type="spellEnd"/>
            <w:r w:rsidRPr="009D5E3D">
              <w:rPr>
                <w:rFonts w:ascii="Times New Roman" w:hAnsi="Times New Roman" w:cs="Times New Roman"/>
                <w:sz w:val="20"/>
                <w:szCs w:val="20"/>
              </w:rPr>
              <w:t xml:space="preserve"> 1969)</w:t>
            </w:r>
          </w:p>
        </w:tc>
        <w:tc>
          <w:tcPr>
            <w:tcW w:w="2126"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 xml:space="preserve">Instrumental/Ineffective; Autonomous/Dependent; </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 xml:space="preserve">Personal acceptability/ </w:t>
            </w:r>
            <w:proofErr w:type="spellStart"/>
            <w:r w:rsidRPr="009D5E3D">
              <w:rPr>
                <w:rFonts w:ascii="Times New Roman" w:hAnsi="Times New Roman" w:cs="Times New Roman"/>
                <w:sz w:val="20"/>
                <w:szCs w:val="20"/>
              </w:rPr>
              <w:t>Unacceptability</w:t>
            </w:r>
            <w:r w:rsidRPr="009D5E3D">
              <w:rPr>
                <w:rFonts w:ascii="Times New Roman" w:hAnsi="Times New Roman" w:cs="Times New Roman"/>
                <w:sz w:val="20"/>
                <w:szCs w:val="20"/>
                <w:vertAlign w:val="superscript"/>
              </w:rPr>
              <w:t>b</w:t>
            </w:r>
            <w:proofErr w:type="spellEnd"/>
          </w:p>
        </w:tc>
        <w:tc>
          <w:tcPr>
            <w:tcW w:w="1843"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All</w:t>
            </w:r>
          </w:p>
        </w:tc>
        <w:tc>
          <w:tcPr>
            <w:tcW w:w="2268"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Cognitive</w:t>
            </w:r>
          </w:p>
          <w:p w:rsidR="00E65E9E" w:rsidRPr="009D5E3D" w:rsidRDefault="00666274" w:rsidP="00B637BF">
            <w:pPr>
              <w:rPr>
                <w:rFonts w:ascii="Times New Roman" w:hAnsi="Times New Roman" w:cs="Times New Roman"/>
                <w:sz w:val="20"/>
                <w:szCs w:val="20"/>
              </w:rPr>
            </w:pPr>
            <w:r w:rsidRPr="009D5E3D">
              <w:rPr>
                <w:rFonts w:ascii="Times New Roman" w:hAnsi="Times New Roman" w:cs="Times New Roman"/>
                <w:sz w:val="20"/>
                <w:szCs w:val="20"/>
              </w:rPr>
              <w:t>Other</w:t>
            </w:r>
            <w:r w:rsidR="00E65E9E" w:rsidRPr="009D5E3D">
              <w:rPr>
                <w:rFonts w:ascii="Times New Roman" w:hAnsi="Times New Roman" w:cs="Times New Roman"/>
                <w:sz w:val="20"/>
                <w:szCs w:val="20"/>
              </w:rPr>
              <w:t>-directed</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Explicit</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Positive</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Negative</w:t>
            </w:r>
          </w:p>
        </w:tc>
      </w:tr>
      <w:tr w:rsidR="00E65E9E" w:rsidRPr="009D5E3D" w:rsidTr="008D70A9">
        <w:tc>
          <w:tcPr>
            <w:tcW w:w="959" w:type="dxa"/>
          </w:tcPr>
          <w:p w:rsidR="00E65E9E" w:rsidRPr="009D5E3D" w:rsidRDefault="00AA3A3B" w:rsidP="00AA3A3B">
            <w:pPr>
              <w:jc w:val="center"/>
              <w:rPr>
                <w:rFonts w:ascii="Times New Roman" w:hAnsi="Times New Roman" w:cs="Times New Roman"/>
                <w:sz w:val="20"/>
                <w:szCs w:val="20"/>
              </w:rPr>
            </w:pPr>
            <w:r w:rsidRPr="009D5E3D">
              <w:rPr>
                <w:rFonts w:ascii="Times New Roman" w:hAnsi="Times New Roman" w:cs="Times New Roman"/>
                <w:sz w:val="20"/>
                <w:szCs w:val="20"/>
              </w:rPr>
              <w:t>18</w:t>
            </w:r>
          </w:p>
        </w:tc>
        <w:tc>
          <w:tcPr>
            <w:tcW w:w="1559" w:type="dxa"/>
          </w:tcPr>
          <w:p w:rsidR="00E65E9E" w:rsidRPr="009D5E3D" w:rsidRDefault="00E65E9E" w:rsidP="00B637BF">
            <w:pPr>
              <w:autoSpaceDE w:val="0"/>
              <w:autoSpaceDN w:val="0"/>
              <w:adjustRightInd w:val="0"/>
              <w:rPr>
                <w:rFonts w:ascii="Times New Roman" w:hAnsi="Times New Roman" w:cs="Times New Roman"/>
                <w:sz w:val="20"/>
                <w:szCs w:val="20"/>
              </w:rPr>
            </w:pPr>
            <w:r w:rsidRPr="009D5E3D">
              <w:rPr>
                <w:rFonts w:ascii="Times New Roman" w:hAnsi="Times New Roman" w:cs="Times New Roman"/>
                <w:sz w:val="20"/>
                <w:szCs w:val="20"/>
              </w:rPr>
              <w:t>Structured interview (specifically designed for the study)</w:t>
            </w:r>
          </w:p>
        </w:tc>
        <w:tc>
          <w:tcPr>
            <w:tcW w:w="2126" w:type="dxa"/>
          </w:tcPr>
          <w:p w:rsidR="00E65E9E" w:rsidRPr="009D5E3D" w:rsidRDefault="00E65E9E" w:rsidP="00B637BF">
            <w:pPr>
              <w:autoSpaceDE w:val="0"/>
              <w:autoSpaceDN w:val="0"/>
              <w:adjustRightInd w:val="0"/>
              <w:rPr>
                <w:rFonts w:ascii="Times New Roman" w:hAnsi="Times New Roman" w:cs="Times New Roman"/>
                <w:sz w:val="20"/>
                <w:szCs w:val="20"/>
              </w:rPr>
            </w:pPr>
            <w:r w:rsidRPr="009D5E3D">
              <w:rPr>
                <w:rFonts w:ascii="Times New Roman" w:hAnsi="Times New Roman" w:cs="Times New Roman"/>
                <w:sz w:val="20"/>
                <w:szCs w:val="20"/>
              </w:rPr>
              <w:t>Not explicitly discussed</w:t>
            </w:r>
          </w:p>
        </w:tc>
        <w:tc>
          <w:tcPr>
            <w:tcW w:w="1843" w:type="dxa"/>
          </w:tcPr>
          <w:p w:rsidR="00E65E9E" w:rsidRPr="009D5E3D" w:rsidRDefault="00E65E9E" w:rsidP="00B637BF">
            <w:pPr>
              <w:autoSpaceDE w:val="0"/>
              <w:autoSpaceDN w:val="0"/>
              <w:adjustRightInd w:val="0"/>
              <w:rPr>
                <w:rFonts w:ascii="Times New Roman" w:hAnsi="Times New Roman" w:cs="Times New Roman"/>
                <w:sz w:val="20"/>
                <w:szCs w:val="20"/>
              </w:rPr>
            </w:pPr>
            <w:r w:rsidRPr="009D5E3D">
              <w:rPr>
                <w:rFonts w:ascii="Times New Roman" w:hAnsi="Times New Roman" w:cs="Times New Roman"/>
                <w:sz w:val="20"/>
                <w:szCs w:val="20"/>
              </w:rPr>
              <w:t>Not explicitly discussed</w:t>
            </w:r>
          </w:p>
        </w:tc>
        <w:tc>
          <w:tcPr>
            <w:tcW w:w="2268" w:type="dxa"/>
          </w:tcPr>
          <w:p w:rsidR="00E65E9E" w:rsidRPr="009D5E3D" w:rsidRDefault="00E65E9E" w:rsidP="00B637BF">
            <w:pPr>
              <w:autoSpaceDE w:val="0"/>
              <w:autoSpaceDN w:val="0"/>
              <w:adjustRightInd w:val="0"/>
              <w:rPr>
                <w:rFonts w:ascii="Times New Roman" w:hAnsi="Times New Roman" w:cs="Times New Roman"/>
                <w:sz w:val="20"/>
                <w:szCs w:val="20"/>
              </w:rPr>
            </w:pPr>
            <w:r w:rsidRPr="009D5E3D">
              <w:rPr>
                <w:rFonts w:ascii="Times New Roman" w:hAnsi="Times New Roman" w:cs="Times New Roman"/>
                <w:sz w:val="20"/>
                <w:szCs w:val="20"/>
              </w:rPr>
              <w:t>Cognitive</w:t>
            </w:r>
          </w:p>
          <w:p w:rsidR="00E65E9E" w:rsidRPr="009D5E3D" w:rsidRDefault="00E65E9E" w:rsidP="00B637BF">
            <w:pPr>
              <w:autoSpaceDE w:val="0"/>
              <w:autoSpaceDN w:val="0"/>
              <w:adjustRightInd w:val="0"/>
              <w:rPr>
                <w:rFonts w:ascii="Times New Roman" w:hAnsi="Times New Roman" w:cs="Times New Roman"/>
                <w:sz w:val="20"/>
                <w:szCs w:val="20"/>
              </w:rPr>
            </w:pPr>
            <w:r w:rsidRPr="009D5E3D">
              <w:rPr>
                <w:rFonts w:ascii="Times New Roman" w:hAnsi="Times New Roman" w:cs="Times New Roman"/>
                <w:sz w:val="20"/>
                <w:szCs w:val="20"/>
              </w:rPr>
              <w:t>Behavioural</w:t>
            </w:r>
          </w:p>
          <w:p w:rsidR="00E65E9E" w:rsidRPr="009D5E3D" w:rsidRDefault="00666274" w:rsidP="00B637BF">
            <w:pPr>
              <w:rPr>
                <w:rFonts w:ascii="Times New Roman" w:hAnsi="Times New Roman" w:cs="Times New Roman"/>
                <w:sz w:val="20"/>
                <w:szCs w:val="20"/>
              </w:rPr>
            </w:pPr>
            <w:r w:rsidRPr="009D5E3D">
              <w:rPr>
                <w:rFonts w:ascii="Times New Roman" w:hAnsi="Times New Roman" w:cs="Times New Roman"/>
                <w:sz w:val="20"/>
                <w:szCs w:val="20"/>
              </w:rPr>
              <w:t>Other</w:t>
            </w:r>
            <w:r w:rsidR="00E65E9E" w:rsidRPr="009D5E3D">
              <w:rPr>
                <w:rFonts w:ascii="Times New Roman" w:hAnsi="Times New Roman" w:cs="Times New Roman"/>
                <w:sz w:val="20"/>
                <w:szCs w:val="20"/>
              </w:rPr>
              <w:t>-directed</w:t>
            </w:r>
          </w:p>
          <w:p w:rsidR="00E65E9E" w:rsidRPr="009D5E3D" w:rsidRDefault="00E65E9E" w:rsidP="00B637BF">
            <w:pPr>
              <w:autoSpaceDE w:val="0"/>
              <w:autoSpaceDN w:val="0"/>
              <w:adjustRightInd w:val="0"/>
              <w:rPr>
                <w:rFonts w:ascii="Times New Roman" w:hAnsi="Times New Roman" w:cs="Times New Roman"/>
                <w:sz w:val="20"/>
                <w:szCs w:val="20"/>
              </w:rPr>
            </w:pPr>
            <w:r w:rsidRPr="009D5E3D">
              <w:rPr>
                <w:rFonts w:ascii="Times New Roman" w:hAnsi="Times New Roman" w:cs="Times New Roman"/>
                <w:sz w:val="20"/>
                <w:szCs w:val="20"/>
              </w:rPr>
              <w:t>Explicit</w:t>
            </w:r>
          </w:p>
          <w:p w:rsidR="00E65E9E" w:rsidRPr="009D5E3D" w:rsidRDefault="00E65E9E" w:rsidP="00B637BF">
            <w:pPr>
              <w:autoSpaceDE w:val="0"/>
              <w:autoSpaceDN w:val="0"/>
              <w:adjustRightInd w:val="0"/>
              <w:rPr>
                <w:rFonts w:ascii="Times New Roman" w:hAnsi="Times New Roman" w:cs="Times New Roman"/>
                <w:sz w:val="20"/>
                <w:szCs w:val="20"/>
              </w:rPr>
            </w:pPr>
            <w:r w:rsidRPr="009D5E3D">
              <w:rPr>
                <w:rFonts w:ascii="Times New Roman" w:hAnsi="Times New Roman" w:cs="Times New Roman"/>
                <w:sz w:val="20"/>
                <w:szCs w:val="20"/>
              </w:rPr>
              <w:t>Positive</w:t>
            </w:r>
          </w:p>
          <w:p w:rsidR="00E65E9E" w:rsidRPr="009D5E3D" w:rsidRDefault="00E65E9E" w:rsidP="00B637BF">
            <w:pPr>
              <w:autoSpaceDE w:val="0"/>
              <w:autoSpaceDN w:val="0"/>
              <w:adjustRightInd w:val="0"/>
              <w:rPr>
                <w:rFonts w:ascii="Times New Roman" w:hAnsi="Times New Roman" w:cs="Times New Roman"/>
                <w:sz w:val="20"/>
                <w:szCs w:val="20"/>
              </w:rPr>
            </w:pPr>
            <w:r w:rsidRPr="009D5E3D">
              <w:rPr>
                <w:rFonts w:ascii="Times New Roman" w:hAnsi="Times New Roman" w:cs="Times New Roman"/>
                <w:sz w:val="20"/>
                <w:szCs w:val="20"/>
              </w:rPr>
              <w:t>Negative (components implicitly stated)</w:t>
            </w:r>
          </w:p>
        </w:tc>
      </w:tr>
      <w:tr w:rsidR="00E65E9E" w:rsidRPr="009D5E3D" w:rsidTr="008D70A9">
        <w:tc>
          <w:tcPr>
            <w:tcW w:w="959" w:type="dxa"/>
            <w:vMerge w:val="restart"/>
          </w:tcPr>
          <w:p w:rsidR="00E65E9E" w:rsidRPr="009D5E3D" w:rsidRDefault="00AA3A3B" w:rsidP="00AA3A3B">
            <w:pPr>
              <w:jc w:val="center"/>
              <w:rPr>
                <w:rFonts w:ascii="Times New Roman" w:hAnsi="Times New Roman" w:cs="Times New Roman"/>
                <w:sz w:val="20"/>
                <w:szCs w:val="20"/>
              </w:rPr>
            </w:pPr>
            <w:r w:rsidRPr="009D5E3D">
              <w:rPr>
                <w:rFonts w:ascii="Times New Roman" w:hAnsi="Times New Roman" w:cs="Times New Roman"/>
                <w:sz w:val="20"/>
                <w:szCs w:val="20"/>
              </w:rPr>
              <w:t>19</w:t>
            </w:r>
          </w:p>
        </w:tc>
        <w:tc>
          <w:tcPr>
            <w:tcW w:w="1559"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Facts on Aging Quiz (Palmore 1977, 1998)</w:t>
            </w:r>
          </w:p>
          <w:p w:rsidR="00E65E9E" w:rsidRPr="009D5E3D" w:rsidRDefault="00E65E9E" w:rsidP="00B637BF">
            <w:pPr>
              <w:rPr>
                <w:rFonts w:ascii="Times New Roman" w:hAnsi="Times New Roman" w:cs="Times New Roman"/>
                <w:sz w:val="20"/>
                <w:szCs w:val="20"/>
              </w:rPr>
            </w:pPr>
          </w:p>
        </w:tc>
        <w:tc>
          <w:tcPr>
            <w:tcW w:w="2126"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 xml:space="preserve">Not organised by factors/dimension; The instrument’s statements measure right and wrong knowledge about older people and ageing, as well as </w:t>
            </w:r>
            <w:r w:rsidRPr="009D5E3D">
              <w:rPr>
                <w:rFonts w:ascii="Times New Roman" w:hAnsi="Times New Roman" w:cs="Times New Roman"/>
                <w:sz w:val="20"/>
                <w:szCs w:val="20"/>
              </w:rPr>
              <w:lastRenderedPageBreak/>
              <w:t>positive and negative stereotypes about older people</w:t>
            </w:r>
          </w:p>
        </w:tc>
        <w:tc>
          <w:tcPr>
            <w:tcW w:w="1843"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lastRenderedPageBreak/>
              <w:t>All of the instrument’s statements were used</w:t>
            </w:r>
          </w:p>
        </w:tc>
        <w:tc>
          <w:tcPr>
            <w:tcW w:w="2268"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Cognitive</w:t>
            </w:r>
          </w:p>
          <w:p w:rsidR="00E65E9E" w:rsidRPr="009D5E3D" w:rsidRDefault="00666274" w:rsidP="00B637BF">
            <w:pPr>
              <w:rPr>
                <w:rFonts w:ascii="Times New Roman" w:hAnsi="Times New Roman" w:cs="Times New Roman"/>
                <w:sz w:val="20"/>
                <w:szCs w:val="20"/>
              </w:rPr>
            </w:pPr>
            <w:r w:rsidRPr="009D5E3D">
              <w:rPr>
                <w:rFonts w:ascii="Times New Roman" w:hAnsi="Times New Roman" w:cs="Times New Roman"/>
                <w:sz w:val="20"/>
                <w:szCs w:val="20"/>
              </w:rPr>
              <w:t>Other</w:t>
            </w:r>
            <w:r w:rsidR="00E65E9E" w:rsidRPr="009D5E3D">
              <w:rPr>
                <w:rFonts w:ascii="Times New Roman" w:hAnsi="Times New Roman" w:cs="Times New Roman"/>
                <w:sz w:val="20"/>
                <w:szCs w:val="20"/>
              </w:rPr>
              <w:t>-directed</w:t>
            </w:r>
          </w:p>
          <w:p w:rsidR="002518C1" w:rsidRPr="009D5E3D" w:rsidRDefault="002518C1" w:rsidP="00B637BF">
            <w:pPr>
              <w:rPr>
                <w:rFonts w:ascii="Times New Roman" w:hAnsi="Times New Roman" w:cs="Times New Roman"/>
                <w:sz w:val="20"/>
                <w:szCs w:val="20"/>
              </w:rPr>
            </w:pPr>
            <w:r w:rsidRPr="009D5E3D">
              <w:rPr>
                <w:rFonts w:ascii="Times New Roman" w:hAnsi="Times New Roman" w:cs="Times New Roman"/>
                <w:sz w:val="20"/>
                <w:szCs w:val="20"/>
              </w:rPr>
              <w:t xml:space="preserve">Corporate and </w:t>
            </w:r>
            <w:proofErr w:type="spellStart"/>
            <w:r w:rsidRPr="009D5E3D">
              <w:rPr>
                <w:rFonts w:ascii="Times New Roman" w:hAnsi="Times New Roman" w:cs="Times New Roman"/>
                <w:sz w:val="20"/>
                <w:szCs w:val="20"/>
              </w:rPr>
              <w:t>categoric</w:t>
            </w:r>
            <w:proofErr w:type="spellEnd"/>
            <w:r w:rsidR="00574110" w:rsidRPr="009D5E3D">
              <w:rPr>
                <w:rFonts w:ascii="Times New Roman" w:hAnsi="Times New Roman" w:cs="Times New Roman"/>
                <w:sz w:val="20"/>
                <w:szCs w:val="20"/>
              </w:rPr>
              <w:t xml:space="preserve"> (behavioural)</w:t>
            </w:r>
          </w:p>
          <w:p w:rsidR="00D6082D" w:rsidRPr="009D5E3D" w:rsidRDefault="00D6082D" w:rsidP="00B637BF">
            <w:pPr>
              <w:rPr>
                <w:rFonts w:ascii="Times New Roman" w:hAnsi="Times New Roman" w:cs="Times New Roman"/>
                <w:sz w:val="20"/>
                <w:szCs w:val="20"/>
              </w:rPr>
            </w:pPr>
            <w:r w:rsidRPr="009D5E3D">
              <w:rPr>
                <w:rFonts w:ascii="Times New Roman" w:hAnsi="Times New Roman" w:cs="Times New Roman"/>
                <w:sz w:val="20"/>
                <w:szCs w:val="20"/>
              </w:rPr>
              <w:t>Institutional and cultural</w:t>
            </w:r>
            <w:r w:rsidR="00574110" w:rsidRPr="009D5E3D">
              <w:rPr>
                <w:rFonts w:ascii="Times New Roman" w:hAnsi="Times New Roman" w:cs="Times New Roman"/>
                <w:sz w:val="20"/>
                <w:szCs w:val="20"/>
              </w:rPr>
              <w:t xml:space="preserve"> (behavioural)</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Explicit</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lastRenderedPageBreak/>
              <w:t>Positive</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Negative</w:t>
            </w:r>
          </w:p>
        </w:tc>
      </w:tr>
      <w:tr w:rsidR="00E65E9E" w:rsidRPr="009D5E3D" w:rsidTr="008D70A9">
        <w:tc>
          <w:tcPr>
            <w:tcW w:w="959" w:type="dxa"/>
            <w:vMerge/>
          </w:tcPr>
          <w:p w:rsidR="00E65E9E" w:rsidRPr="009D5E3D" w:rsidRDefault="00E65E9E" w:rsidP="00B637BF">
            <w:pPr>
              <w:rPr>
                <w:rFonts w:ascii="Times New Roman" w:hAnsi="Times New Roman" w:cs="Times New Roman"/>
                <w:sz w:val="20"/>
                <w:szCs w:val="20"/>
              </w:rPr>
            </w:pPr>
          </w:p>
        </w:tc>
        <w:tc>
          <w:tcPr>
            <w:tcW w:w="1559"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Reactions on Ageing Questionnaire (</w:t>
            </w:r>
            <w:proofErr w:type="spellStart"/>
            <w:r w:rsidRPr="009D5E3D">
              <w:rPr>
                <w:rFonts w:ascii="Times New Roman" w:hAnsi="Times New Roman" w:cs="Times New Roman"/>
                <w:sz w:val="20"/>
                <w:szCs w:val="20"/>
              </w:rPr>
              <w:t>Gething</w:t>
            </w:r>
            <w:proofErr w:type="spellEnd"/>
            <w:r w:rsidRPr="009D5E3D">
              <w:rPr>
                <w:rFonts w:ascii="Times New Roman" w:hAnsi="Times New Roman" w:cs="Times New Roman"/>
                <w:sz w:val="20"/>
                <w:szCs w:val="20"/>
              </w:rPr>
              <w:t xml:space="preserve"> 1996)</w:t>
            </w:r>
          </w:p>
        </w:tc>
        <w:tc>
          <w:tcPr>
            <w:tcW w:w="2126"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Fear of frailty</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Tedium</w:t>
            </w:r>
          </w:p>
          <w:p w:rsidR="00E65E9E" w:rsidRPr="009D5E3D" w:rsidRDefault="00E65E9E" w:rsidP="00B637BF">
            <w:pPr>
              <w:rPr>
                <w:rFonts w:ascii="Times New Roman" w:hAnsi="Times New Roman" w:cs="Times New Roman"/>
                <w:sz w:val="20"/>
                <w:szCs w:val="20"/>
              </w:rPr>
            </w:pPr>
            <w:proofErr w:type="spellStart"/>
            <w:r w:rsidRPr="009D5E3D">
              <w:rPr>
                <w:rFonts w:ascii="Times New Roman" w:hAnsi="Times New Roman" w:cs="Times New Roman"/>
                <w:sz w:val="20"/>
                <w:szCs w:val="20"/>
              </w:rPr>
              <w:t>Loss</w:t>
            </w:r>
            <w:r w:rsidRPr="009D5E3D">
              <w:rPr>
                <w:rFonts w:ascii="Times New Roman" w:hAnsi="Times New Roman" w:cs="Times New Roman"/>
                <w:sz w:val="20"/>
                <w:szCs w:val="20"/>
                <w:vertAlign w:val="superscript"/>
              </w:rPr>
              <w:t>c</w:t>
            </w:r>
            <w:proofErr w:type="spellEnd"/>
          </w:p>
        </w:tc>
        <w:tc>
          <w:tcPr>
            <w:tcW w:w="1843"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All</w:t>
            </w:r>
          </w:p>
        </w:tc>
        <w:tc>
          <w:tcPr>
            <w:tcW w:w="2268" w:type="dxa"/>
          </w:tcPr>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Cognitive</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Affective</w:t>
            </w:r>
          </w:p>
          <w:p w:rsidR="00E65E9E" w:rsidRPr="009D5E3D" w:rsidRDefault="00666274" w:rsidP="00B637BF">
            <w:pPr>
              <w:rPr>
                <w:rFonts w:ascii="Times New Roman" w:hAnsi="Times New Roman" w:cs="Times New Roman"/>
                <w:sz w:val="20"/>
                <w:szCs w:val="20"/>
              </w:rPr>
            </w:pPr>
            <w:r w:rsidRPr="009D5E3D">
              <w:rPr>
                <w:rFonts w:ascii="Times New Roman" w:hAnsi="Times New Roman" w:cs="Times New Roman"/>
                <w:sz w:val="20"/>
                <w:szCs w:val="20"/>
              </w:rPr>
              <w:t>Other</w:t>
            </w:r>
            <w:r w:rsidR="00E65E9E" w:rsidRPr="009D5E3D">
              <w:rPr>
                <w:rFonts w:ascii="Times New Roman" w:hAnsi="Times New Roman" w:cs="Times New Roman"/>
                <w:sz w:val="20"/>
                <w:szCs w:val="20"/>
              </w:rPr>
              <w:t>-directed</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Explicit</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Positive</w:t>
            </w:r>
          </w:p>
          <w:p w:rsidR="00E65E9E" w:rsidRPr="009D5E3D" w:rsidRDefault="00E65E9E" w:rsidP="00B637BF">
            <w:pPr>
              <w:rPr>
                <w:rFonts w:ascii="Times New Roman" w:hAnsi="Times New Roman" w:cs="Times New Roman"/>
                <w:sz w:val="20"/>
                <w:szCs w:val="20"/>
              </w:rPr>
            </w:pPr>
            <w:r w:rsidRPr="009D5E3D">
              <w:rPr>
                <w:rFonts w:ascii="Times New Roman" w:hAnsi="Times New Roman" w:cs="Times New Roman"/>
                <w:sz w:val="20"/>
                <w:szCs w:val="20"/>
              </w:rPr>
              <w:t xml:space="preserve">Negative </w:t>
            </w:r>
          </w:p>
        </w:tc>
      </w:tr>
    </w:tbl>
    <w:p w:rsidR="00E65E9E" w:rsidRPr="009D5E3D" w:rsidRDefault="00E65E9E" w:rsidP="00E65E9E">
      <w:pPr>
        <w:autoSpaceDE w:val="0"/>
        <w:autoSpaceDN w:val="0"/>
        <w:adjustRightInd w:val="0"/>
        <w:spacing w:after="0" w:line="240" w:lineRule="auto"/>
        <w:jc w:val="both"/>
        <w:rPr>
          <w:rFonts w:ascii="Times New Roman" w:hAnsi="Times New Roman" w:cs="Times New Roman"/>
          <w:sz w:val="16"/>
          <w:szCs w:val="16"/>
        </w:rPr>
      </w:pPr>
      <w:proofErr w:type="gramStart"/>
      <w:r w:rsidRPr="009D5E3D">
        <w:rPr>
          <w:rFonts w:ascii="Times New Roman" w:hAnsi="Times New Roman" w:cs="Times New Roman"/>
          <w:sz w:val="16"/>
          <w:szCs w:val="16"/>
          <w:vertAlign w:val="superscript"/>
        </w:rPr>
        <w:t>a</w:t>
      </w:r>
      <w:proofErr w:type="gramEnd"/>
      <w:r w:rsidRPr="009D5E3D">
        <w:rPr>
          <w:rFonts w:ascii="Times New Roman" w:hAnsi="Times New Roman" w:cs="Times New Roman"/>
          <w:sz w:val="16"/>
          <w:szCs w:val="16"/>
        </w:rPr>
        <w:t xml:space="preserve"> </w:t>
      </w:r>
      <w:proofErr w:type="spellStart"/>
      <w:r w:rsidRPr="009D5E3D">
        <w:rPr>
          <w:rFonts w:ascii="Times New Roman" w:hAnsi="Times New Roman" w:cs="Times New Roman"/>
          <w:iCs/>
          <w:sz w:val="16"/>
          <w:szCs w:val="16"/>
        </w:rPr>
        <w:t>Antilocution</w:t>
      </w:r>
      <w:proofErr w:type="spellEnd"/>
      <w:r w:rsidRPr="009D5E3D">
        <w:rPr>
          <w:rFonts w:ascii="Times New Roman" w:hAnsi="Times New Roman" w:cs="Times New Roman"/>
          <w:iCs/>
          <w:sz w:val="16"/>
          <w:szCs w:val="16"/>
        </w:rPr>
        <w:t xml:space="preserve"> refers, </w:t>
      </w:r>
      <w:r w:rsidRPr="009D5E3D">
        <w:rPr>
          <w:rFonts w:ascii="Times New Roman" w:hAnsi="Times New Roman" w:cs="Times New Roman"/>
          <w:sz w:val="16"/>
          <w:szCs w:val="16"/>
        </w:rPr>
        <w:t>essentially, to stereotypes, positive and negative, about older people</w:t>
      </w:r>
      <w:r w:rsidRPr="009D5E3D">
        <w:rPr>
          <w:rFonts w:ascii="Times New Roman" w:hAnsi="Times New Roman" w:cs="Times New Roman"/>
          <w:iCs/>
          <w:sz w:val="16"/>
          <w:szCs w:val="16"/>
        </w:rPr>
        <w:t>. Discrimination refers to attitudes, positive and negative, towards social rights and social participation of older people. Avoidance has to do with affective attitudes and behaviour, positive and negative, with respect to social contact with older people.</w:t>
      </w:r>
    </w:p>
    <w:p w:rsidR="00E65E9E" w:rsidRPr="009D5E3D" w:rsidRDefault="00E65E9E" w:rsidP="00E65E9E">
      <w:pPr>
        <w:autoSpaceDE w:val="0"/>
        <w:autoSpaceDN w:val="0"/>
        <w:adjustRightInd w:val="0"/>
        <w:spacing w:after="0" w:line="240" w:lineRule="auto"/>
        <w:jc w:val="both"/>
        <w:rPr>
          <w:rFonts w:ascii="Times New Roman" w:hAnsi="Times New Roman" w:cs="Times New Roman"/>
          <w:sz w:val="16"/>
          <w:szCs w:val="16"/>
        </w:rPr>
      </w:pPr>
      <w:r w:rsidRPr="009D5E3D">
        <w:rPr>
          <w:rFonts w:ascii="Times New Roman" w:hAnsi="Times New Roman" w:cs="Times New Roman"/>
          <w:sz w:val="16"/>
          <w:szCs w:val="16"/>
          <w:vertAlign w:val="superscript"/>
        </w:rPr>
        <w:t>b</w:t>
      </w:r>
      <w:r w:rsidRPr="009D5E3D">
        <w:rPr>
          <w:rFonts w:ascii="Times New Roman" w:hAnsi="Times New Roman" w:cs="Times New Roman"/>
          <w:sz w:val="16"/>
          <w:szCs w:val="16"/>
        </w:rPr>
        <w:t xml:space="preserve"> Beliefs, positive and negative, about the level of effective goal orientation, adaptability and energy output of older people (instrumental/ineffective), the level of dependency upon others and personal autonomy (autonomous/dependent) and the level of social interaction (personal acceptability/unacceptability).</w:t>
      </w:r>
    </w:p>
    <w:p w:rsidR="00E65E9E" w:rsidRPr="00DF3C35" w:rsidRDefault="00E65E9E" w:rsidP="00E65E9E">
      <w:pPr>
        <w:autoSpaceDE w:val="0"/>
        <w:autoSpaceDN w:val="0"/>
        <w:adjustRightInd w:val="0"/>
        <w:spacing w:after="0" w:line="240" w:lineRule="auto"/>
        <w:jc w:val="both"/>
        <w:rPr>
          <w:rFonts w:ascii="Times New Roman" w:hAnsi="Times New Roman" w:cs="Times New Roman"/>
          <w:sz w:val="16"/>
          <w:szCs w:val="16"/>
        </w:rPr>
      </w:pPr>
      <w:proofErr w:type="gramStart"/>
      <w:r w:rsidRPr="009D5E3D">
        <w:rPr>
          <w:rFonts w:ascii="Times New Roman" w:hAnsi="Times New Roman" w:cs="Times New Roman"/>
          <w:sz w:val="16"/>
          <w:szCs w:val="16"/>
          <w:vertAlign w:val="superscript"/>
        </w:rPr>
        <w:t>c</w:t>
      </w:r>
      <w:proofErr w:type="gramEnd"/>
      <w:r w:rsidRPr="009D5E3D">
        <w:rPr>
          <w:rFonts w:ascii="Times New Roman" w:hAnsi="Times New Roman" w:cs="Times New Roman"/>
          <w:sz w:val="16"/>
          <w:szCs w:val="16"/>
        </w:rPr>
        <w:t xml:space="preserve"> Beliefs and affective attitudes, positive and negative, towards frailty, tedium and losses in later life.</w:t>
      </w:r>
    </w:p>
    <w:p w:rsidR="00A615CB" w:rsidRDefault="00A615CB"/>
    <w:sectPr w:rsidR="00A615C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40" w:rsidRDefault="00081740" w:rsidP="00C34C43">
      <w:pPr>
        <w:spacing w:after="0" w:line="240" w:lineRule="auto"/>
      </w:pPr>
      <w:r>
        <w:separator/>
      </w:r>
    </w:p>
  </w:endnote>
  <w:endnote w:type="continuationSeparator" w:id="0">
    <w:p w:rsidR="00081740" w:rsidRDefault="00081740" w:rsidP="00C3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40" w:rsidRDefault="00081740" w:rsidP="00C34C43">
      <w:pPr>
        <w:spacing w:after="0" w:line="240" w:lineRule="auto"/>
      </w:pPr>
      <w:r>
        <w:separator/>
      </w:r>
    </w:p>
  </w:footnote>
  <w:footnote w:type="continuationSeparator" w:id="0">
    <w:p w:rsidR="00081740" w:rsidRDefault="00081740" w:rsidP="00C34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A34" w:rsidRPr="00217A34" w:rsidRDefault="00217A34" w:rsidP="00217A34">
    <w:pPr>
      <w:pStyle w:val="Cabealho"/>
      <w:rPr>
        <w:rFonts w:ascii="Times New Roman" w:hAnsi="Times New Roman" w:cs="Times New Roman"/>
        <w:sz w:val="16"/>
        <w:szCs w:val="16"/>
      </w:rPr>
    </w:pPr>
    <w:r>
      <w:rPr>
        <w:rFonts w:ascii="Times New Roman" w:hAnsi="Times New Roman" w:cs="Times New Roman"/>
        <w:sz w:val="16"/>
        <w:szCs w:val="16"/>
      </w:rPr>
      <w:t>Summary: Table S3 characterizes the instruments which were used to measure ageism. It also identifies the components of ageism covered by the factors/dimensions of the instruments which were included in the reviewed studies</w:t>
    </w:r>
  </w:p>
  <w:p w:rsidR="00C34C43" w:rsidRPr="00217A34" w:rsidRDefault="00217A34" w:rsidP="00217A34">
    <w:pPr>
      <w:pStyle w:val="Cabealho"/>
    </w:pPr>
    <w:r w:rsidRPr="00217A34">
      <w:rPr>
        <w:rFonts w:ascii="Times New Roman" w:hAnsi="Times New Roman" w:cs="Times New Roman"/>
        <w:sz w:val="16"/>
        <w:szCs w:val="16"/>
      </w:rPr>
      <w:t>(File type</w:t>
    </w:r>
    <w:r w:rsidR="003D3D5F">
      <w:rPr>
        <w:rFonts w:ascii="Times New Roman" w:hAnsi="Times New Roman" w:cs="Times New Roman"/>
        <w:sz w:val="16"/>
        <w:szCs w:val="16"/>
      </w:rPr>
      <w:t>: Microsoft Word</w:t>
    </w:r>
    <w:proofErr w:type="gramStart"/>
    <w:r w:rsidR="003D3D5F">
      <w:rPr>
        <w:rFonts w:ascii="Times New Roman" w:hAnsi="Times New Roman" w:cs="Times New Roman"/>
        <w:sz w:val="16"/>
        <w:szCs w:val="16"/>
      </w:rPr>
      <w:t>;  File</w:t>
    </w:r>
    <w:proofErr w:type="gramEnd"/>
    <w:r w:rsidR="003D3D5F">
      <w:rPr>
        <w:rFonts w:ascii="Times New Roman" w:hAnsi="Times New Roman" w:cs="Times New Roman"/>
        <w:sz w:val="16"/>
        <w:szCs w:val="16"/>
      </w:rPr>
      <w:t xml:space="preserve"> size: 20,1</w:t>
    </w:r>
    <w:r w:rsidRPr="00217A34">
      <w:rPr>
        <w:rFonts w:ascii="Times New Roman" w:hAnsi="Times New Roman" w:cs="Times New Roman"/>
        <w:sz w:val="16"/>
        <w:szCs w:val="16"/>
      </w:rPr>
      <w:t xml:space="preserve"> KB)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9E"/>
    <w:rsid w:val="00081740"/>
    <w:rsid w:val="00217A34"/>
    <w:rsid w:val="002401B8"/>
    <w:rsid w:val="002518C1"/>
    <w:rsid w:val="003D3D5F"/>
    <w:rsid w:val="004E26C5"/>
    <w:rsid w:val="00574110"/>
    <w:rsid w:val="00666274"/>
    <w:rsid w:val="00670433"/>
    <w:rsid w:val="007D49E3"/>
    <w:rsid w:val="008B4476"/>
    <w:rsid w:val="008D70A9"/>
    <w:rsid w:val="008E5EBC"/>
    <w:rsid w:val="009D5E3D"/>
    <w:rsid w:val="00A0317D"/>
    <w:rsid w:val="00A3307E"/>
    <w:rsid w:val="00A615CB"/>
    <w:rsid w:val="00AA3A3B"/>
    <w:rsid w:val="00B85753"/>
    <w:rsid w:val="00C34C43"/>
    <w:rsid w:val="00D04510"/>
    <w:rsid w:val="00D6082D"/>
    <w:rsid w:val="00E65E9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9E"/>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E65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cter"/>
    <w:uiPriority w:val="99"/>
    <w:unhideWhenUsed/>
    <w:rsid w:val="00C34C43"/>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C34C43"/>
    <w:rPr>
      <w:lang w:val="en-GB"/>
    </w:rPr>
  </w:style>
  <w:style w:type="paragraph" w:styleId="Rodap">
    <w:name w:val="footer"/>
    <w:basedOn w:val="Normal"/>
    <w:link w:val="RodapCarcter"/>
    <w:uiPriority w:val="99"/>
    <w:unhideWhenUsed/>
    <w:rsid w:val="00C34C43"/>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C34C43"/>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9E"/>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E65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cter"/>
    <w:uiPriority w:val="99"/>
    <w:unhideWhenUsed/>
    <w:rsid w:val="00C34C43"/>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C34C43"/>
    <w:rPr>
      <w:lang w:val="en-GB"/>
    </w:rPr>
  </w:style>
  <w:style w:type="paragraph" w:styleId="Rodap">
    <w:name w:val="footer"/>
    <w:basedOn w:val="Normal"/>
    <w:link w:val="RodapCarcter"/>
    <w:uiPriority w:val="99"/>
    <w:unhideWhenUsed/>
    <w:rsid w:val="00C34C43"/>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C34C4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515</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e José</dc:creator>
  <cp:lastModifiedBy>José Sao José</cp:lastModifiedBy>
  <cp:revision>16</cp:revision>
  <dcterms:created xsi:type="dcterms:W3CDTF">2015-11-27T13:59:00Z</dcterms:created>
  <dcterms:modified xsi:type="dcterms:W3CDTF">2016-08-17T11:38:00Z</dcterms:modified>
</cp:coreProperties>
</file>