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2D187" w14:textId="00F802F4" w:rsidR="003C22AA" w:rsidRDefault="00B53375" w:rsidP="00891CAE">
      <w:pPr>
        <w:spacing w:line="480" w:lineRule="auto"/>
        <w:jc w:val="both"/>
        <w:rPr>
          <w:rFonts w:ascii="Arial" w:hAnsi="Arial" w:cs="Arial"/>
          <w:b/>
        </w:rPr>
      </w:pPr>
      <w:r>
        <w:rPr>
          <w:rFonts w:ascii="Arial" w:hAnsi="Arial" w:cs="Arial"/>
          <w:b/>
        </w:rPr>
        <w:t>Appendix A</w:t>
      </w:r>
      <w:r w:rsidR="00AE5881">
        <w:rPr>
          <w:rFonts w:ascii="Arial" w:hAnsi="Arial" w:cs="Arial"/>
          <w:b/>
        </w:rPr>
        <w:t>2</w:t>
      </w:r>
    </w:p>
    <w:p w14:paraId="54A1A14C" w14:textId="6E930606" w:rsidR="00EA326B" w:rsidRDefault="00AE5881" w:rsidP="00891CAE">
      <w:pPr>
        <w:spacing w:line="480" w:lineRule="auto"/>
        <w:jc w:val="both"/>
        <w:rPr>
          <w:rFonts w:ascii="Arial" w:hAnsi="Arial" w:cs="Arial"/>
          <w:b/>
        </w:rPr>
      </w:pPr>
      <w:r w:rsidRPr="008056E6">
        <w:rPr>
          <w:rFonts w:ascii="Arial" w:hAnsi="Arial" w:cs="Arial"/>
          <w:b/>
        </w:rPr>
        <w:t>Summary of attempt to pool data in meta-analysis</w:t>
      </w:r>
    </w:p>
    <w:p w14:paraId="2AE92451" w14:textId="7EB1F662" w:rsidR="008056E6" w:rsidRDefault="008056E6" w:rsidP="00891CAE">
      <w:pPr>
        <w:spacing w:line="480" w:lineRule="auto"/>
        <w:jc w:val="both"/>
        <w:rPr>
          <w:rFonts w:ascii="Arial" w:hAnsi="Arial" w:cs="Arial"/>
        </w:rPr>
      </w:pPr>
      <w:r>
        <w:rPr>
          <w:rFonts w:ascii="Arial" w:hAnsi="Arial" w:cs="Arial"/>
        </w:rPr>
        <w:t>Of the nine included papers, the methods used to measure exposure and outcome variables differed.  There were six different combinations of cognitive or diagnostic tests and four methods of measuring passive smoking (two based on the biomarker cotinine and two on self-report questionnaires).  The studies’ designs varied, with seven cross-sectional, one longitudinal and one laboratory-based between-groups design.  The outcomes were reported using five different statistical models.</w:t>
      </w:r>
      <w:r w:rsidR="005D188C">
        <w:rPr>
          <w:rFonts w:ascii="Arial" w:hAnsi="Arial" w:cs="Arial"/>
        </w:rPr>
        <w:t xml:space="preserve">  </w:t>
      </w:r>
      <w:r>
        <w:rPr>
          <w:rFonts w:ascii="Arial" w:hAnsi="Arial" w:cs="Arial"/>
        </w:rPr>
        <w:t>One paper attracted a “low” score on our quality rating scale, suggesting a high risk of bias.  This study would therefore not be suitable for inclusion in a meta-analysis.</w:t>
      </w:r>
    </w:p>
    <w:p w14:paraId="242F7A28" w14:textId="77777777" w:rsidR="00B52E57" w:rsidRDefault="00B52E57" w:rsidP="00891CAE">
      <w:pPr>
        <w:spacing w:line="480" w:lineRule="auto"/>
        <w:jc w:val="both"/>
        <w:rPr>
          <w:rFonts w:ascii="Arial" w:hAnsi="Arial" w:cs="Arial"/>
        </w:rPr>
      </w:pPr>
    </w:p>
    <w:p w14:paraId="751078AA" w14:textId="56CA6E70" w:rsidR="005D188C" w:rsidRDefault="000A106D" w:rsidP="00891CAE">
      <w:pPr>
        <w:spacing w:line="480" w:lineRule="auto"/>
        <w:jc w:val="both"/>
        <w:rPr>
          <w:rFonts w:ascii="Arial" w:hAnsi="Arial" w:cs="Arial"/>
        </w:rPr>
      </w:pPr>
      <w:r>
        <w:rPr>
          <w:rFonts w:ascii="Arial" w:hAnsi="Arial" w:cs="Arial"/>
        </w:rPr>
        <w:t>The diversity of these numerous factors, in addition to the small number of papers found, led us to conclude that</w:t>
      </w:r>
      <w:r w:rsidR="001459DE">
        <w:rPr>
          <w:rFonts w:ascii="Arial" w:hAnsi="Arial" w:cs="Arial"/>
        </w:rPr>
        <w:t xml:space="preserve"> meta-analysis would not be </w:t>
      </w:r>
      <w:r>
        <w:rPr>
          <w:rFonts w:ascii="Arial" w:hAnsi="Arial" w:cs="Arial"/>
        </w:rPr>
        <w:t>appropriate</w:t>
      </w:r>
      <w:r w:rsidR="005D188C">
        <w:rPr>
          <w:rFonts w:ascii="Arial" w:hAnsi="Arial" w:cs="Arial"/>
        </w:rPr>
        <w:t xml:space="preserve"> </w:t>
      </w:r>
      <w:r w:rsidR="00FF163D">
        <w:rPr>
          <w:rFonts w:ascii="Arial" w:hAnsi="Arial" w:cs="Arial"/>
        </w:rPr>
        <w:fldChar w:fldCharType="begin"/>
      </w:r>
      <w:r>
        <w:rPr>
          <w:rFonts w:ascii="Arial" w:hAnsi="Arial" w:cs="Arial"/>
        </w:rPr>
        <w:instrText xml:space="preserve"> ADDIN EN.CITE &lt;EndNote&gt;&lt;Cite&gt;&lt;Author&gt;The Cochrane Collaboration&lt;/Author&gt;&lt;Year&gt;2011&lt;/Year&gt;&lt;RecNum&gt;36&lt;/RecNum&gt;&lt;DisplayText&gt;(The Cochrane Collaboration, 2011)&lt;/DisplayText&gt;&lt;record&gt;&lt;rec-number&gt;36&lt;/rec-number&gt;&lt;foreign-keys&gt;&lt;key app="EN" db-id="t22t00d5ufv20zevv905trpv90ax5add2f0v" timestamp="1509453641"&gt;36&lt;/key&gt;&lt;/foreign-keys&gt;&lt;ref-type name="Electronic Book Section"&gt;60&lt;/ref-type&gt;&lt;contributors&gt;&lt;authors&gt;&lt;author&gt;The Cochrane Collaboration,&lt;/author&gt;&lt;/authors&gt;&lt;secondary-authors&gt;&lt;author&gt;Higgins, Julian PT&lt;/author&gt;&lt;author&gt;Green, Sally&lt;/author&gt;&lt;/secondary-authors&gt;&lt;/contributors&gt;&lt;titles&gt;&lt;title&gt;Chapter 9, Analysing data and undertaking meta-analyses&lt;/title&gt;&lt;secondary-title&gt;Cochrane handbook for systematic reviews of interventions &lt;/secondary-title&gt;&lt;/titles&gt;&lt;volume&gt;4&lt;/volume&gt;&lt;num-vols&gt;5.1.0&lt;/num-vols&gt;&lt;dates&gt;&lt;year&gt;2011&lt;/year&gt;&lt;/dates&gt;&lt;publisher&gt; www.handbook.cochrane.org&lt;/publisher&gt;&lt;isbn&gt;1119964792&lt;/isbn&gt;&lt;urls&gt;&lt;/urls&gt;&lt;/record&gt;&lt;/Cite&gt;&lt;/EndNote&gt;</w:instrText>
      </w:r>
      <w:r w:rsidR="00FF163D">
        <w:rPr>
          <w:rFonts w:ascii="Arial" w:hAnsi="Arial" w:cs="Arial"/>
        </w:rPr>
        <w:fldChar w:fldCharType="separate"/>
      </w:r>
      <w:r w:rsidR="00FF163D">
        <w:rPr>
          <w:rFonts w:ascii="Arial" w:hAnsi="Arial" w:cs="Arial"/>
          <w:noProof/>
        </w:rPr>
        <w:t>(The Cochrane Collaboration, 2011)</w:t>
      </w:r>
      <w:r w:rsidR="00FF163D">
        <w:rPr>
          <w:rFonts w:ascii="Arial" w:hAnsi="Arial" w:cs="Arial"/>
        </w:rPr>
        <w:fldChar w:fldCharType="end"/>
      </w:r>
      <w:r>
        <w:rPr>
          <w:rFonts w:ascii="Arial" w:hAnsi="Arial" w:cs="Arial"/>
        </w:rPr>
        <w:t>.</w:t>
      </w:r>
    </w:p>
    <w:p w14:paraId="380EDF30" w14:textId="77777777" w:rsidR="00B52E57" w:rsidRDefault="00B52E57" w:rsidP="00891CAE">
      <w:pPr>
        <w:spacing w:line="480" w:lineRule="auto"/>
        <w:jc w:val="both"/>
        <w:rPr>
          <w:rFonts w:ascii="Arial" w:hAnsi="Arial" w:cs="Arial"/>
        </w:rPr>
      </w:pPr>
    </w:p>
    <w:p w14:paraId="5E30B5BC" w14:textId="61F327D4" w:rsidR="000A106D" w:rsidRDefault="003C554D" w:rsidP="00891CAE">
      <w:pPr>
        <w:spacing w:line="480" w:lineRule="auto"/>
        <w:jc w:val="both"/>
        <w:rPr>
          <w:rFonts w:ascii="Arial" w:hAnsi="Arial" w:cs="Arial"/>
        </w:rPr>
      </w:pPr>
      <w:r>
        <w:rPr>
          <w:rFonts w:ascii="Arial" w:hAnsi="Arial" w:cs="Arial"/>
        </w:rPr>
        <w:t>See Table A1 for a summary of the included papers.</w:t>
      </w:r>
    </w:p>
    <w:p w14:paraId="484BCDE7" w14:textId="77777777" w:rsidR="000A106D" w:rsidRDefault="000A106D" w:rsidP="00891CAE">
      <w:pPr>
        <w:spacing w:line="480" w:lineRule="auto"/>
        <w:jc w:val="both"/>
        <w:rPr>
          <w:rFonts w:ascii="Arial" w:hAnsi="Arial" w:cs="Arial"/>
        </w:rPr>
        <w:sectPr w:rsidR="000A106D" w:rsidSect="003B2DC4">
          <w:headerReference w:type="default" r:id="rId8"/>
          <w:footerReference w:type="default" r:id="rId9"/>
          <w:type w:val="continuous"/>
          <w:pgSz w:w="11906" w:h="16838"/>
          <w:pgMar w:top="1440" w:right="1440" w:bottom="1440" w:left="1440" w:header="708" w:footer="708" w:gutter="0"/>
          <w:cols w:space="708"/>
          <w:docGrid w:linePitch="360"/>
        </w:sectPr>
      </w:pPr>
    </w:p>
    <w:p w14:paraId="5074E7C3" w14:textId="3B38A56B" w:rsidR="008056E6" w:rsidRDefault="008056E6" w:rsidP="000A106D">
      <w:pPr>
        <w:spacing w:after="0" w:line="240" w:lineRule="auto"/>
        <w:rPr>
          <w:rFonts w:ascii="Arial" w:hAnsi="Arial" w:cs="Arial"/>
        </w:rPr>
      </w:pPr>
      <w:r w:rsidRPr="008056E6">
        <w:rPr>
          <w:rFonts w:ascii="Arial" w:hAnsi="Arial" w:cs="Arial"/>
        </w:rPr>
        <w:lastRenderedPageBreak/>
        <w:t xml:space="preserve">Table </w:t>
      </w:r>
      <w:r w:rsidR="003C554D">
        <w:rPr>
          <w:rFonts w:ascii="Arial" w:hAnsi="Arial" w:cs="Arial"/>
        </w:rPr>
        <w:t>A</w:t>
      </w:r>
      <w:r w:rsidRPr="008056E6">
        <w:rPr>
          <w:rFonts w:ascii="Arial" w:hAnsi="Arial" w:cs="Arial"/>
        </w:rPr>
        <w:t>1.</w:t>
      </w:r>
      <w:r>
        <w:rPr>
          <w:rFonts w:ascii="Arial" w:hAnsi="Arial" w:cs="Arial"/>
        </w:rPr>
        <w:t xml:space="preserve">  Summary of studies’ characteristics</w:t>
      </w:r>
    </w:p>
    <w:p w14:paraId="75C821A2" w14:textId="77777777" w:rsidR="000A106D" w:rsidRPr="008056E6" w:rsidRDefault="000A106D" w:rsidP="000A106D">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951"/>
        <w:gridCol w:w="1701"/>
        <w:gridCol w:w="3037"/>
        <w:gridCol w:w="3909"/>
        <w:gridCol w:w="2254"/>
        <w:gridCol w:w="1322"/>
      </w:tblGrid>
      <w:tr w:rsidR="00B52E57" w:rsidRPr="00435441" w14:paraId="6C433AE7" w14:textId="77777777" w:rsidTr="00ED75B8">
        <w:trPr>
          <w:trHeight w:val="915"/>
        </w:trPr>
        <w:tc>
          <w:tcPr>
            <w:tcW w:w="1951" w:type="dxa"/>
            <w:shd w:val="clear" w:color="auto" w:fill="auto"/>
          </w:tcPr>
          <w:p w14:paraId="6EAEE29E" w14:textId="77777777"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b/>
                <w:sz w:val="20"/>
                <w:szCs w:val="20"/>
                <w:lang w:val="en-US"/>
              </w:rPr>
              <w:t>Study</w:t>
            </w:r>
          </w:p>
        </w:tc>
        <w:tc>
          <w:tcPr>
            <w:tcW w:w="1701" w:type="dxa"/>
            <w:shd w:val="clear" w:color="auto" w:fill="auto"/>
          </w:tcPr>
          <w:p w14:paraId="4638B8FD" w14:textId="238220AC"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b/>
                <w:sz w:val="20"/>
                <w:szCs w:val="20"/>
                <w:lang w:val="en-US"/>
              </w:rPr>
              <w:t xml:space="preserve">Methodology </w:t>
            </w:r>
          </w:p>
        </w:tc>
        <w:tc>
          <w:tcPr>
            <w:tcW w:w="3037" w:type="dxa"/>
            <w:shd w:val="clear" w:color="auto" w:fill="auto"/>
          </w:tcPr>
          <w:p w14:paraId="52094E1C" w14:textId="77777777"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b/>
                <w:sz w:val="20"/>
                <w:szCs w:val="20"/>
                <w:lang w:val="en-US"/>
              </w:rPr>
              <w:t>Measurement of passive smoking</w:t>
            </w:r>
          </w:p>
        </w:tc>
        <w:tc>
          <w:tcPr>
            <w:tcW w:w="3909" w:type="dxa"/>
            <w:shd w:val="clear" w:color="auto" w:fill="auto"/>
          </w:tcPr>
          <w:p w14:paraId="4A065A11" w14:textId="77777777"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b/>
                <w:sz w:val="20"/>
                <w:szCs w:val="20"/>
                <w:lang w:val="en-US"/>
              </w:rPr>
              <w:t>Measurement of cognitive functioning</w:t>
            </w:r>
          </w:p>
        </w:tc>
        <w:tc>
          <w:tcPr>
            <w:tcW w:w="2254" w:type="dxa"/>
            <w:shd w:val="clear" w:color="auto" w:fill="auto"/>
          </w:tcPr>
          <w:p w14:paraId="3148DFD2" w14:textId="6825C9FD" w:rsidR="00AE5881" w:rsidRPr="00435441" w:rsidRDefault="00AE5881" w:rsidP="008971E6">
            <w:pPr>
              <w:spacing w:line="360" w:lineRule="auto"/>
              <w:jc w:val="both"/>
              <w:rPr>
                <w:rFonts w:ascii="Arial" w:hAnsi="Arial" w:cs="Arial"/>
                <w:b/>
                <w:sz w:val="20"/>
                <w:szCs w:val="20"/>
                <w:lang w:val="en-US"/>
              </w:rPr>
            </w:pPr>
            <w:r>
              <w:rPr>
                <w:rFonts w:ascii="Arial" w:hAnsi="Arial" w:cs="Arial"/>
                <w:b/>
                <w:sz w:val="20"/>
                <w:szCs w:val="20"/>
                <w:lang w:val="en-US"/>
              </w:rPr>
              <w:t>Statistical measure reported</w:t>
            </w:r>
          </w:p>
        </w:tc>
        <w:tc>
          <w:tcPr>
            <w:tcW w:w="0" w:type="auto"/>
            <w:shd w:val="clear" w:color="auto" w:fill="auto"/>
          </w:tcPr>
          <w:p w14:paraId="53BF483D" w14:textId="77777777"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b/>
                <w:sz w:val="20"/>
                <w:szCs w:val="20"/>
                <w:lang w:val="en-US"/>
              </w:rPr>
              <w:t>Quality Score</w:t>
            </w:r>
          </w:p>
        </w:tc>
      </w:tr>
      <w:tr w:rsidR="00B52E57" w:rsidRPr="00435441" w14:paraId="085FD52A" w14:textId="77777777" w:rsidTr="00ED75B8">
        <w:trPr>
          <w:trHeight w:val="691"/>
        </w:trPr>
        <w:tc>
          <w:tcPr>
            <w:tcW w:w="1951" w:type="dxa"/>
            <w:shd w:val="clear" w:color="auto" w:fill="auto"/>
          </w:tcPr>
          <w:p w14:paraId="7258CA71" w14:textId="469C4292" w:rsidR="00AE5881" w:rsidRPr="00435441" w:rsidRDefault="00AE5881" w:rsidP="008971E6">
            <w:pPr>
              <w:spacing w:after="0" w:line="360" w:lineRule="auto"/>
              <w:jc w:val="both"/>
              <w:rPr>
                <w:rFonts w:ascii="Arial" w:hAnsi="Arial" w:cs="Arial"/>
                <w:b/>
                <w:sz w:val="20"/>
                <w:szCs w:val="20"/>
                <w:lang w:val="en-US"/>
              </w:rPr>
            </w:pPr>
            <w:r w:rsidRPr="00435441">
              <w:rPr>
                <w:rFonts w:ascii="Arial" w:hAnsi="Arial" w:cs="Arial"/>
                <w:color w:val="000000"/>
                <w:sz w:val="20"/>
                <w:szCs w:val="20"/>
                <w:lang w:val="en-US"/>
              </w:rPr>
              <w:t xml:space="preserve">Akhtar </w:t>
            </w:r>
            <w:r w:rsidRPr="00D3114E">
              <w:rPr>
                <w:rFonts w:ascii="Arial" w:hAnsi="Arial" w:cs="Arial"/>
                <w:i/>
                <w:color w:val="000000"/>
                <w:sz w:val="20"/>
                <w:szCs w:val="20"/>
                <w:lang w:val="en-US"/>
              </w:rPr>
              <w:t>et al</w:t>
            </w:r>
            <w:r w:rsidRPr="00435441">
              <w:rPr>
                <w:rFonts w:ascii="Arial" w:hAnsi="Arial" w:cs="Arial"/>
                <w:color w:val="000000"/>
                <w:sz w:val="20"/>
                <w:szCs w:val="20"/>
                <w:lang w:val="en-US"/>
              </w:rPr>
              <w:t xml:space="preserve">., 2013 </w:t>
            </w:r>
          </w:p>
        </w:tc>
        <w:tc>
          <w:tcPr>
            <w:tcW w:w="1701" w:type="dxa"/>
            <w:shd w:val="clear" w:color="auto" w:fill="auto"/>
          </w:tcPr>
          <w:p w14:paraId="535B420B" w14:textId="6ACD3367" w:rsidR="00AE5881" w:rsidRPr="00435441" w:rsidRDefault="00AE5881" w:rsidP="008971E6">
            <w:pPr>
              <w:spacing w:line="360" w:lineRule="auto"/>
              <w:jc w:val="both"/>
              <w:rPr>
                <w:rFonts w:ascii="Arial" w:hAnsi="Arial" w:cs="Arial"/>
                <w:b/>
                <w:sz w:val="20"/>
                <w:szCs w:val="20"/>
                <w:lang w:val="en-US"/>
              </w:rPr>
            </w:pPr>
            <w:r>
              <w:rPr>
                <w:rFonts w:ascii="Arial" w:hAnsi="Arial" w:cs="Arial"/>
                <w:sz w:val="20"/>
                <w:szCs w:val="20"/>
                <w:lang w:val="en-US"/>
              </w:rPr>
              <w:t>Cross-Sectional</w:t>
            </w:r>
            <w:r w:rsidRPr="00435441">
              <w:rPr>
                <w:rFonts w:ascii="Arial" w:hAnsi="Arial" w:cs="Arial"/>
                <w:sz w:val="20"/>
                <w:szCs w:val="20"/>
                <w:lang w:val="en-US"/>
              </w:rPr>
              <w:t xml:space="preserve"> </w:t>
            </w:r>
          </w:p>
        </w:tc>
        <w:tc>
          <w:tcPr>
            <w:tcW w:w="3037" w:type="dxa"/>
            <w:shd w:val="clear" w:color="auto" w:fill="auto"/>
          </w:tcPr>
          <w:p w14:paraId="262D5E1B" w14:textId="041B865D" w:rsidR="00AE5881" w:rsidRPr="00435441" w:rsidRDefault="00AE5881" w:rsidP="008971E6">
            <w:pPr>
              <w:spacing w:line="360" w:lineRule="auto"/>
              <w:jc w:val="both"/>
              <w:rPr>
                <w:rFonts w:ascii="Arial" w:hAnsi="Arial" w:cs="Arial"/>
                <w:b/>
                <w:sz w:val="20"/>
                <w:szCs w:val="20"/>
                <w:lang w:val="en-US"/>
              </w:rPr>
            </w:pPr>
            <w:r>
              <w:rPr>
                <w:rFonts w:ascii="Arial" w:hAnsi="Arial" w:cs="Arial"/>
                <w:sz w:val="20"/>
                <w:szCs w:val="20"/>
                <w:lang w:val="en-US"/>
              </w:rPr>
              <w:t>S</w:t>
            </w:r>
            <w:r w:rsidRPr="00435441">
              <w:rPr>
                <w:rFonts w:ascii="Arial" w:hAnsi="Arial" w:cs="Arial"/>
                <w:sz w:val="20"/>
                <w:szCs w:val="20"/>
                <w:lang w:val="en-US"/>
              </w:rPr>
              <w:t>erum co</w:t>
            </w:r>
            <w:r w:rsidR="00BE5D69">
              <w:rPr>
                <w:rFonts w:ascii="Arial" w:hAnsi="Arial" w:cs="Arial"/>
                <w:sz w:val="20"/>
                <w:szCs w:val="20"/>
                <w:lang w:val="en-US"/>
              </w:rPr>
              <w:t>tinine level 0.011 - 9.53 ng/mL</w:t>
            </w:r>
          </w:p>
        </w:tc>
        <w:tc>
          <w:tcPr>
            <w:tcW w:w="3909" w:type="dxa"/>
            <w:shd w:val="clear" w:color="auto" w:fill="auto"/>
          </w:tcPr>
          <w:p w14:paraId="358000DC" w14:textId="50CD5A63"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sz w:val="20"/>
                <w:szCs w:val="20"/>
                <w:lang w:val="en-US"/>
              </w:rPr>
              <w:t xml:space="preserve">DSST, self-reported </w:t>
            </w:r>
            <w:r w:rsidR="00BE5D69" w:rsidRPr="00435441">
              <w:rPr>
                <w:rFonts w:ascii="Arial" w:hAnsi="Arial" w:cs="Arial"/>
                <w:sz w:val="20"/>
                <w:szCs w:val="20"/>
                <w:lang w:val="en-US"/>
              </w:rPr>
              <w:t>functional</w:t>
            </w:r>
            <w:r w:rsidRPr="00435441">
              <w:rPr>
                <w:rFonts w:ascii="Arial" w:hAnsi="Arial" w:cs="Arial"/>
                <w:sz w:val="20"/>
                <w:szCs w:val="20"/>
                <w:lang w:val="en-US"/>
              </w:rPr>
              <w:t xml:space="preserve"> limitation </w:t>
            </w:r>
          </w:p>
        </w:tc>
        <w:tc>
          <w:tcPr>
            <w:tcW w:w="2254" w:type="dxa"/>
            <w:shd w:val="clear" w:color="auto" w:fill="auto"/>
          </w:tcPr>
          <w:p w14:paraId="71AC08A4" w14:textId="628B4ADB" w:rsidR="00AE5881" w:rsidRPr="00435441" w:rsidRDefault="00AE5881" w:rsidP="008971E6">
            <w:pPr>
              <w:spacing w:line="360" w:lineRule="auto"/>
              <w:jc w:val="both"/>
              <w:rPr>
                <w:rFonts w:ascii="Arial" w:hAnsi="Arial" w:cs="Arial"/>
                <w:color w:val="000000"/>
                <w:sz w:val="20"/>
                <w:szCs w:val="20"/>
                <w:lang w:val="en-US"/>
              </w:rPr>
            </w:pPr>
            <w:r>
              <w:rPr>
                <w:rFonts w:ascii="Arial" w:hAnsi="Arial" w:cs="Arial"/>
                <w:color w:val="000000"/>
                <w:sz w:val="20"/>
                <w:szCs w:val="20"/>
                <w:lang w:val="en-US"/>
              </w:rPr>
              <w:t>L</w:t>
            </w:r>
            <w:r w:rsidRPr="00435441">
              <w:rPr>
                <w:rFonts w:ascii="Arial" w:hAnsi="Arial" w:cs="Arial"/>
                <w:color w:val="000000"/>
                <w:sz w:val="20"/>
                <w:szCs w:val="20"/>
                <w:lang w:val="en-US"/>
              </w:rPr>
              <w:t xml:space="preserve">inear regression </w:t>
            </w:r>
          </w:p>
        </w:tc>
        <w:tc>
          <w:tcPr>
            <w:tcW w:w="0" w:type="auto"/>
            <w:shd w:val="clear" w:color="auto" w:fill="auto"/>
          </w:tcPr>
          <w:p w14:paraId="44C3033B" w14:textId="057A5A93" w:rsidR="00AE5881" w:rsidRPr="00BE5D69" w:rsidRDefault="00AE5881" w:rsidP="008971E6">
            <w:pPr>
              <w:spacing w:after="0" w:line="360" w:lineRule="auto"/>
              <w:jc w:val="both"/>
              <w:rPr>
                <w:rFonts w:ascii="Arial" w:eastAsia="Times New Roman" w:hAnsi="Arial" w:cs="Arial"/>
                <w:color w:val="000000"/>
                <w:sz w:val="20"/>
                <w:szCs w:val="20"/>
                <w:lang w:val="en-US" w:eastAsia="en-GB"/>
              </w:rPr>
            </w:pPr>
            <w:r w:rsidRPr="00435441">
              <w:rPr>
                <w:rFonts w:ascii="Arial" w:eastAsia="Times New Roman" w:hAnsi="Arial" w:cs="Arial"/>
                <w:color w:val="000000"/>
                <w:sz w:val="20"/>
                <w:szCs w:val="20"/>
                <w:lang w:val="en-US" w:eastAsia="en-GB"/>
              </w:rPr>
              <w:t>H</w:t>
            </w:r>
            <w:r w:rsidR="008056E6">
              <w:rPr>
                <w:rFonts w:ascii="Arial" w:eastAsia="Times New Roman" w:hAnsi="Arial" w:cs="Arial"/>
                <w:color w:val="000000"/>
                <w:sz w:val="20"/>
                <w:szCs w:val="20"/>
                <w:lang w:val="en-US" w:eastAsia="en-GB"/>
              </w:rPr>
              <w:t>igh</w:t>
            </w:r>
          </w:p>
        </w:tc>
      </w:tr>
      <w:tr w:rsidR="00B52E57" w:rsidRPr="00435441" w14:paraId="4CCD4BC5" w14:textId="77777777" w:rsidTr="00ED75B8">
        <w:trPr>
          <w:trHeight w:val="788"/>
        </w:trPr>
        <w:tc>
          <w:tcPr>
            <w:tcW w:w="1951" w:type="dxa"/>
            <w:shd w:val="clear" w:color="auto" w:fill="auto"/>
          </w:tcPr>
          <w:p w14:paraId="016D9F08" w14:textId="05559155" w:rsidR="00AE5881" w:rsidRPr="00435441" w:rsidRDefault="00AE5881" w:rsidP="008971E6">
            <w:pPr>
              <w:spacing w:after="0" w:line="360" w:lineRule="auto"/>
              <w:jc w:val="both"/>
              <w:rPr>
                <w:rFonts w:ascii="Arial" w:hAnsi="Arial" w:cs="Arial"/>
                <w:b/>
                <w:sz w:val="20"/>
                <w:szCs w:val="20"/>
                <w:lang w:val="en-US"/>
              </w:rPr>
            </w:pPr>
            <w:r w:rsidRPr="00435441">
              <w:rPr>
                <w:rFonts w:ascii="Arial" w:hAnsi="Arial" w:cs="Arial"/>
                <w:color w:val="000000"/>
                <w:sz w:val="20"/>
                <w:szCs w:val="20"/>
                <w:lang w:val="en-US"/>
              </w:rPr>
              <w:t xml:space="preserve">Llewellyn </w:t>
            </w:r>
            <w:r w:rsidRPr="00D3114E">
              <w:rPr>
                <w:rFonts w:ascii="Arial" w:hAnsi="Arial" w:cs="Arial"/>
                <w:i/>
                <w:color w:val="000000"/>
                <w:sz w:val="20"/>
                <w:szCs w:val="20"/>
                <w:lang w:val="en-US"/>
              </w:rPr>
              <w:t>et al</w:t>
            </w:r>
            <w:r w:rsidR="008971E6">
              <w:rPr>
                <w:rFonts w:ascii="Arial" w:hAnsi="Arial" w:cs="Arial"/>
                <w:color w:val="000000"/>
                <w:sz w:val="20"/>
                <w:szCs w:val="20"/>
                <w:lang w:val="en-US"/>
              </w:rPr>
              <w:t>., 2009</w:t>
            </w:r>
          </w:p>
        </w:tc>
        <w:tc>
          <w:tcPr>
            <w:tcW w:w="1701" w:type="dxa"/>
            <w:shd w:val="clear" w:color="auto" w:fill="auto"/>
          </w:tcPr>
          <w:p w14:paraId="657AB7D7" w14:textId="026FD842" w:rsidR="00AE5881" w:rsidRPr="00435441" w:rsidRDefault="00AE5881" w:rsidP="008971E6">
            <w:pPr>
              <w:spacing w:line="360" w:lineRule="auto"/>
              <w:jc w:val="both"/>
              <w:rPr>
                <w:rFonts w:ascii="Arial" w:hAnsi="Arial" w:cs="Arial"/>
                <w:b/>
                <w:sz w:val="20"/>
                <w:szCs w:val="20"/>
                <w:lang w:val="en-US"/>
              </w:rPr>
            </w:pPr>
            <w:r>
              <w:rPr>
                <w:rFonts w:ascii="Arial" w:hAnsi="Arial" w:cs="Arial"/>
                <w:sz w:val="20"/>
                <w:szCs w:val="20"/>
                <w:lang w:val="en-US"/>
              </w:rPr>
              <w:t>Cross-Sectional</w:t>
            </w:r>
          </w:p>
        </w:tc>
        <w:tc>
          <w:tcPr>
            <w:tcW w:w="3037" w:type="dxa"/>
            <w:shd w:val="clear" w:color="auto" w:fill="auto"/>
          </w:tcPr>
          <w:p w14:paraId="7F64C52D" w14:textId="140D92AD" w:rsidR="00AE5881" w:rsidRPr="00435441" w:rsidRDefault="00AE5881" w:rsidP="008971E6">
            <w:pPr>
              <w:spacing w:line="360" w:lineRule="auto"/>
              <w:jc w:val="both"/>
              <w:rPr>
                <w:rFonts w:ascii="Arial" w:hAnsi="Arial" w:cs="Arial"/>
                <w:b/>
                <w:sz w:val="20"/>
                <w:szCs w:val="20"/>
                <w:lang w:val="en-US"/>
              </w:rPr>
            </w:pPr>
            <w:r>
              <w:rPr>
                <w:rFonts w:ascii="Arial" w:hAnsi="Arial" w:cs="Arial"/>
                <w:sz w:val="20"/>
                <w:szCs w:val="20"/>
                <w:lang w:val="en-US"/>
              </w:rPr>
              <w:t>S</w:t>
            </w:r>
            <w:r w:rsidRPr="00435441">
              <w:rPr>
                <w:rFonts w:ascii="Arial" w:hAnsi="Arial" w:cs="Arial"/>
                <w:sz w:val="20"/>
                <w:szCs w:val="20"/>
                <w:lang w:val="en-US"/>
              </w:rPr>
              <w:t>alivary</w:t>
            </w:r>
            <w:r w:rsidR="008971E6">
              <w:rPr>
                <w:rFonts w:ascii="Arial" w:hAnsi="Arial" w:cs="Arial"/>
                <w:sz w:val="20"/>
                <w:szCs w:val="20"/>
                <w:lang w:val="en-US"/>
              </w:rPr>
              <w:t xml:space="preserve"> cotinine level 0.0 - 14.1 ng/mL</w:t>
            </w:r>
          </w:p>
        </w:tc>
        <w:tc>
          <w:tcPr>
            <w:tcW w:w="3909" w:type="dxa"/>
            <w:shd w:val="clear" w:color="auto" w:fill="auto"/>
          </w:tcPr>
          <w:p w14:paraId="57ED5DDC" w14:textId="09A291DD"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sz w:val="20"/>
                <w:szCs w:val="20"/>
                <w:lang w:val="en-US"/>
              </w:rPr>
              <w:t>Composite scores on</w:t>
            </w:r>
            <w:r w:rsidR="005E4F0F">
              <w:rPr>
                <w:rFonts w:ascii="Arial" w:hAnsi="Arial" w:cs="Arial"/>
                <w:sz w:val="20"/>
                <w:szCs w:val="20"/>
                <w:lang w:val="en-US"/>
              </w:rPr>
              <w:t xml:space="preserve"> six cognitive tests</w:t>
            </w:r>
          </w:p>
        </w:tc>
        <w:tc>
          <w:tcPr>
            <w:tcW w:w="2254" w:type="dxa"/>
            <w:shd w:val="clear" w:color="auto" w:fill="auto"/>
          </w:tcPr>
          <w:p w14:paraId="74A4DC70" w14:textId="42D6532A" w:rsidR="00AE5881" w:rsidRPr="00435441" w:rsidRDefault="00AE5881" w:rsidP="008971E6">
            <w:pPr>
              <w:spacing w:after="0" w:line="360" w:lineRule="auto"/>
              <w:jc w:val="both"/>
              <w:rPr>
                <w:rFonts w:ascii="Arial" w:hAnsi="Arial" w:cs="Arial"/>
                <w:b/>
                <w:sz w:val="20"/>
                <w:szCs w:val="20"/>
                <w:lang w:val="en-US"/>
              </w:rPr>
            </w:pPr>
            <w:r>
              <w:rPr>
                <w:rFonts w:ascii="Arial" w:hAnsi="Arial" w:cs="Arial"/>
                <w:color w:val="000000"/>
                <w:sz w:val="20"/>
                <w:szCs w:val="20"/>
                <w:lang w:val="en-US"/>
              </w:rPr>
              <w:t>Odds</w:t>
            </w:r>
            <w:r w:rsidRPr="00435441">
              <w:rPr>
                <w:rFonts w:ascii="Arial" w:hAnsi="Arial" w:cs="Arial"/>
                <w:color w:val="000000"/>
                <w:sz w:val="20"/>
                <w:szCs w:val="20"/>
                <w:lang w:val="en-US"/>
              </w:rPr>
              <w:t xml:space="preserve"> ratios </w:t>
            </w:r>
          </w:p>
        </w:tc>
        <w:tc>
          <w:tcPr>
            <w:tcW w:w="0" w:type="auto"/>
            <w:shd w:val="clear" w:color="auto" w:fill="auto"/>
          </w:tcPr>
          <w:p w14:paraId="73A99BDC" w14:textId="41F17DAA" w:rsidR="00AE5881" w:rsidRPr="00435441" w:rsidRDefault="00AE5881" w:rsidP="008971E6">
            <w:pPr>
              <w:spacing w:line="360" w:lineRule="auto"/>
              <w:jc w:val="both"/>
              <w:rPr>
                <w:rFonts w:ascii="Arial" w:hAnsi="Arial" w:cs="Arial"/>
                <w:b/>
                <w:sz w:val="20"/>
                <w:szCs w:val="20"/>
                <w:lang w:val="en-US"/>
              </w:rPr>
            </w:pPr>
            <w:r w:rsidRPr="00435441">
              <w:rPr>
                <w:rFonts w:ascii="Arial" w:hAnsi="Arial" w:cs="Arial"/>
                <w:sz w:val="20"/>
                <w:szCs w:val="20"/>
                <w:lang w:val="en-US"/>
              </w:rPr>
              <w:t>H</w:t>
            </w:r>
            <w:r w:rsidR="008056E6">
              <w:rPr>
                <w:rFonts w:ascii="Arial" w:hAnsi="Arial" w:cs="Arial"/>
                <w:sz w:val="20"/>
                <w:szCs w:val="20"/>
                <w:lang w:val="en-US"/>
              </w:rPr>
              <w:t>igh</w:t>
            </w:r>
          </w:p>
        </w:tc>
      </w:tr>
      <w:tr w:rsidR="00B52E57" w:rsidRPr="00435441" w14:paraId="5A4E61E2" w14:textId="77777777" w:rsidTr="00ED75B8">
        <w:trPr>
          <w:trHeight w:val="872"/>
        </w:trPr>
        <w:tc>
          <w:tcPr>
            <w:tcW w:w="1951" w:type="dxa"/>
            <w:shd w:val="clear" w:color="auto" w:fill="auto"/>
          </w:tcPr>
          <w:p w14:paraId="16748A18" w14:textId="46CF0B3D"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B</w:t>
            </w:r>
            <w:r w:rsidR="00AE5881" w:rsidRPr="00435441">
              <w:rPr>
                <w:rFonts w:ascii="Arial" w:hAnsi="Arial" w:cs="Arial"/>
                <w:sz w:val="20"/>
                <w:szCs w:val="20"/>
                <w:lang w:val="en-US"/>
              </w:rPr>
              <w:t xml:space="preserve">arnes </w:t>
            </w:r>
            <w:r w:rsidR="00AE5881" w:rsidRPr="00D3114E">
              <w:rPr>
                <w:rFonts w:ascii="Arial" w:hAnsi="Arial" w:cs="Arial"/>
                <w:i/>
                <w:sz w:val="20"/>
                <w:szCs w:val="20"/>
                <w:lang w:val="en-US"/>
              </w:rPr>
              <w:t>et al.</w:t>
            </w:r>
            <w:r w:rsidR="00AE5881" w:rsidRPr="00D3114E">
              <w:rPr>
                <w:rFonts w:ascii="Arial" w:hAnsi="Arial" w:cs="Arial"/>
                <w:sz w:val="20"/>
                <w:szCs w:val="20"/>
                <w:lang w:val="en-US"/>
              </w:rPr>
              <w:t>,</w:t>
            </w:r>
            <w:r w:rsidR="00AE5881" w:rsidRPr="00435441">
              <w:rPr>
                <w:rFonts w:ascii="Arial" w:hAnsi="Arial" w:cs="Arial"/>
                <w:sz w:val="20"/>
                <w:szCs w:val="20"/>
                <w:lang w:val="en-US"/>
              </w:rPr>
              <w:t xml:space="preserve"> 2010 </w:t>
            </w:r>
          </w:p>
        </w:tc>
        <w:tc>
          <w:tcPr>
            <w:tcW w:w="1701" w:type="dxa"/>
            <w:shd w:val="clear" w:color="auto" w:fill="auto"/>
          </w:tcPr>
          <w:p w14:paraId="0FE275B1" w14:textId="6BACB1D5" w:rsidR="00AE5881" w:rsidRPr="00435441" w:rsidRDefault="00AE5881" w:rsidP="008971E6">
            <w:pPr>
              <w:spacing w:line="360" w:lineRule="auto"/>
              <w:jc w:val="both"/>
              <w:rPr>
                <w:rFonts w:ascii="Arial" w:hAnsi="Arial" w:cs="Arial"/>
                <w:sz w:val="20"/>
                <w:szCs w:val="20"/>
                <w:lang w:val="en-US"/>
              </w:rPr>
            </w:pPr>
            <w:r>
              <w:rPr>
                <w:rFonts w:ascii="Arial" w:hAnsi="Arial" w:cs="Arial"/>
                <w:sz w:val="20"/>
                <w:szCs w:val="20"/>
                <w:lang w:val="en-US"/>
              </w:rPr>
              <w:t>Longitudina</w:t>
            </w:r>
            <w:r w:rsidR="005E4F0F">
              <w:rPr>
                <w:rFonts w:ascii="Arial" w:hAnsi="Arial" w:cs="Arial"/>
                <w:sz w:val="20"/>
                <w:szCs w:val="20"/>
                <w:lang w:val="en-US"/>
              </w:rPr>
              <w:t>l</w:t>
            </w:r>
          </w:p>
        </w:tc>
        <w:tc>
          <w:tcPr>
            <w:tcW w:w="3037" w:type="dxa"/>
            <w:shd w:val="clear" w:color="auto" w:fill="auto"/>
          </w:tcPr>
          <w:p w14:paraId="3EC75933" w14:textId="62ED1300"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Self-r</w:t>
            </w:r>
            <w:r w:rsidR="00AE5881" w:rsidRPr="00435441">
              <w:rPr>
                <w:rFonts w:ascii="Arial" w:hAnsi="Arial" w:cs="Arial"/>
                <w:sz w:val="20"/>
                <w:szCs w:val="20"/>
                <w:lang w:val="en-US"/>
              </w:rPr>
              <w:t>eport. Number of years living with smok</w:t>
            </w:r>
            <w:r w:rsidR="005E4F0F">
              <w:rPr>
                <w:rFonts w:ascii="Arial" w:hAnsi="Arial" w:cs="Arial"/>
                <w:sz w:val="20"/>
                <w:szCs w:val="20"/>
                <w:lang w:val="en-US"/>
              </w:rPr>
              <w:t>e</w:t>
            </w:r>
            <w:r w:rsidR="00AE5881" w:rsidRPr="00435441">
              <w:rPr>
                <w:rFonts w:ascii="Arial" w:hAnsi="Arial" w:cs="Arial"/>
                <w:sz w:val="20"/>
                <w:szCs w:val="20"/>
                <w:lang w:val="en-US"/>
              </w:rPr>
              <w:t>r</w:t>
            </w:r>
          </w:p>
        </w:tc>
        <w:tc>
          <w:tcPr>
            <w:tcW w:w="3909" w:type="dxa"/>
            <w:shd w:val="clear" w:color="auto" w:fill="auto"/>
          </w:tcPr>
          <w:p w14:paraId="00B5C6EF" w14:textId="23B2A1CF"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Dementia diagnosis made by multi-prof</w:t>
            </w:r>
            <w:r w:rsidR="008971E6">
              <w:rPr>
                <w:rFonts w:ascii="Arial" w:hAnsi="Arial" w:cs="Arial"/>
                <w:sz w:val="20"/>
                <w:szCs w:val="20"/>
                <w:lang w:val="en-US"/>
              </w:rPr>
              <w:t>essional adjudication committee</w:t>
            </w:r>
            <w:r w:rsidR="00B52E57">
              <w:rPr>
                <w:rFonts w:ascii="Arial" w:hAnsi="Arial" w:cs="Arial"/>
                <w:sz w:val="20"/>
                <w:szCs w:val="20"/>
                <w:lang w:val="en-US"/>
              </w:rPr>
              <w:t xml:space="preserve"> using modified MMSE and clinical information</w:t>
            </w:r>
          </w:p>
        </w:tc>
        <w:tc>
          <w:tcPr>
            <w:tcW w:w="2254" w:type="dxa"/>
            <w:shd w:val="clear" w:color="auto" w:fill="auto"/>
          </w:tcPr>
          <w:p w14:paraId="7CFCD565" w14:textId="07CCCA74" w:rsidR="00AE5881" w:rsidRPr="00435441" w:rsidRDefault="00AE5881" w:rsidP="008971E6">
            <w:pPr>
              <w:spacing w:after="0" w:line="360" w:lineRule="auto"/>
              <w:jc w:val="both"/>
              <w:rPr>
                <w:rFonts w:ascii="Arial" w:hAnsi="Arial" w:cs="Arial"/>
                <w:sz w:val="20"/>
                <w:szCs w:val="20"/>
                <w:lang w:val="en-US"/>
              </w:rPr>
            </w:pPr>
            <w:r w:rsidRPr="00435441">
              <w:rPr>
                <w:rFonts w:ascii="Arial" w:hAnsi="Arial" w:cs="Arial"/>
                <w:sz w:val="20"/>
                <w:szCs w:val="20"/>
                <w:lang w:val="en-US"/>
              </w:rPr>
              <w:t>C</w:t>
            </w:r>
            <w:r w:rsidRPr="00435441">
              <w:rPr>
                <w:rFonts w:ascii="Arial" w:hAnsi="Arial" w:cs="Arial"/>
                <w:color w:val="000000"/>
                <w:sz w:val="20"/>
                <w:szCs w:val="20"/>
                <w:lang w:val="en-US"/>
              </w:rPr>
              <w:t>ox proportional hazards with marginal structur</w:t>
            </w:r>
            <w:r>
              <w:rPr>
                <w:rFonts w:ascii="Arial" w:hAnsi="Arial" w:cs="Arial"/>
                <w:color w:val="000000"/>
                <w:sz w:val="20"/>
                <w:szCs w:val="20"/>
                <w:lang w:val="en-US"/>
              </w:rPr>
              <w:t>al models</w:t>
            </w:r>
          </w:p>
        </w:tc>
        <w:tc>
          <w:tcPr>
            <w:tcW w:w="0" w:type="auto"/>
            <w:shd w:val="clear" w:color="auto" w:fill="auto"/>
          </w:tcPr>
          <w:p w14:paraId="0A9391D5" w14:textId="686EA870"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S</w:t>
            </w:r>
            <w:r w:rsidR="008056E6">
              <w:rPr>
                <w:rFonts w:ascii="Arial" w:hAnsi="Arial" w:cs="Arial"/>
                <w:sz w:val="20"/>
                <w:szCs w:val="20"/>
                <w:lang w:val="en-US"/>
              </w:rPr>
              <w:t>atisfactory</w:t>
            </w:r>
          </w:p>
        </w:tc>
      </w:tr>
      <w:tr w:rsidR="00B52E57" w:rsidRPr="00435441" w14:paraId="54C18077" w14:textId="77777777" w:rsidTr="00ED75B8">
        <w:trPr>
          <w:trHeight w:val="762"/>
        </w:trPr>
        <w:tc>
          <w:tcPr>
            <w:tcW w:w="1951" w:type="dxa"/>
            <w:shd w:val="clear" w:color="auto" w:fill="auto"/>
          </w:tcPr>
          <w:p w14:paraId="0C0DFC36" w14:textId="77777777" w:rsidR="00AE5881" w:rsidRPr="00435441" w:rsidRDefault="00AE5881" w:rsidP="008971E6">
            <w:pPr>
              <w:spacing w:after="0" w:line="360" w:lineRule="auto"/>
              <w:jc w:val="both"/>
              <w:rPr>
                <w:rFonts w:ascii="Arial" w:hAnsi="Arial" w:cs="Arial"/>
                <w:sz w:val="20"/>
                <w:szCs w:val="20"/>
                <w:lang w:val="en-US"/>
              </w:rPr>
            </w:pPr>
            <w:r>
              <w:rPr>
                <w:rFonts w:ascii="Arial" w:hAnsi="Arial" w:cs="Arial"/>
                <w:sz w:val="20"/>
                <w:szCs w:val="20"/>
                <w:lang w:val="en-US"/>
              </w:rPr>
              <w:t>Chen</w:t>
            </w:r>
            <w:r w:rsidRPr="00435441">
              <w:rPr>
                <w:rFonts w:ascii="Arial" w:hAnsi="Arial" w:cs="Arial"/>
                <w:sz w:val="20"/>
                <w:szCs w:val="20"/>
                <w:lang w:val="en-US"/>
              </w:rPr>
              <w:t xml:space="preserve">, 2012 </w:t>
            </w:r>
          </w:p>
        </w:tc>
        <w:tc>
          <w:tcPr>
            <w:tcW w:w="1701" w:type="dxa"/>
            <w:shd w:val="clear" w:color="auto" w:fill="auto"/>
          </w:tcPr>
          <w:p w14:paraId="0F9166AE" w14:textId="567F7CB6"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 xml:space="preserve">Cross-Sectional </w:t>
            </w:r>
          </w:p>
        </w:tc>
        <w:tc>
          <w:tcPr>
            <w:tcW w:w="3037" w:type="dxa"/>
            <w:shd w:val="clear" w:color="auto" w:fill="auto"/>
          </w:tcPr>
          <w:p w14:paraId="685CAFF9" w14:textId="66DB16E0"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Self-r</w:t>
            </w:r>
            <w:r w:rsidR="00AE5881" w:rsidRPr="00435441">
              <w:rPr>
                <w:rFonts w:ascii="Arial" w:hAnsi="Arial" w:cs="Arial"/>
                <w:sz w:val="20"/>
                <w:szCs w:val="20"/>
                <w:lang w:val="en-US"/>
              </w:rPr>
              <w:t>eport</w:t>
            </w:r>
            <w:r w:rsidR="00AE5881">
              <w:rPr>
                <w:rFonts w:ascii="Arial" w:hAnsi="Arial" w:cs="Arial"/>
                <w:sz w:val="20"/>
                <w:szCs w:val="20"/>
                <w:lang w:val="en-US"/>
              </w:rPr>
              <w:t xml:space="preserve"> categorical</w:t>
            </w:r>
          </w:p>
        </w:tc>
        <w:tc>
          <w:tcPr>
            <w:tcW w:w="3909" w:type="dxa"/>
            <w:shd w:val="clear" w:color="auto" w:fill="auto"/>
          </w:tcPr>
          <w:p w14:paraId="46D7D93F" w14:textId="3130597F"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GMS-AGECAT, modified CERAD, CSI-D</w:t>
            </w:r>
          </w:p>
        </w:tc>
        <w:tc>
          <w:tcPr>
            <w:tcW w:w="2254" w:type="dxa"/>
            <w:shd w:val="clear" w:color="auto" w:fill="auto"/>
          </w:tcPr>
          <w:p w14:paraId="281C29B8" w14:textId="4F2C7C6F" w:rsidR="00AE5881" w:rsidRPr="00435441" w:rsidRDefault="008971E6" w:rsidP="008971E6">
            <w:pPr>
              <w:spacing w:after="0" w:line="360" w:lineRule="auto"/>
              <w:jc w:val="both"/>
              <w:rPr>
                <w:rFonts w:ascii="Arial" w:hAnsi="Arial" w:cs="Arial"/>
                <w:color w:val="000000"/>
                <w:sz w:val="20"/>
                <w:szCs w:val="20"/>
                <w:lang w:val="en-US"/>
              </w:rPr>
            </w:pPr>
            <w:r>
              <w:rPr>
                <w:rFonts w:ascii="Arial" w:hAnsi="Arial" w:cs="Arial"/>
                <w:color w:val="000000"/>
                <w:sz w:val="20"/>
                <w:szCs w:val="20"/>
                <w:lang w:val="en-US"/>
              </w:rPr>
              <w:t>Multivariable Cox-adjusted r</w:t>
            </w:r>
            <w:r w:rsidR="00AE5881" w:rsidRPr="00435441">
              <w:rPr>
                <w:rFonts w:ascii="Arial" w:hAnsi="Arial" w:cs="Arial"/>
                <w:color w:val="000000"/>
                <w:sz w:val="20"/>
                <w:szCs w:val="20"/>
                <w:lang w:val="en-US"/>
              </w:rPr>
              <w:t xml:space="preserve">isk </w:t>
            </w:r>
            <w:r>
              <w:rPr>
                <w:rFonts w:ascii="Arial" w:hAnsi="Arial" w:cs="Arial"/>
                <w:color w:val="000000"/>
                <w:sz w:val="20"/>
                <w:szCs w:val="20"/>
                <w:lang w:val="en-US"/>
              </w:rPr>
              <w:t>r</w:t>
            </w:r>
            <w:r w:rsidR="00AE5881" w:rsidRPr="00435441">
              <w:rPr>
                <w:rFonts w:ascii="Arial" w:hAnsi="Arial" w:cs="Arial"/>
                <w:color w:val="000000"/>
                <w:sz w:val="20"/>
                <w:szCs w:val="20"/>
                <w:lang w:val="en-US"/>
              </w:rPr>
              <w:t xml:space="preserve">atio </w:t>
            </w:r>
          </w:p>
        </w:tc>
        <w:tc>
          <w:tcPr>
            <w:tcW w:w="0" w:type="auto"/>
            <w:shd w:val="clear" w:color="auto" w:fill="auto"/>
          </w:tcPr>
          <w:p w14:paraId="5B793A61" w14:textId="7840CE0A"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S</w:t>
            </w:r>
            <w:r w:rsidR="008056E6">
              <w:rPr>
                <w:rFonts w:ascii="Arial" w:hAnsi="Arial" w:cs="Arial"/>
                <w:sz w:val="20"/>
                <w:szCs w:val="20"/>
                <w:lang w:val="en-US"/>
              </w:rPr>
              <w:t>atisfactory</w:t>
            </w:r>
          </w:p>
        </w:tc>
      </w:tr>
      <w:tr w:rsidR="00B52E57" w:rsidRPr="00435441" w14:paraId="276D7114" w14:textId="77777777" w:rsidTr="00ED75B8">
        <w:trPr>
          <w:trHeight w:val="718"/>
        </w:trPr>
        <w:tc>
          <w:tcPr>
            <w:tcW w:w="1951" w:type="dxa"/>
            <w:shd w:val="clear" w:color="auto" w:fill="auto"/>
          </w:tcPr>
          <w:p w14:paraId="1E6A3E48" w14:textId="77777777"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 xml:space="preserve">Chen </w:t>
            </w:r>
            <w:r w:rsidRPr="00D3114E">
              <w:rPr>
                <w:rFonts w:ascii="Arial" w:hAnsi="Arial" w:cs="Arial"/>
                <w:i/>
                <w:sz w:val="20"/>
                <w:szCs w:val="20"/>
                <w:lang w:val="en-US"/>
              </w:rPr>
              <w:t>et al</w:t>
            </w:r>
            <w:r w:rsidRPr="00435441">
              <w:rPr>
                <w:rFonts w:ascii="Arial" w:hAnsi="Arial" w:cs="Arial"/>
                <w:sz w:val="20"/>
                <w:szCs w:val="20"/>
                <w:lang w:val="en-US"/>
              </w:rPr>
              <w:t xml:space="preserve">., 2012 (Research Letter) </w:t>
            </w:r>
          </w:p>
        </w:tc>
        <w:tc>
          <w:tcPr>
            <w:tcW w:w="1701" w:type="dxa"/>
            <w:shd w:val="clear" w:color="auto" w:fill="auto"/>
          </w:tcPr>
          <w:p w14:paraId="6CE41CF5" w14:textId="220CC9C1"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Cross-Sectional</w:t>
            </w:r>
          </w:p>
        </w:tc>
        <w:tc>
          <w:tcPr>
            <w:tcW w:w="3037" w:type="dxa"/>
            <w:shd w:val="clear" w:color="auto" w:fill="auto"/>
          </w:tcPr>
          <w:p w14:paraId="798DCEAC" w14:textId="4D6ECE1D" w:rsidR="00AE5881" w:rsidRPr="00435441" w:rsidRDefault="008971E6" w:rsidP="008971E6">
            <w:pPr>
              <w:spacing w:after="0" w:line="360" w:lineRule="auto"/>
              <w:jc w:val="both"/>
              <w:rPr>
                <w:rFonts w:ascii="Arial" w:hAnsi="Arial" w:cs="Arial"/>
                <w:sz w:val="20"/>
                <w:szCs w:val="20"/>
                <w:lang w:val="en-US"/>
              </w:rPr>
            </w:pPr>
            <w:r>
              <w:rPr>
                <w:rFonts w:ascii="Arial" w:hAnsi="Arial" w:cs="Arial"/>
                <w:sz w:val="20"/>
                <w:szCs w:val="20"/>
                <w:lang w:val="en-US"/>
              </w:rPr>
              <w:t>Self-r</w:t>
            </w:r>
            <w:r w:rsidR="00AE5881" w:rsidRPr="00435441">
              <w:rPr>
                <w:rFonts w:ascii="Arial" w:hAnsi="Arial" w:cs="Arial"/>
                <w:sz w:val="20"/>
                <w:szCs w:val="20"/>
                <w:lang w:val="en-US"/>
              </w:rPr>
              <w:t>eport</w:t>
            </w:r>
            <w:r w:rsidR="00AE5881">
              <w:rPr>
                <w:rFonts w:ascii="Arial" w:hAnsi="Arial" w:cs="Arial"/>
                <w:sz w:val="20"/>
                <w:szCs w:val="20"/>
                <w:lang w:val="en-US"/>
              </w:rPr>
              <w:t xml:space="preserve"> categorical</w:t>
            </w:r>
          </w:p>
        </w:tc>
        <w:tc>
          <w:tcPr>
            <w:tcW w:w="3909" w:type="dxa"/>
            <w:shd w:val="clear" w:color="auto" w:fill="auto"/>
          </w:tcPr>
          <w:p w14:paraId="0D9AB747" w14:textId="0ED76727" w:rsidR="00AE5881" w:rsidRPr="00435441" w:rsidRDefault="00AE5881" w:rsidP="008971E6">
            <w:pPr>
              <w:spacing w:after="0" w:line="360" w:lineRule="auto"/>
              <w:jc w:val="both"/>
              <w:rPr>
                <w:rFonts w:ascii="Arial" w:hAnsi="Arial" w:cs="Arial"/>
                <w:sz w:val="20"/>
                <w:szCs w:val="20"/>
                <w:lang w:val="en-US"/>
              </w:rPr>
            </w:pPr>
            <w:r w:rsidRPr="00435441">
              <w:rPr>
                <w:rFonts w:ascii="Arial" w:hAnsi="Arial" w:cs="Arial"/>
                <w:color w:val="000000"/>
                <w:sz w:val="20"/>
                <w:szCs w:val="20"/>
                <w:lang w:val="en-US"/>
              </w:rPr>
              <w:t>GMS-AGECAT</w:t>
            </w:r>
          </w:p>
        </w:tc>
        <w:tc>
          <w:tcPr>
            <w:tcW w:w="2254" w:type="dxa"/>
            <w:shd w:val="clear" w:color="auto" w:fill="auto"/>
          </w:tcPr>
          <w:p w14:paraId="07464378" w14:textId="2CAE5ACD" w:rsidR="00AE5881" w:rsidRPr="00435441" w:rsidRDefault="00AE5881" w:rsidP="008971E6">
            <w:pPr>
              <w:spacing w:after="0" w:line="360" w:lineRule="auto"/>
              <w:jc w:val="both"/>
              <w:rPr>
                <w:rFonts w:ascii="Arial" w:hAnsi="Arial" w:cs="Arial"/>
                <w:sz w:val="20"/>
                <w:szCs w:val="20"/>
                <w:lang w:val="en-US"/>
              </w:rPr>
            </w:pPr>
            <w:r w:rsidRPr="00435441">
              <w:rPr>
                <w:rFonts w:ascii="Arial" w:hAnsi="Arial" w:cs="Arial"/>
                <w:color w:val="000000"/>
                <w:sz w:val="20"/>
                <w:szCs w:val="20"/>
                <w:lang w:val="en-US"/>
              </w:rPr>
              <w:t xml:space="preserve">Multivariable Cox-adjusted </w:t>
            </w:r>
            <w:r w:rsidR="008971E6">
              <w:rPr>
                <w:rFonts w:ascii="Arial" w:hAnsi="Arial" w:cs="Arial"/>
                <w:color w:val="000000"/>
                <w:sz w:val="20"/>
                <w:szCs w:val="20"/>
                <w:lang w:val="en-US"/>
              </w:rPr>
              <w:t>r</w:t>
            </w:r>
            <w:r w:rsidRPr="00435441">
              <w:rPr>
                <w:rFonts w:ascii="Arial" w:hAnsi="Arial" w:cs="Arial"/>
                <w:color w:val="000000"/>
                <w:sz w:val="20"/>
                <w:szCs w:val="20"/>
                <w:lang w:val="en-US"/>
              </w:rPr>
              <w:t xml:space="preserve">isk </w:t>
            </w:r>
            <w:r w:rsidR="008971E6">
              <w:rPr>
                <w:rFonts w:ascii="Arial" w:hAnsi="Arial" w:cs="Arial"/>
                <w:color w:val="000000"/>
                <w:sz w:val="20"/>
                <w:szCs w:val="20"/>
                <w:lang w:val="en-US"/>
              </w:rPr>
              <w:t>r</w:t>
            </w:r>
            <w:r w:rsidRPr="00435441">
              <w:rPr>
                <w:rFonts w:ascii="Arial" w:hAnsi="Arial" w:cs="Arial"/>
                <w:color w:val="000000"/>
                <w:sz w:val="20"/>
                <w:szCs w:val="20"/>
                <w:lang w:val="en-US"/>
              </w:rPr>
              <w:t xml:space="preserve">atio </w:t>
            </w:r>
          </w:p>
        </w:tc>
        <w:tc>
          <w:tcPr>
            <w:tcW w:w="0" w:type="auto"/>
            <w:shd w:val="clear" w:color="auto" w:fill="auto"/>
          </w:tcPr>
          <w:p w14:paraId="2D97125C" w14:textId="53EA9CD1" w:rsidR="00AE5881" w:rsidRPr="00435441" w:rsidRDefault="008056E6" w:rsidP="008971E6">
            <w:pPr>
              <w:spacing w:after="0" w:line="360" w:lineRule="auto"/>
              <w:jc w:val="both"/>
              <w:rPr>
                <w:rFonts w:ascii="Arial" w:eastAsia="Times New Roman" w:hAnsi="Arial" w:cs="Arial"/>
                <w:color w:val="000000"/>
                <w:sz w:val="20"/>
                <w:szCs w:val="20"/>
                <w:lang w:val="en-US" w:eastAsia="en-GB"/>
              </w:rPr>
            </w:pPr>
            <w:r w:rsidRPr="00435441">
              <w:rPr>
                <w:rFonts w:ascii="Arial" w:hAnsi="Arial" w:cs="Arial"/>
                <w:sz w:val="20"/>
                <w:szCs w:val="20"/>
                <w:lang w:val="en-US"/>
              </w:rPr>
              <w:t>S</w:t>
            </w:r>
            <w:r>
              <w:rPr>
                <w:rFonts w:ascii="Arial" w:hAnsi="Arial" w:cs="Arial"/>
                <w:sz w:val="20"/>
                <w:szCs w:val="20"/>
                <w:lang w:val="en-US"/>
              </w:rPr>
              <w:t>atisfactory</w:t>
            </w:r>
          </w:p>
          <w:p w14:paraId="17A81D01" w14:textId="77777777" w:rsidR="00AE5881" w:rsidRPr="00435441" w:rsidRDefault="00AE5881" w:rsidP="008971E6">
            <w:pPr>
              <w:spacing w:line="360" w:lineRule="auto"/>
              <w:jc w:val="both"/>
              <w:rPr>
                <w:rFonts w:ascii="Arial" w:hAnsi="Arial" w:cs="Arial"/>
                <w:sz w:val="20"/>
                <w:szCs w:val="20"/>
                <w:lang w:val="en-US"/>
              </w:rPr>
            </w:pPr>
          </w:p>
        </w:tc>
      </w:tr>
      <w:tr w:rsidR="00B52E57" w:rsidRPr="00435441" w14:paraId="5100DBDA" w14:textId="77777777" w:rsidTr="00ED75B8">
        <w:tc>
          <w:tcPr>
            <w:tcW w:w="1951" w:type="dxa"/>
            <w:shd w:val="clear" w:color="auto" w:fill="auto"/>
          </w:tcPr>
          <w:p w14:paraId="2C97CB35" w14:textId="77777777"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 xml:space="preserve">Chen </w:t>
            </w:r>
            <w:r w:rsidRPr="00D3114E">
              <w:rPr>
                <w:rFonts w:ascii="Arial" w:hAnsi="Arial" w:cs="Arial"/>
                <w:i/>
                <w:sz w:val="20"/>
                <w:szCs w:val="20"/>
                <w:lang w:val="en-US"/>
              </w:rPr>
              <w:t>et al</w:t>
            </w:r>
            <w:r w:rsidRPr="00435441">
              <w:rPr>
                <w:rFonts w:ascii="Arial" w:hAnsi="Arial" w:cs="Arial"/>
                <w:sz w:val="20"/>
                <w:szCs w:val="20"/>
                <w:lang w:val="en-US"/>
              </w:rPr>
              <w:t>., 2013</w:t>
            </w:r>
            <w:r>
              <w:rPr>
                <w:rFonts w:ascii="Arial" w:hAnsi="Arial" w:cs="Arial"/>
                <w:sz w:val="20"/>
                <w:szCs w:val="20"/>
                <w:lang w:val="en-US"/>
              </w:rPr>
              <w:t>a</w:t>
            </w:r>
            <w:r w:rsidRPr="00435441">
              <w:rPr>
                <w:rFonts w:ascii="Arial" w:hAnsi="Arial" w:cs="Arial"/>
                <w:sz w:val="20"/>
                <w:szCs w:val="20"/>
                <w:lang w:val="en-US"/>
              </w:rPr>
              <w:t xml:space="preserve"> </w:t>
            </w:r>
          </w:p>
        </w:tc>
        <w:tc>
          <w:tcPr>
            <w:tcW w:w="1701" w:type="dxa"/>
            <w:shd w:val="clear" w:color="auto" w:fill="auto"/>
          </w:tcPr>
          <w:p w14:paraId="565B79E8" w14:textId="4556879B" w:rsidR="00AE5881" w:rsidRPr="00435441" w:rsidRDefault="00AE5881" w:rsidP="008971E6">
            <w:pPr>
              <w:spacing w:line="360" w:lineRule="auto"/>
              <w:jc w:val="both"/>
              <w:rPr>
                <w:rFonts w:ascii="Arial" w:hAnsi="Arial" w:cs="Arial"/>
                <w:sz w:val="20"/>
                <w:szCs w:val="20"/>
                <w:lang w:val="en-US"/>
              </w:rPr>
            </w:pPr>
            <w:r>
              <w:rPr>
                <w:rFonts w:ascii="Arial" w:hAnsi="Arial" w:cs="Arial"/>
                <w:sz w:val="20"/>
                <w:szCs w:val="20"/>
                <w:lang w:val="en-US"/>
              </w:rPr>
              <w:t>Cross-Sectional</w:t>
            </w:r>
          </w:p>
        </w:tc>
        <w:tc>
          <w:tcPr>
            <w:tcW w:w="3037" w:type="dxa"/>
            <w:shd w:val="clear" w:color="auto" w:fill="auto"/>
          </w:tcPr>
          <w:p w14:paraId="2D265956" w14:textId="49B99E19"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Self-r</w:t>
            </w:r>
            <w:r w:rsidR="00AE5881" w:rsidRPr="00435441">
              <w:rPr>
                <w:rFonts w:ascii="Arial" w:hAnsi="Arial" w:cs="Arial"/>
                <w:sz w:val="20"/>
                <w:szCs w:val="20"/>
                <w:lang w:val="en-US"/>
              </w:rPr>
              <w:t>eport</w:t>
            </w:r>
            <w:r w:rsidR="00AE5881">
              <w:rPr>
                <w:rFonts w:ascii="Arial" w:hAnsi="Arial" w:cs="Arial"/>
                <w:sz w:val="20"/>
                <w:szCs w:val="20"/>
                <w:lang w:val="en-US"/>
              </w:rPr>
              <w:t xml:space="preserve"> categorical</w:t>
            </w:r>
          </w:p>
        </w:tc>
        <w:tc>
          <w:tcPr>
            <w:tcW w:w="3909" w:type="dxa"/>
            <w:shd w:val="clear" w:color="auto" w:fill="auto"/>
          </w:tcPr>
          <w:p w14:paraId="333E0246" w14:textId="7DBCACB7" w:rsidR="00AE5881" w:rsidRPr="00435441" w:rsidRDefault="005E4F0F" w:rsidP="008971E6">
            <w:pPr>
              <w:spacing w:line="360" w:lineRule="auto"/>
              <w:jc w:val="both"/>
              <w:rPr>
                <w:rFonts w:ascii="Arial" w:hAnsi="Arial" w:cs="Arial"/>
                <w:sz w:val="20"/>
                <w:szCs w:val="20"/>
                <w:lang w:val="en-US"/>
              </w:rPr>
            </w:pPr>
            <w:r>
              <w:rPr>
                <w:rFonts w:ascii="Arial" w:hAnsi="Arial" w:cs="Arial"/>
                <w:sz w:val="20"/>
                <w:szCs w:val="20"/>
                <w:lang w:val="en-US"/>
              </w:rPr>
              <w:t>GMS-AGECAT</w:t>
            </w:r>
          </w:p>
        </w:tc>
        <w:tc>
          <w:tcPr>
            <w:tcW w:w="2254" w:type="dxa"/>
            <w:shd w:val="clear" w:color="auto" w:fill="auto"/>
          </w:tcPr>
          <w:p w14:paraId="7FECE35F" w14:textId="1D6C55F0" w:rsidR="00AE5881" w:rsidRPr="00435441" w:rsidRDefault="00AE5881" w:rsidP="008971E6">
            <w:pPr>
              <w:spacing w:after="0" w:line="360" w:lineRule="auto"/>
              <w:jc w:val="both"/>
              <w:rPr>
                <w:rFonts w:ascii="Arial" w:hAnsi="Arial" w:cs="Arial"/>
                <w:color w:val="000000"/>
                <w:sz w:val="20"/>
                <w:szCs w:val="20"/>
                <w:lang w:val="en-US"/>
              </w:rPr>
            </w:pPr>
            <w:r w:rsidRPr="00435441">
              <w:rPr>
                <w:rFonts w:ascii="Arial" w:hAnsi="Arial" w:cs="Arial"/>
                <w:color w:val="000000"/>
                <w:sz w:val="20"/>
                <w:szCs w:val="20"/>
                <w:lang w:val="en-US"/>
              </w:rPr>
              <w:t xml:space="preserve">Multivariable adjusted risk ratio </w:t>
            </w:r>
          </w:p>
        </w:tc>
        <w:tc>
          <w:tcPr>
            <w:tcW w:w="0" w:type="auto"/>
            <w:shd w:val="clear" w:color="auto" w:fill="auto"/>
          </w:tcPr>
          <w:p w14:paraId="3DDBC1BA" w14:textId="054028A5" w:rsidR="00AE5881" w:rsidRPr="00435441" w:rsidRDefault="008056E6" w:rsidP="008971E6">
            <w:pPr>
              <w:spacing w:after="0" w:line="360" w:lineRule="auto"/>
              <w:jc w:val="both"/>
              <w:rPr>
                <w:rFonts w:ascii="Arial" w:eastAsia="Times New Roman" w:hAnsi="Arial" w:cs="Arial"/>
                <w:color w:val="000000"/>
                <w:sz w:val="20"/>
                <w:szCs w:val="20"/>
                <w:lang w:val="en-US" w:eastAsia="en-GB"/>
              </w:rPr>
            </w:pPr>
            <w:r w:rsidRPr="00435441">
              <w:rPr>
                <w:rFonts w:ascii="Arial" w:hAnsi="Arial" w:cs="Arial"/>
                <w:sz w:val="20"/>
                <w:szCs w:val="20"/>
                <w:lang w:val="en-US"/>
              </w:rPr>
              <w:t>S</w:t>
            </w:r>
            <w:r>
              <w:rPr>
                <w:rFonts w:ascii="Arial" w:hAnsi="Arial" w:cs="Arial"/>
                <w:sz w:val="20"/>
                <w:szCs w:val="20"/>
                <w:lang w:val="en-US"/>
              </w:rPr>
              <w:t>atisfactory</w:t>
            </w:r>
          </w:p>
          <w:p w14:paraId="32A3CD1F" w14:textId="77777777" w:rsidR="00AE5881" w:rsidRPr="00435441" w:rsidRDefault="00AE5881" w:rsidP="008971E6">
            <w:pPr>
              <w:spacing w:line="360" w:lineRule="auto"/>
              <w:jc w:val="both"/>
              <w:rPr>
                <w:rFonts w:ascii="Arial" w:hAnsi="Arial" w:cs="Arial"/>
                <w:sz w:val="20"/>
                <w:szCs w:val="20"/>
                <w:lang w:val="en-US"/>
              </w:rPr>
            </w:pPr>
          </w:p>
        </w:tc>
      </w:tr>
      <w:tr w:rsidR="00B52E57" w:rsidRPr="00435441" w14:paraId="2C6167EE" w14:textId="77777777" w:rsidTr="00ED75B8">
        <w:tc>
          <w:tcPr>
            <w:tcW w:w="1951" w:type="dxa"/>
            <w:shd w:val="clear" w:color="auto" w:fill="auto"/>
          </w:tcPr>
          <w:p w14:paraId="28FF1FE0" w14:textId="77777777"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 xml:space="preserve">Chen </w:t>
            </w:r>
            <w:r w:rsidRPr="00D3114E">
              <w:rPr>
                <w:rFonts w:ascii="Arial" w:hAnsi="Arial" w:cs="Arial"/>
                <w:i/>
                <w:sz w:val="20"/>
                <w:szCs w:val="20"/>
                <w:lang w:val="en-US"/>
              </w:rPr>
              <w:t>et al</w:t>
            </w:r>
            <w:r>
              <w:rPr>
                <w:rFonts w:ascii="Arial" w:hAnsi="Arial" w:cs="Arial"/>
                <w:sz w:val="20"/>
                <w:szCs w:val="20"/>
                <w:lang w:val="en-US"/>
              </w:rPr>
              <w:t>., 2013b</w:t>
            </w:r>
          </w:p>
        </w:tc>
        <w:tc>
          <w:tcPr>
            <w:tcW w:w="1701" w:type="dxa"/>
            <w:shd w:val="clear" w:color="auto" w:fill="auto"/>
          </w:tcPr>
          <w:p w14:paraId="5E769A82" w14:textId="5927E6EA" w:rsidR="00AE5881" w:rsidRPr="00435441" w:rsidRDefault="005E4F0F" w:rsidP="008971E6">
            <w:pPr>
              <w:spacing w:line="360" w:lineRule="auto"/>
              <w:jc w:val="both"/>
              <w:rPr>
                <w:rFonts w:ascii="Arial" w:hAnsi="Arial" w:cs="Arial"/>
                <w:sz w:val="20"/>
                <w:szCs w:val="20"/>
                <w:lang w:val="en-US"/>
              </w:rPr>
            </w:pPr>
            <w:r>
              <w:rPr>
                <w:rFonts w:ascii="Arial" w:hAnsi="Arial" w:cs="Arial"/>
                <w:sz w:val="20"/>
                <w:szCs w:val="20"/>
                <w:lang w:val="en-US"/>
              </w:rPr>
              <w:t>Cross-Sectional</w:t>
            </w:r>
          </w:p>
        </w:tc>
        <w:tc>
          <w:tcPr>
            <w:tcW w:w="3037" w:type="dxa"/>
            <w:shd w:val="clear" w:color="auto" w:fill="auto"/>
          </w:tcPr>
          <w:p w14:paraId="635427D0" w14:textId="36C2A30B"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Self-r</w:t>
            </w:r>
            <w:r w:rsidR="00AE5881" w:rsidRPr="00435441">
              <w:rPr>
                <w:rFonts w:ascii="Arial" w:hAnsi="Arial" w:cs="Arial"/>
                <w:sz w:val="20"/>
                <w:szCs w:val="20"/>
                <w:lang w:val="en-US"/>
              </w:rPr>
              <w:t>eport</w:t>
            </w:r>
            <w:r w:rsidR="00AE5881">
              <w:rPr>
                <w:rFonts w:ascii="Arial" w:hAnsi="Arial" w:cs="Arial"/>
                <w:sz w:val="20"/>
                <w:szCs w:val="20"/>
                <w:lang w:val="en-US"/>
              </w:rPr>
              <w:t xml:space="preserve"> categorical</w:t>
            </w:r>
          </w:p>
        </w:tc>
        <w:tc>
          <w:tcPr>
            <w:tcW w:w="3909" w:type="dxa"/>
            <w:shd w:val="clear" w:color="auto" w:fill="auto"/>
          </w:tcPr>
          <w:p w14:paraId="2E883559" w14:textId="51287175"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GMS-AGECAT</w:t>
            </w:r>
          </w:p>
        </w:tc>
        <w:tc>
          <w:tcPr>
            <w:tcW w:w="2254" w:type="dxa"/>
            <w:shd w:val="clear" w:color="auto" w:fill="auto"/>
          </w:tcPr>
          <w:p w14:paraId="373852FF" w14:textId="3F788C39" w:rsidR="00AE5881" w:rsidRPr="00435441" w:rsidRDefault="00AE5881" w:rsidP="008971E6">
            <w:pPr>
              <w:spacing w:after="0" w:line="360" w:lineRule="auto"/>
              <w:jc w:val="both"/>
              <w:rPr>
                <w:rFonts w:ascii="Arial" w:hAnsi="Arial" w:cs="Arial"/>
                <w:sz w:val="20"/>
                <w:szCs w:val="20"/>
                <w:lang w:val="en-US"/>
              </w:rPr>
            </w:pPr>
            <w:r w:rsidRPr="00435441">
              <w:rPr>
                <w:rFonts w:ascii="Arial" w:hAnsi="Arial" w:cs="Arial"/>
                <w:color w:val="000000"/>
                <w:sz w:val="20"/>
                <w:szCs w:val="20"/>
                <w:lang w:val="en-US"/>
              </w:rPr>
              <w:t>Mu</w:t>
            </w:r>
            <w:r w:rsidR="005E4F0F">
              <w:rPr>
                <w:rFonts w:ascii="Arial" w:hAnsi="Arial" w:cs="Arial"/>
                <w:color w:val="000000"/>
                <w:sz w:val="20"/>
                <w:szCs w:val="20"/>
                <w:lang w:val="en-US"/>
              </w:rPr>
              <w:t xml:space="preserve">ltivariable adjusted </w:t>
            </w:r>
            <w:r w:rsidR="008971E6">
              <w:rPr>
                <w:rFonts w:ascii="Arial" w:hAnsi="Arial" w:cs="Arial"/>
                <w:color w:val="000000"/>
                <w:sz w:val="20"/>
                <w:szCs w:val="20"/>
                <w:lang w:val="en-US"/>
              </w:rPr>
              <w:t>r</w:t>
            </w:r>
            <w:r w:rsidR="005E4F0F">
              <w:rPr>
                <w:rFonts w:ascii="Arial" w:hAnsi="Arial" w:cs="Arial"/>
                <w:color w:val="000000"/>
                <w:sz w:val="20"/>
                <w:szCs w:val="20"/>
                <w:lang w:val="en-US"/>
              </w:rPr>
              <w:t xml:space="preserve">isk </w:t>
            </w:r>
            <w:r w:rsidR="008971E6">
              <w:rPr>
                <w:rFonts w:ascii="Arial" w:hAnsi="Arial" w:cs="Arial"/>
                <w:color w:val="000000"/>
                <w:sz w:val="20"/>
                <w:szCs w:val="20"/>
                <w:lang w:val="en-US"/>
              </w:rPr>
              <w:t>r</w:t>
            </w:r>
            <w:r w:rsidR="005E4F0F">
              <w:rPr>
                <w:rFonts w:ascii="Arial" w:hAnsi="Arial" w:cs="Arial"/>
                <w:color w:val="000000"/>
                <w:sz w:val="20"/>
                <w:szCs w:val="20"/>
                <w:lang w:val="en-US"/>
              </w:rPr>
              <w:t>atio</w:t>
            </w:r>
          </w:p>
        </w:tc>
        <w:tc>
          <w:tcPr>
            <w:tcW w:w="0" w:type="auto"/>
            <w:shd w:val="clear" w:color="auto" w:fill="auto"/>
          </w:tcPr>
          <w:p w14:paraId="06D4CA4C" w14:textId="5C88677F" w:rsidR="00AE5881" w:rsidRPr="00435441" w:rsidRDefault="008056E6" w:rsidP="008971E6">
            <w:pPr>
              <w:spacing w:line="360" w:lineRule="auto"/>
              <w:jc w:val="both"/>
              <w:rPr>
                <w:rFonts w:ascii="Arial" w:hAnsi="Arial" w:cs="Arial"/>
                <w:sz w:val="20"/>
                <w:szCs w:val="20"/>
                <w:lang w:val="en-US"/>
              </w:rPr>
            </w:pPr>
            <w:r w:rsidRPr="00435441">
              <w:rPr>
                <w:rFonts w:ascii="Arial" w:hAnsi="Arial" w:cs="Arial"/>
                <w:sz w:val="20"/>
                <w:szCs w:val="20"/>
                <w:lang w:val="en-US"/>
              </w:rPr>
              <w:t>S</w:t>
            </w:r>
            <w:r>
              <w:rPr>
                <w:rFonts w:ascii="Arial" w:hAnsi="Arial" w:cs="Arial"/>
                <w:sz w:val="20"/>
                <w:szCs w:val="20"/>
                <w:lang w:val="en-US"/>
              </w:rPr>
              <w:t>atisfactory</w:t>
            </w:r>
          </w:p>
        </w:tc>
      </w:tr>
      <w:tr w:rsidR="00B52E57" w:rsidRPr="00435441" w14:paraId="106F9BB4" w14:textId="77777777" w:rsidTr="00ED75B8">
        <w:trPr>
          <w:trHeight w:val="2255"/>
        </w:trPr>
        <w:tc>
          <w:tcPr>
            <w:tcW w:w="1951" w:type="dxa"/>
            <w:shd w:val="clear" w:color="auto" w:fill="auto"/>
          </w:tcPr>
          <w:p w14:paraId="2FDCD048" w14:textId="77777777" w:rsidR="00AE5881" w:rsidRPr="00435441" w:rsidRDefault="00AE5881" w:rsidP="008971E6">
            <w:pPr>
              <w:spacing w:line="360" w:lineRule="auto"/>
              <w:jc w:val="both"/>
              <w:rPr>
                <w:rFonts w:ascii="Arial" w:hAnsi="Arial" w:cs="Arial"/>
                <w:sz w:val="20"/>
                <w:szCs w:val="20"/>
                <w:lang w:val="en-US"/>
              </w:rPr>
            </w:pPr>
            <w:proofErr w:type="spellStart"/>
            <w:r w:rsidRPr="00435441">
              <w:rPr>
                <w:rFonts w:ascii="Arial" w:hAnsi="Arial" w:cs="Arial"/>
                <w:sz w:val="20"/>
                <w:szCs w:val="20"/>
                <w:lang w:val="en-US"/>
              </w:rPr>
              <w:lastRenderedPageBreak/>
              <w:t>Orsitto</w:t>
            </w:r>
            <w:proofErr w:type="spellEnd"/>
            <w:r w:rsidRPr="00435441">
              <w:rPr>
                <w:rFonts w:ascii="Arial" w:hAnsi="Arial" w:cs="Arial"/>
                <w:sz w:val="20"/>
                <w:szCs w:val="20"/>
                <w:lang w:val="en-US"/>
              </w:rPr>
              <w:t xml:space="preserve"> </w:t>
            </w:r>
            <w:r w:rsidRPr="00D3114E">
              <w:rPr>
                <w:rFonts w:ascii="Arial" w:hAnsi="Arial" w:cs="Arial"/>
                <w:i/>
                <w:sz w:val="20"/>
                <w:szCs w:val="20"/>
                <w:lang w:val="en-US"/>
              </w:rPr>
              <w:t>et al</w:t>
            </w:r>
            <w:r w:rsidRPr="00435441">
              <w:rPr>
                <w:rFonts w:ascii="Arial" w:hAnsi="Arial" w:cs="Arial"/>
                <w:sz w:val="20"/>
                <w:szCs w:val="20"/>
                <w:lang w:val="en-US"/>
              </w:rPr>
              <w:t xml:space="preserve">., 2012 </w:t>
            </w:r>
          </w:p>
        </w:tc>
        <w:tc>
          <w:tcPr>
            <w:tcW w:w="1701" w:type="dxa"/>
            <w:shd w:val="clear" w:color="auto" w:fill="auto"/>
          </w:tcPr>
          <w:p w14:paraId="452F242F" w14:textId="2B69A0DA"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Cross-Se</w:t>
            </w:r>
            <w:r w:rsidR="005E4F0F">
              <w:rPr>
                <w:rFonts w:ascii="Arial" w:hAnsi="Arial" w:cs="Arial"/>
                <w:sz w:val="20"/>
                <w:szCs w:val="20"/>
                <w:lang w:val="en-US"/>
              </w:rPr>
              <w:t>ctional</w:t>
            </w:r>
          </w:p>
        </w:tc>
        <w:tc>
          <w:tcPr>
            <w:tcW w:w="3037" w:type="dxa"/>
            <w:shd w:val="clear" w:color="auto" w:fill="auto"/>
          </w:tcPr>
          <w:p w14:paraId="637F5C28" w14:textId="3AA86234" w:rsidR="00AE5881" w:rsidRPr="00435441" w:rsidRDefault="008971E6" w:rsidP="008971E6">
            <w:pPr>
              <w:spacing w:line="360" w:lineRule="auto"/>
              <w:jc w:val="both"/>
              <w:rPr>
                <w:rFonts w:ascii="Arial" w:hAnsi="Arial" w:cs="Arial"/>
                <w:sz w:val="20"/>
                <w:szCs w:val="20"/>
                <w:lang w:val="en-US"/>
              </w:rPr>
            </w:pPr>
            <w:r>
              <w:rPr>
                <w:rFonts w:ascii="Arial" w:hAnsi="Arial" w:cs="Arial"/>
                <w:sz w:val="20"/>
                <w:szCs w:val="20"/>
                <w:lang w:val="en-US"/>
              </w:rPr>
              <w:t>Self-r</w:t>
            </w:r>
            <w:r w:rsidR="00AE5881" w:rsidRPr="00435441">
              <w:rPr>
                <w:rFonts w:ascii="Arial" w:hAnsi="Arial" w:cs="Arial"/>
                <w:sz w:val="20"/>
                <w:szCs w:val="20"/>
                <w:lang w:val="en-US"/>
              </w:rPr>
              <w:t>eport.  Number of hours o</w:t>
            </w:r>
            <w:r w:rsidR="005E4F0F">
              <w:rPr>
                <w:rFonts w:ascii="Arial" w:hAnsi="Arial" w:cs="Arial"/>
                <w:sz w:val="20"/>
                <w:szCs w:val="20"/>
                <w:lang w:val="en-US"/>
              </w:rPr>
              <w:t>f smoke exposure in past 7 days</w:t>
            </w:r>
          </w:p>
        </w:tc>
        <w:tc>
          <w:tcPr>
            <w:tcW w:w="3909" w:type="dxa"/>
            <w:shd w:val="clear" w:color="auto" w:fill="auto"/>
          </w:tcPr>
          <w:p w14:paraId="27FF5CCC" w14:textId="67C1C413"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MMSE, CDR. Dementia an</w:t>
            </w:r>
            <w:r w:rsidR="005E4F0F">
              <w:rPr>
                <w:rFonts w:ascii="Arial" w:hAnsi="Arial" w:cs="Arial"/>
                <w:sz w:val="20"/>
                <w:szCs w:val="20"/>
                <w:lang w:val="en-US"/>
              </w:rPr>
              <w:t>d MCI diagnoses made clinically</w:t>
            </w:r>
          </w:p>
        </w:tc>
        <w:tc>
          <w:tcPr>
            <w:tcW w:w="2254" w:type="dxa"/>
            <w:shd w:val="clear" w:color="auto" w:fill="auto"/>
          </w:tcPr>
          <w:p w14:paraId="7E4736D1" w14:textId="5348D3BB" w:rsidR="00AE5881" w:rsidRPr="00435441" w:rsidRDefault="00AE5881" w:rsidP="008971E6">
            <w:pPr>
              <w:spacing w:line="360" w:lineRule="auto"/>
              <w:jc w:val="both"/>
              <w:rPr>
                <w:rFonts w:ascii="Arial" w:hAnsi="Arial" w:cs="Arial"/>
                <w:sz w:val="20"/>
                <w:szCs w:val="20"/>
                <w:lang w:val="en-US"/>
              </w:rPr>
            </w:pPr>
            <w:r w:rsidRPr="00435441">
              <w:rPr>
                <w:rFonts w:ascii="Arial" w:hAnsi="Arial" w:cs="Arial"/>
                <w:sz w:val="20"/>
                <w:szCs w:val="20"/>
                <w:lang w:val="en-US"/>
              </w:rPr>
              <w:t>Multivariable-adjusted odds ratio (95% CI)</w:t>
            </w:r>
          </w:p>
        </w:tc>
        <w:tc>
          <w:tcPr>
            <w:tcW w:w="0" w:type="auto"/>
            <w:shd w:val="clear" w:color="auto" w:fill="auto"/>
          </w:tcPr>
          <w:p w14:paraId="0D0EEB90" w14:textId="67422E1E" w:rsidR="00AE5881" w:rsidRPr="00435441" w:rsidRDefault="008056E6" w:rsidP="008971E6">
            <w:pPr>
              <w:spacing w:line="360" w:lineRule="auto"/>
              <w:jc w:val="both"/>
              <w:rPr>
                <w:rFonts w:ascii="Arial" w:hAnsi="Arial" w:cs="Arial"/>
                <w:sz w:val="20"/>
                <w:szCs w:val="20"/>
                <w:lang w:val="en-US"/>
              </w:rPr>
            </w:pPr>
            <w:r w:rsidRPr="00435441">
              <w:rPr>
                <w:rFonts w:ascii="Arial" w:hAnsi="Arial" w:cs="Arial"/>
                <w:sz w:val="20"/>
                <w:szCs w:val="20"/>
                <w:lang w:val="en-US"/>
              </w:rPr>
              <w:t>S</w:t>
            </w:r>
            <w:r>
              <w:rPr>
                <w:rFonts w:ascii="Arial" w:hAnsi="Arial" w:cs="Arial"/>
                <w:sz w:val="20"/>
                <w:szCs w:val="20"/>
                <w:lang w:val="en-US"/>
              </w:rPr>
              <w:t>atisfactory</w:t>
            </w:r>
          </w:p>
        </w:tc>
      </w:tr>
      <w:tr w:rsidR="00B52E57" w:rsidRPr="00435441" w14:paraId="43281A2B" w14:textId="77777777" w:rsidTr="00ED75B8">
        <w:trPr>
          <w:trHeight w:val="1480"/>
        </w:trPr>
        <w:tc>
          <w:tcPr>
            <w:tcW w:w="1951" w:type="dxa"/>
            <w:shd w:val="clear" w:color="auto" w:fill="auto"/>
          </w:tcPr>
          <w:p w14:paraId="24B4F832" w14:textId="77777777" w:rsidR="00AE5881" w:rsidRPr="00435441" w:rsidRDefault="00AE5881" w:rsidP="008971E6">
            <w:pPr>
              <w:spacing w:after="0" w:line="360" w:lineRule="auto"/>
              <w:jc w:val="both"/>
              <w:rPr>
                <w:rFonts w:ascii="Arial" w:hAnsi="Arial" w:cs="Arial"/>
                <w:color w:val="000000"/>
                <w:sz w:val="20"/>
                <w:szCs w:val="20"/>
                <w:lang w:val="en-US" w:eastAsia="en-GB"/>
              </w:rPr>
            </w:pPr>
            <w:r w:rsidRPr="00435441">
              <w:rPr>
                <w:rFonts w:ascii="Arial" w:hAnsi="Arial" w:cs="Arial"/>
                <w:color w:val="000000"/>
                <w:sz w:val="20"/>
                <w:szCs w:val="20"/>
                <w:lang w:val="en-US"/>
              </w:rPr>
              <w:t xml:space="preserve">Heffernan </w:t>
            </w:r>
            <w:r>
              <w:rPr>
                <w:rFonts w:ascii="Arial" w:hAnsi="Arial" w:cs="Arial"/>
                <w:color w:val="000000"/>
                <w:sz w:val="20"/>
                <w:szCs w:val="20"/>
                <w:lang w:val="en-US"/>
              </w:rPr>
              <w:t>and O’Neill</w:t>
            </w:r>
            <w:r w:rsidRPr="00435441">
              <w:rPr>
                <w:rFonts w:ascii="Arial" w:hAnsi="Arial" w:cs="Arial"/>
                <w:color w:val="000000"/>
                <w:sz w:val="20"/>
                <w:szCs w:val="20"/>
                <w:lang w:val="en-US"/>
              </w:rPr>
              <w:t xml:space="preserve">, 2013 </w:t>
            </w:r>
          </w:p>
        </w:tc>
        <w:tc>
          <w:tcPr>
            <w:tcW w:w="1701" w:type="dxa"/>
            <w:shd w:val="clear" w:color="auto" w:fill="auto"/>
          </w:tcPr>
          <w:p w14:paraId="4DA26BA8" w14:textId="193EC7F1" w:rsidR="00AE5881" w:rsidRPr="00435441" w:rsidRDefault="005E4F0F" w:rsidP="008971E6">
            <w:pPr>
              <w:spacing w:line="360" w:lineRule="auto"/>
              <w:jc w:val="both"/>
              <w:rPr>
                <w:rFonts w:ascii="Arial" w:hAnsi="Arial" w:cs="Arial"/>
                <w:sz w:val="20"/>
                <w:szCs w:val="20"/>
                <w:lang w:val="en-US"/>
              </w:rPr>
            </w:pPr>
            <w:r>
              <w:rPr>
                <w:rFonts w:ascii="Arial" w:hAnsi="Arial" w:cs="Arial"/>
                <w:sz w:val="20"/>
                <w:szCs w:val="20"/>
                <w:lang w:val="en-US"/>
              </w:rPr>
              <w:t>Between-Groups Design</w:t>
            </w:r>
          </w:p>
        </w:tc>
        <w:tc>
          <w:tcPr>
            <w:tcW w:w="3037" w:type="dxa"/>
            <w:shd w:val="clear" w:color="auto" w:fill="auto"/>
          </w:tcPr>
          <w:p w14:paraId="5F6307EF" w14:textId="1C446ABF" w:rsidR="00AE5881" w:rsidRPr="00435441" w:rsidRDefault="00AE5881" w:rsidP="008971E6">
            <w:pPr>
              <w:spacing w:after="0" w:line="360" w:lineRule="auto"/>
              <w:jc w:val="both"/>
              <w:rPr>
                <w:rFonts w:ascii="Arial" w:hAnsi="Arial" w:cs="Arial"/>
                <w:sz w:val="20"/>
                <w:szCs w:val="20"/>
                <w:lang w:val="en-US"/>
              </w:rPr>
            </w:pPr>
            <w:r w:rsidRPr="00435441">
              <w:rPr>
                <w:rFonts w:ascii="Arial" w:hAnsi="Arial" w:cs="Arial"/>
                <w:color w:val="000000"/>
                <w:sz w:val="20"/>
                <w:szCs w:val="20"/>
                <w:lang w:val="en-US"/>
              </w:rPr>
              <w:t xml:space="preserve">Self-report questionnaire: number of hours </w:t>
            </w:r>
            <w:r w:rsidR="005E4F0F">
              <w:rPr>
                <w:rFonts w:ascii="Arial" w:hAnsi="Arial" w:cs="Arial"/>
                <w:color w:val="000000"/>
                <w:sz w:val="20"/>
                <w:szCs w:val="20"/>
                <w:lang w:val="en-US"/>
              </w:rPr>
              <w:t>of smoked exposure</w:t>
            </w:r>
            <w:r w:rsidRPr="00435441">
              <w:rPr>
                <w:rFonts w:ascii="Arial" w:hAnsi="Arial" w:cs="Arial"/>
                <w:color w:val="000000"/>
                <w:sz w:val="20"/>
                <w:szCs w:val="20"/>
                <w:lang w:val="en-US"/>
              </w:rPr>
              <w:t xml:space="preserve"> per week.</w:t>
            </w:r>
          </w:p>
        </w:tc>
        <w:tc>
          <w:tcPr>
            <w:tcW w:w="3909" w:type="dxa"/>
            <w:shd w:val="clear" w:color="auto" w:fill="auto"/>
          </w:tcPr>
          <w:p w14:paraId="75343AFB" w14:textId="77777777" w:rsidR="00AE5881" w:rsidRPr="00435441" w:rsidRDefault="00AE5881" w:rsidP="008971E6">
            <w:pPr>
              <w:spacing w:after="0" w:line="360" w:lineRule="auto"/>
              <w:jc w:val="both"/>
              <w:rPr>
                <w:rFonts w:ascii="Arial" w:hAnsi="Arial" w:cs="Arial"/>
                <w:color w:val="000000"/>
                <w:sz w:val="20"/>
                <w:szCs w:val="20"/>
                <w:lang w:val="en-US" w:eastAsia="en-GB"/>
              </w:rPr>
            </w:pPr>
            <w:r w:rsidRPr="00435441">
              <w:rPr>
                <w:rFonts w:ascii="Arial" w:hAnsi="Arial" w:cs="Arial"/>
                <w:color w:val="000000"/>
                <w:sz w:val="20"/>
                <w:szCs w:val="20"/>
                <w:lang w:val="en-US"/>
              </w:rPr>
              <w:t>CAMPROMPT</w:t>
            </w:r>
          </w:p>
          <w:p w14:paraId="6FC7A33F" w14:textId="77777777" w:rsidR="00AE5881" w:rsidRPr="00435441" w:rsidRDefault="00AE5881" w:rsidP="008971E6">
            <w:pPr>
              <w:spacing w:line="360" w:lineRule="auto"/>
              <w:jc w:val="both"/>
              <w:rPr>
                <w:rFonts w:ascii="Arial" w:hAnsi="Arial" w:cs="Arial"/>
                <w:sz w:val="20"/>
                <w:szCs w:val="20"/>
                <w:lang w:val="en-US"/>
              </w:rPr>
            </w:pPr>
          </w:p>
        </w:tc>
        <w:tc>
          <w:tcPr>
            <w:tcW w:w="2254" w:type="dxa"/>
            <w:shd w:val="clear" w:color="auto" w:fill="auto"/>
          </w:tcPr>
          <w:p w14:paraId="10B08973" w14:textId="72653CAF" w:rsidR="00AE5881" w:rsidRPr="00435441" w:rsidRDefault="005E4F0F" w:rsidP="008971E6">
            <w:pPr>
              <w:spacing w:after="0" w:line="360" w:lineRule="auto"/>
              <w:jc w:val="both"/>
              <w:rPr>
                <w:rFonts w:ascii="Arial" w:hAnsi="Arial" w:cs="Arial"/>
                <w:color w:val="000000"/>
                <w:sz w:val="20"/>
                <w:szCs w:val="20"/>
                <w:lang w:val="en-US" w:eastAsia="en-GB"/>
              </w:rPr>
            </w:pPr>
            <w:r>
              <w:rPr>
                <w:rFonts w:ascii="Arial" w:hAnsi="Arial" w:cs="Arial"/>
                <w:color w:val="000000"/>
                <w:sz w:val="20"/>
                <w:szCs w:val="20"/>
                <w:lang w:val="en-US"/>
              </w:rPr>
              <w:t>ANCOVA analysis</w:t>
            </w:r>
          </w:p>
        </w:tc>
        <w:tc>
          <w:tcPr>
            <w:tcW w:w="0" w:type="auto"/>
            <w:shd w:val="clear" w:color="auto" w:fill="auto"/>
          </w:tcPr>
          <w:p w14:paraId="0F86D863" w14:textId="70F01E52" w:rsidR="00AE5881" w:rsidRPr="005E4F0F" w:rsidRDefault="00AE5881" w:rsidP="008971E6">
            <w:pPr>
              <w:spacing w:after="0" w:line="360" w:lineRule="auto"/>
              <w:jc w:val="both"/>
              <w:rPr>
                <w:rFonts w:ascii="Arial" w:eastAsia="Times New Roman" w:hAnsi="Arial" w:cs="Arial"/>
                <w:color w:val="000000"/>
                <w:sz w:val="20"/>
                <w:szCs w:val="20"/>
                <w:lang w:val="en-US" w:eastAsia="en-GB"/>
              </w:rPr>
            </w:pPr>
            <w:r w:rsidRPr="00435441">
              <w:rPr>
                <w:rFonts w:ascii="Arial" w:eastAsia="Times New Roman" w:hAnsi="Arial" w:cs="Arial"/>
                <w:color w:val="000000"/>
                <w:sz w:val="20"/>
                <w:szCs w:val="20"/>
                <w:lang w:val="en-US" w:eastAsia="en-GB"/>
              </w:rPr>
              <w:t>L</w:t>
            </w:r>
            <w:r w:rsidR="008056E6">
              <w:rPr>
                <w:rFonts w:ascii="Arial" w:eastAsia="Times New Roman" w:hAnsi="Arial" w:cs="Arial"/>
                <w:color w:val="000000"/>
                <w:sz w:val="20"/>
                <w:szCs w:val="20"/>
                <w:lang w:val="en-US" w:eastAsia="en-GB"/>
              </w:rPr>
              <w:t>ow</w:t>
            </w:r>
          </w:p>
        </w:tc>
      </w:tr>
    </w:tbl>
    <w:p w14:paraId="03D08A23" w14:textId="5546CD3D" w:rsidR="009F5D3F" w:rsidRDefault="009F5D3F" w:rsidP="00891CAE">
      <w:pPr>
        <w:spacing w:line="480" w:lineRule="auto"/>
        <w:rPr>
          <w:rFonts w:ascii="Arial" w:hAnsi="Arial" w:cs="Arial"/>
          <w:b/>
          <w:sz w:val="20"/>
          <w:szCs w:val="20"/>
        </w:rPr>
      </w:pPr>
      <w:bookmarkStart w:id="0" w:name="_GoBack"/>
      <w:bookmarkEnd w:id="0"/>
    </w:p>
    <w:p w14:paraId="3B514247"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DSST= Digit Symbol Substitution Test</w:t>
      </w:r>
    </w:p>
    <w:p w14:paraId="3BCE2A07"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MMSE= Mini Mental State Examination</w:t>
      </w:r>
    </w:p>
    <w:p w14:paraId="1D8DF414"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GMS-AGECAT= Geriatric Mental Status – Automated Geriatric Examination for Computer Assisted Taxonomy</w:t>
      </w:r>
    </w:p>
    <w:p w14:paraId="69D96FD7"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CERAD= Consortium to Establish a Registry for Alzheimer's Disease</w:t>
      </w:r>
    </w:p>
    <w:p w14:paraId="55A47D5F"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CSI-D= Community Screening Instrument for Dementia</w:t>
      </w:r>
    </w:p>
    <w:p w14:paraId="6AA7513C"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CDR= Clinical Dementia Rating Scale</w:t>
      </w:r>
    </w:p>
    <w:p w14:paraId="683A588F" w14:textId="77777777" w:rsidR="00B52E57" w:rsidRPr="00435441" w:rsidRDefault="00B52E57" w:rsidP="00B52E57">
      <w:pPr>
        <w:spacing w:after="0" w:line="480" w:lineRule="auto"/>
        <w:jc w:val="both"/>
        <w:rPr>
          <w:rFonts w:ascii="Arial" w:hAnsi="Arial" w:cs="Arial"/>
          <w:lang w:val="en-US"/>
        </w:rPr>
      </w:pPr>
      <w:r w:rsidRPr="00435441">
        <w:rPr>
          <w:rFonts w:ascii="Arial" w:hAnsi="Arial" w:cs="Arial"/>
          <w:lang w:val="en-US"/>
        </w:rPr>
        <w:t>MCI= Mild cognitive impairment</w:t>
      </w:r>
    </w:p>
    <w:p w14:paraId="0D952009" w14:textId="77777777" w:rsidR="00B52E57" w:rsidRDefault="00B52E57" w:rsidP="00B52E57">
      <w:pPr>
        <w:spacing w:after="0" w:line="480" w:lineRule="auto"/>
        <w:jc w:val="both"/>
        <w:rPr>
          <w:rFonts w:ascii="Arial" w:hAnsi="Arial" w:cs="Arial"/>
          <w:lang w:val="en-US" w:eastAsia="en-GB"/>
        </w:rPr>
      </w:pPr>
      <w:r w:rsidRPr="00435441">
        <w:rPr>
          <w:rFonts w:ascii="Arial" w:hAnsi="Arial" w:cs="Arial"/>
          <w:lang w:val="en-US"/>
        </w:rPr>
        <w:t>CAMPROMPT</w:t>
      </w:r>
      <w:r w:rsidRPr="00435441">
        <w:rPr>
          <w:rFonts w:ascii="Arial" w:hAnsi="Arial" w:cs="Arial"/>
          <w:lang w:val="en-US" w:eastAsia="en-GB"/>
        </w:rPr>
        <w:t>= Cambridge Prospective Memory Test</w:t>
      </w:r>
    </w:p>
    <w:p w14:paraId="56418794" w14:textId="2B4E4431" w:rsidR="000A106D" w:rsidRDefault="000A106D" w:rsidP="00B52E57">
      <w:pPr>
        <w:spacing w:after="0" w:line="480" w:lineRule="auto"/>
        <w:jc w:val="both"/>
        <w:rPr>
          <w:rFonts w:ascii="Arial" w:hAnsi="Arial" w:cs="Arial"/>
          <w:b/>
          <w:sz w:val="20"/>
          <w:szCs w:val="20"/>
        </w:rPr>
        <w:sectPr w:rsidR="000A106D" w:rsidSect="000A106D">
          <w:pgSz w:w="16838" w:h="11906" w:orient="landscape"/>
          <w:pgMar w:top="1440" w:right="1440" w:bottom="1440" w:left="1440" w:header="708" w:footer="708" w:gutter="0"/>
          <w:cols w:space="708"/>
          <w:docGrid w:linePitch="360"/>
        </w:sectPr>
      </w:pPr>
    </w:p>
    <w:p w14:paraId="7EFD9433" w14:textId="2EFBA198" w:rsidR="001459DE" w:rsidRPr="001459DE" w:rsidRDefault="001459DE" w:rsidP="001459DE">
      <w:pPr>
        <w:pStyle w:val="EndNoteBibliography"/>
        <w:rPr>
          <w:rFonts w:ascii="Arial" w:hAnsi="Arial" w:cs="Arial"/>
          <w:b/>
          <w:sz w:val="20"/>
          <w:szCs w:val="20"/>
        </w:rPr>
      </w:pPr>
      <w:r w:rsidRPr="001459DE">
        <w:rPr>
          <w:rFonts w:ascii="Arial" w:hAnsi="Arial" w:cs="Arial"/>
          <w:b/>
          <w:sz w:val="20"/>
          <w:szCs w:val="20"/>
        </w:rPr>
        <w:lastRenderedPageBreak/>
        <w:t xml:space="preserve">References </w:t>
      </w:r>
    </w:p>
    <w:p w14:paraId="57BE29DE" w14:textId="77D0B116" w:rsidR="000A106D" w:rsidRPr="000A106D" w:rsidRDefault="00FF163D" w:rsidP="000A106D">
      <w:pPr>
        <w:pStyle w:val="EndNoteBibliography"/>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sidR="000A106D" w:rsidRPr="000A106D">
        <w:rPr>
          <w:b/>
        </w:rPr>
        <w:t>The Cochrane Collaboration</w:t>
      </w:r>
      <w:r w:rsidR="000A106D" w:rsidRPr="000A106D">
        <w:t xml:space="preserve"> (2011). Chapter 9, Analysing data and undertaking meta-analyses. In J. P. Higgins and S. Green (Eds.) Cochrane handbook for systematic reviews of interventions  </w:t>
      </w:r>
      <w:hyperlink r:id="rId10" w:history="1">
        <w:r w:rsidR="000A106D" w:rsidRPr="00517B3D">
          <w:rPr>
            <w:rStyle w:val="Hyperlink"/>
            <w:color w:val="000000" w:themeColor="text1"/>
          </w:rPr>
          <w:t>www.handbook.cochrane.org</w:t>
        </w:r>
      </w:hyperlink>
      <w:r w:rsidR="000A106D" w:rsidRPr="00517B3D">
        <w:rPr>
          <w:color w:val="000000" w:themeColor="text1"/>
        </w:rPr>
        <w:t>.</w:t>
      </w:r>
    </w:p>
    <w:p w14:paraId="08E133C1" w14:textId="7A58C01E" w:rsidR="008056E6" w:rsidRDefault="00FF163D" w:rsidP="00891CAE">
      <w:pPr>
        <w:spacing w:line="480" w:lineRule="auto"/>
        <w:rPr>
          <w:rFonts w:ascii="Arial" w:hAnsi="Arial" w:cs="Arial"/>
          <w:sz w:val="20"/>
          <w:szCs w:val="20"/>
        </w:rPr>
      </w:pPr>
      <w:r>
        <w:rPr>
          <w:rFonts w:ascii="Arial" w:hAnsi="Arial" w:cs="Arial"/>
          <w:sz w:val="20"/>
          <w:szCs w:val="20"/>
        </w:rPr>
        <w:fldChar w:fldCharType="end"/>
      </w:r>
    </w:p>
    <w:sectPr w:rsidR="008056E6" w:rsidSect="000A10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6BF00" w14:textId="77777777" w:rsidR="001B5B4C" w:rsidRDefault="001B5B4C" w:rsidP="00B43BA2">
      <w:pPr>
        <w:spacing w:after="0" w:line="240" w:lineRule="auto"/>
      </w:pPr>
      <w:r>
        <w:separator/>
      </w:r>
    </w:p>
  </w:endnote>
  <w:endnote w:type="continuationSeparator" w:id="0">
    <w:p w14:paraId="27CEB6BE" w14:textId="77777777" w:rsidR="001B5B4C" w:rsidRDefault="001B5B4C" w:rsidP="00B4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G Omega">
    <w:altName w:val="Tahoma"/>
    <w:panose1 w:val="00000000000000000000"/>
    <w:charset w:val="00"/>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317673"/>
      <w:docPartObj>
        <w:docPartGallery w:val="Page Numbers (Bottom of Page)"/>
        <w:docPartUnique/>
      </w:docPartObj>
    </w:sdtPr>
    <w:sdtEndPr>
      <w:rPr>
        <w:noProof/>
      </w:rPr>
    </w:sdtEndPr>
    <w:sdtContent>
      <w:p w14:paraId="270B3AF3" w14:textId="0366D1F0" w:rsidR="00F04447" w:rsidRDefault="00F04447">
        <w:pPr>
          <w:pStyle w:val="Footer"/>
          <w:jc w:val="right"/>
        </w:pPr>
        <w:r>
          <w:fldChar w:fldCharType="begin"/>
        </w:r>
        <w:r>
          <w:instrText xml:space="preserve"> PAGE   \* MERGEFORMAT </w:instrText>
        </w:r>
        <w:r>
          <w:fldChar w:fldCharType="separate"/>
        </w:r>
        <w:r w:rsidR="00ED75B8">
          <w:rPr>
            <w:noProof/>
          </w:rPr>
          <w:t>3</w:t>
        </w:r>
        <w:r>
          <w:rPr>
            <w:noProof/>
          </w:rPr>
          <w:fldChar w:fldCharType="end"/>
        </w:r>
      </w:p>
    </w:sdtContent>
  </w:sdt>
  <w:p w14:paraId="017276CB" w14:textId="77777777" w:rsidR="00F04447" w:rsidRDefault="00F044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29F73" w14:textId="77777777" w:rsidR="001B5B4C" w:rsidRDefault="001B5B4C" w:rsidP="00B43BA2">
      <w:pPr>
        <w:spacing w:after="0" w:line="240" w:lineRule="auto"/>
      </w:pPr>
      <w:r>
        <w:separator/>
      </w:r>
    </w:p>
  </w:footnote>
  <w:footnote w:type="continuationSeparator" w:id="0">
    <w:p w14:paraId="0227D1C6" w14:textId="77777777" w:rsidR="001B5B4C" w:rsidRDefault="001B5B4C" w:rsidP="00B43B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E1A2" w14:textId="434CBA25" w:rsidR="00F04447" w:rsidRDefault="00F04447" w:rsidP="00A8066E">
    <w:pPr>
      <w:pStyle w:val="Header"/>
      <w:ind w:right="110"/>
      <w:jc w:val="right"/>
    </w:pPr>
  </w:p>
  <w:p w14:paraId="3DDC87CE" w14:textId="77777777" w:rsidR="00F04447" w:rsidRDefault="00F044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1386"/>
    <w:multiLevelType w:val="hybridMultilevel"/>
    <w:tmpl w:val="739E0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B65094"/>
    <w:multiLevelType w:val="hybridMultilevel"/>
    <w:tmpl w:val="59BC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235F52"/>
    <w:multiLevelType w:val="hybridMultilevel"/>
    <w:tmpl w:val="465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138AE"/>
    <w:multiLevelType w:val="hybridMultilevel"/>
    <w:tmpl w:val="36E41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450BBE"/>
    <w:multiLevelType w:val="hybridMultilevel"/>
    <w:tmpl w:val="4BBA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5D2313"/>
    <w:multiLevelType w:val="hybridMultilevel"/>
    <w:tmpl w:val="AFC0D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1D488F"/>
    <w:multiLevelType w:val="hybridMultilevel"/>
    <w:tmpl w:val="B90C9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9655D4"/>
    <w:multiLevelType w:val="hybridMultilevel"/>
    <w:tmpl w:val="B76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0C1291"/>
    <w:multiLevelType w:val="hybridMultilevel"/>
    <w:tmpl w:val="F89C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C1944"/>
    <w:multiLevelType w:val="hybridMultilevel"/>
    <w:tmpl w:val="E446F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F57317"/>
    <w:multiLevelType w:val="hybridMultilevel"/>
    <w:tmpl w:val="9E48DD54"/>
    <w:lvl w:ilvl="0" w:tplc="9210E2C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AB151E"/>
    <w:multiLevelType w:val="hybridMultilevel"/>
    <w:tmpl w:val="7C487B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4A65F5"/>
    <w:multiLevelType w:val="hybridMultilevel"/>
    <w:tmpl w:val="D73A7CF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BC139C9"/>
    <w:multiLevelType w:val="hybridMultilevel"/>
    <w:tmpl w:val="D5A6D7AC"/>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CD0DA1"/>
    <w:multiLevelType w:val="hybridMultilevel"/>
    <w:tmpl w:val="52F4B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D43CEF"/>
    <w:multiLevelType w:val="hybridMultilevel"/>
    <w:tmpl w:val="9E48DD54"/>
    <w:lvl w:ilvl="0" w:tplc="9210E2C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0B331B"/>
    <w:multiLevelType w:val="hybridMultilevel"/>
    <w:tmpl w:val="07746A94"/>
    <w:lvl w:ilvl="0" w:tplc="4EF0A4BC">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5D081E"/>
    <w:multiLevelType w:val="hybridMultilevel"/>
    <w:tmpl w:val="07746A94"/>
    <w:lvl w:ilvl="0" w:tplc="4EF0A4BC">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10"/>
  </w:num>
  <w:num w:numId="5">
    <w:abstractNumId w:val="9"/>
  </w:num>
  <w:num w:numId="6">
    <w:abstractNumId w:val="1"/>
  </w:num>
  <w:num w:numId="7">
    <w:abstractNumId w:val="2"/>
  </w:num>
  <w:num w:numId="8">
    <w:abstractNumId w:val="8"/>
  </w:num>
  <w:num w:numId="9">
    <w:abstractNumId w:val="12"/>
  </w:num>
  <w:num w:numId="10">
    <w:abstractNumId w:val="17"/>
  </w:num>
  <w:num w:numId="11">
    <w:abstractNumId w:val="0"/>
  </w:num>
  <w:num w:numId="12">
    <w:abstractNumId w:val="7"/>
  </w:num>
  <w:num w:numId="13">
    <w:abstractNumId w:val="13"/>
  </w:num>
  <w:num w:numId="14">
    <w:abstractNumId w:val="4"/>
  </w:num>
  <w:num w:numId="15">
    <w:abstractNumId w:val="5"/>
  </w:num>
  <w:num w:numId="16">
    <w:abstractNumId w:val="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Psychogeria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2t00d5ufv20zevv905trpv90ax5add2f0v&quot;&gt;Passive smoking SR references&lt;record-ids&gt;&lt;item&gt;36&lt;/item&gt;&lt;/record-ids&gt;&lt;/item&gt;&lt;/Libraries&gt;"/>
  </w:docVars>
  <w:rsids>
    <w:rsidRoot w:val="00D22665"/>
    <w:rsid w:val="00006ED0"/>
    <w:rsid w:val="0001283A"/>
    <w:rsid w:val="00013B99"/>
    <w:rsid w:val="000158BC"/>
    <w:rsid w:val="000170CC"/>
    <w:rsid w:val="00027638"/>
    <w:rsid w:val="00030DC2"/>
    <w:rsid w:val="00031C64"/>
    <w:rsid w:val="0003234C"/>
    <w:rsid w:val="0005154B"/>
    <w:rsid w:val="00060565"/>
    <w:rsid w:val="000640E6"/>
    <w:rsid w:val="0006612B"/>
    <w:rsid w:val="00067051"/>
    <w:rsid w:val="00067E23"/>
    <w:rsid w:val="00072C8C"/>
    <w:rsid w:val="000755CA"/>
    <w:rsid w:val="0008412C"/>
    <w:rsid w:val="00092C74"/>
    <w:rsid w:val="000938E8"/>
    <w:rsid w:val="00095F18"/>
    <w:rsid w:val="00097DEC"/>
    <w:rsid w:val="000A106D"/>
    <w:rsid w:val="000B7284"/>
    <w:rsid w:val="000C4784"/>
    <w:rsid w:val="000D0F30"/>
    <w:rsid w:val="000D21C4"/>
    <w:rsid w:val="000E1D7D"/>
    <w:rsid w:val="000E2220"/>
    <w:rsid w:val="000F6FAF"/>
    <w:rsid w:val="001235B6"/>
    <w:rsid w:val="00131182"/>
    <w:rsid w:val="00132ADD"/>
    <w:rsid w:val="0014060C"/>
    <w:rsid w:val="001406EA"/>
    <w:rsid w:val="00142BB5"/>
    <w:rsid w:val="00142E3A"/>
    <w:rsid w:val="00144CC7"/>
    <w:rsid w:val="001459DE"/>
    <w:rsid w:val="00152A99"/>
    <w:rsid w:val="00152F45"/>
    <w:rsid w:val="0015421C"/>
    <w:rsid w:val="00154921"/>
    <w:rsid w:val="001667F5"/>
    <w:rsid w:val="0016722F"/>
    <w:rsid w:val="00187265"/>
    <w:rsid w:val="00195B65"/>
    <w:rsid w:val="00197394"/>
    <w:rsid w:val="001A385A"/>
    <w:rsid w:val="001A4936"/>
    <w:rsid w:val="001A5503"/>
    <w:rsid w:val="001A6AAF"/>
    <w:rsid w:val="001B0F9F"/>
    <w:rsid w:val="001B2949"/>
    <w:rsid w:val="001B5B4C"/>
    <w:rsid w:val="001B6A31"/>
    <w:rsid w:val="001C0533"/>
    <w:rsid w:val="001D651F"/>
    <w:rsid w:val="001F09FF"/>
    <w:rsid w:val="001F0DB4"/>
    <w:rsid w:val="001F1806"/>
    <w:rsid w:val="001F2C16"/>
    <w:rsid w:val="00204F8A"/>
    <w:rsid w:val="00211630"/>
    <w:rsid w:val="00216E48"/>
    <w:rsid w:val="00226056"/>
    <w:rsid w:val="00227296"/>
    <w:rsid w:val="00230553"/>
    <w:rsid w:val="00242B1F"/>
    <w:rsid w:val="00252C68"/>
    <w:rsid w:val="00254935"/>
    <w:rsid w:val="00255174"/>
    <w:rsid w:val="002566BD"/>
    <w:rsid w:val="002577B3"/>
    <w:rsid w:val="002650B5"/>
    <w:rsid w:val="00265530"/>
    <w:rsid w:val="00265829"/>
    <w:rsid w:val="0026675B"/>
    <w:rsid w:val="002748A6"/>
    <w:rsid w:val="00274F41"/>
    <w:rsid w:val="00275141"/>
    <w:rsid w:val="0029345D"/>
    <w:rsid w:val="00295273"/>
    <w:rsid w:val="00296AE8"/>
    <w:rsid w:val="00297B76"/>
    <w:rsid w:val="002B05A0"/>
    <w:rsid w:val="002C092C"/>
    <w:rsid w:val="002C5AED"/>
    <w:rsid w:val="002D4BDD"/>
    <w:rsid w:val="002D6D4F"/>
    <w:rsid w:val="002E1FC8"/>
    <w:rsid w:val="002E28F4"/>
    <w:rsid w:val="002E3606"/>
    <w:rsid w:val="002E4B6C"/>
    <w:rsid w:val="002E58C2"/>
    <w:rsid w:val="002F32B2"/>
    <w:rsid w:val="002F3D06"/>
    <w:rsid w:val="00302191"/>
    <w:rsid w:val="00306AE5"/>
    <w:rsid w:val="00312438"/>
    <w:rsid w:val="00320D6F"/>
    <w:rsid w:val="003224BE"/>
    <w:rsid w:val="0032355E"/>
    <w:rsid w:val="00333CAB"/>
    <w:rsid w:val="003404A6"/>
    <w:rsid w:val="00346820"/>
    <w:rsid w:val="00354652"/>
    <w:rsid w:val="003626D0"/>
    <w:rsid w:val="00364953"/>
    <w:rsid w:val="003715B9"/>
    <w:rsid w:val="00374744"/>
    <w:rsid w:val="00381E6A"/>
    <w:rsid w:val="00393BE8"/>
    <w:rsid w:val="00395CAF"/>
    <w:rsid w:val="003A3888"/>
    <w:rsid w:val="003A396A"/>
    <w:rsid w:val="003A57B5"/>
    <w:rsid w:val="003B2DC4"/>
    <w:rsid w:val="003B4F65"/>
    <w:rsid w:val="003B53B1"/>
    <w:rsid w:val="003B77E9"/>
    <w:rsid w:val="003C22AA"/>
    <w:rsid w:val="003C3E92"/>
    <w:rsid w:val="003C554D"/>
    <w:rsid w:val="003D3C67"/>
    <w:rsid w:val="003E66E7"/>
    <w:rsid w:val="003F2C3F"/>
    <w:rsid w:val="004016E5"/>
    <w:rsid w:val="00401A13"/>
    <w:rsid w:val="00403C84"/>
    <w:rsid w:val="004055C6"/>
    <w:rsid w:val="00407EB0"/>
    <w:rsid w:val="00410548"/>
    <w:rsid w:val="0041210B"/>
    <w:rsid w:val="004162DE"/>
    <w:rsid w:val="00420334"/>
    <w:rsid w:val="00421ACC"/>
    <w:rsid w:val="00425502"/>
    <w:rsid w:val="00432907"/>
    <w:rsid w:val="004343C4"/>
    <w:rsid w:val="004438D3"/>
    <w:rsid w:val="004512D2"/>
    <w:rsid w:val="00453925"/>
    <w:rsid w:val="0045446E"/>
    <w:rsid w:val="004709D4"/>
    <w:rsid w:val="004713BD"/>
    <w:rsid w:val="0047250C"/>
    <w:rsid w:val="00476A0D"/>
    <w:rsid w:val="00491CA1"/>
    <w:rsid w:val="00494D45"/>
    <w:rsid w:val="00494FAA"/>
    <w:rsid w:val="0049751C"/>
    <w:rsid w:val="004A0898"/>
    <w:rsid w:val="004A2DAD"/>
    <w:rsid w:val="004A7F57"/>
    <w:rsid w:val="004B38C8"/>
    <w:rsid w:val="004B5278"/>
    <w:rsid w:val="004B586B"/>
    <w:rsid w:val="004C0B86"/>
    <w:rsid w:val="004D01F1"/>
    <w:rsid w:val="004E43DC"/>
    <w:rsid w:val="004F39F9"/>
    <w:rsid w:val="004F6DEE"/>
    <w:rsid w:val="005007D2"/>
    <w:rsid w:val="00501527"/>
    <w:rsid w:val="00502128"/>
    <w:rsid w:val="00506E2C"/>
    <w:rsid w:val="005073BC"/>
    <w:rsid w:val="0051014F"/>
    <w:rsid w:val="00513622"/>
    <w:rsid w:val="00515EBE"/>
    <w:rsid w:val="00516175"/>
    <w:rsid w:val="00517A40"/>
    <w:rsid w:val="00517B3D"/>
    <w:rsid w:val="00520D63"/>
    <w:rsid w:val="0052176B"/>
    <w:rsid w:val="005234C8"/>
    <w:rsid w:val="0053239E"/>
    <w:rsid w:val="00535AF2"/>
    <w:rsid w:val="005377CF"/>
    <w:rsid w:val="005526D1"/>
    <w:rsid w:val="005537A8"/>
    <w:rsid w:val="00554D46"/>
    <w:rsid w:val="00565693"/>
    <w:rsid w:val="00575193"/>
    <w:rsid w:val="00576AE6"/>
    <w:rsid w:val="00577356"/>
    <w:rsid w:val="005865C1"/>
    <w:rsid w:val="005866F9"/>
    <w:rsid w:val="00591749"/>
    <w:rsid w:val="005A32AD"/>
    <w:rsid w:val="005A4783"/>
    <w:rsid w:val="005C57B5"/>
    <w:rsid w:val="005D188C"/>
    <w:rsid w:val="005D5F81"/>
    <w:rsid w:val="005E4F0F"/>
    <w:rsid w:val="005F24B0"/>
    <w:rsid w:val="005F6CD2"/>
    <w:rsid w:val="006038DB"/>
    <w:rsid w:val="00610AF9"/>
    <w:rsid w:val="00611ED4"/>
    <w:rsid w:val="006126F5"/>
    <w:rsid w:val="00614EAC"/>
    <w:rsid w:val="00617AEA"/>
    <w:rsid w:val="0062529D"/>
    <w:rsid w:val="00630FAF"/>
    <w:rsid w:val="00632EDB"/>
    <w:rsid w:val="00637012"/>
    <w:rsid w:val="006405D7"/>
    <w:rsid w:val="00643D90"/>
    <w:rsid w:val="00647B96"/>
    <w:rsid w:val="00652C96"/>
    <w:rsid w:val="006564E5"/>
    <w:rsid w:val="0065707F"/>
    <w:rsid w:val="00657F4D"/>
    <w:rsid w:val="006616C6"/>
    <w:rsid w:val="00664131"/>
    <w:rsid w:val="006667EE"/>
    <w:rsid w:val="006726DF"/>
    <w:rsid w:val="006841B6"/>
    <w:rsid w:val="00691483"/>
    <w:rsid w:val="00691729"/>
    <w:rsid w:val="00691A4D"/>
    <w:rsid w:val="00695F5B"/>
    <w:rsid w:val="006A4D47"/>
    <w:rsid w:val="006B32C3"/>
    <w:rsid w:val="006B5E5D"/>
    <w:rsid w:val="006C5B43"/>
    <w:rsid w:val="006E1113"/>
    <w:rsid w:val="006E4CB9"/>
    <w:rsid w:val="006E66C7"/>
    <w:rsid w:val="006F534B"/>
    <w:rsid w:val="00704501"/>
    <w:rsid w:val="0071343B"/>
    <w:rsid w:val="00713BCF"/>
    <w:rsid w:val="00724E35"/>
    <w:rsid w:val="007257D7"/>
    <w:rsid w:val="007307C5"/>
    <w:rsid w:val="00732DA4"/>
    <w:rsid w:val="007355AA"/>
    <w:rsid w:val="0073762C"/>
    <w:rsid w:val="00741EF4"/>
    <w:rsid w:val="0075380B"/>
    <w:rsid w:val="00762EF4"/>
    <w:rsid w:val="00765282"/>
    <w:rsid w:val="00767A0D"/>
    <w:rsid w:val="00771979"/>
    <w:rsid w:val="0078483C"/>
    <w:rsid w:val="007850C8"/>
    <w:rsid w:val="0079093C"/>
    <w:rsid w:val="00791D86"/>
    <w:rsid w:val="007920B2"/>
    <w:rsid w:val="007A241D"/>
    <w:rsid w:val="007A2BD6"/>
    <w:rsid w:val="007A2F26"/>
    <w:rsid w:val="007A3591"/>
    <w:rsid w:val="007B62E5"/>
    <w:rsid w:val="007D0450"/>
    <w:rsid w:val="007D1284"/>
    <w:rsid w:val="007D6012"/>
    <w:rsid w:val="007D6AF8"/>
    <w:rsid w:val="007E573D"/>
    <w:rsid w:val="007E59C8"/>
    <w:rsid w:val="007F1F4F"/>
    <w:rsid w:val="00800AE6"/>
    <w:rsid w:val="008011FD"/>
    <w:rsid w:val="00802D52"/>
    <w:rsid w:val="00803EDC"/>
    <w:rsid w:val="008056E6"/>
    <w:rsid w:val="0080676D"/>
    <w:rsid w:val="0080772F"/>
    <w:rsid w:val="0081266A"/>
    <w:rsid w:val="00815CBF"/>
    <w:rsid w:val="008174D1"/>
    <w:rsid w:val="00830414"/>
    <w:rsid w:val="0083308F"/>
    <w:rsid w:val="00837ED8"/>
    <w:rsid w:val="00840E2B"/>
    <w:rsid w:val="008420FE"/>
    <w:rsid w:val="00842FC8"/>
    <w:rsid w:val="00851954"/>
    <w:rsid w:val="00865FCA"/>
    <w:rsid w:val="0087399C"/>
    <w:rsid w:val="00874B1B"/>
    <w:rsid w:val="00876075"/>
    <w:rsid w:val="008765CD"/>
    <w:rsid w:val="008772B5"/>
    <w:rsid w:val="00882AA4"/>
    <w:rsid w:val="008864A9"/>
    <w:rsid w:val="0089160C"/>
    <w:rsid w:val="00891CAE"/>
    <w:rsid w:val="00891F78"/>
    <w:rsid w:val="008971E6"/>
    <w:rsid w:val="008A10E9"/>
    <w:rsid w:val="008A4BDB"/>
    <w:rsid w:val="008A63D0"/>
    <w:rsid w:val="008B5193"/>
    <w:rsid w:val="008B7F15"/>
    <w:rsid w:val="008D69BE"/>
    <w:rsid w:val="008D7B43"/>
    <w:rsid w:val="008E0F4E"/>
    <w:rsid w:val="008E6A82"/>
    <w:rsid w:val="008E78F6"/>
    <w:rsid w:val="008F059D"/>
    <w:rsid w:val="008F172A"/>
    <w:rsid w:val="008F46D0"/>
    <w:rsid w:val="00905D43"/>
    <w:rsid w:val="00911703"/>
    <w:rsid w:val="00912BE2"/>
    <w:rsid w:val="00930A7D"/>
    <w:rsid w:val="0094454C"/>
    <w:rsid w:val="0094479D"/>
    <w:rsid w:val="00951144"/>
    <w:rsid w:val="009558E8"/>
    <w:rsid w:val="00965084"/>
    <w:rsid w:val="009652E3"/>
    <w:rsid w:val="00965B75"/>
    <w:rsid w:val="00966AC6"/>
    <w:rsid w:val="00967DD3"/>
    <w:rsid w:val="009715BE"/>
    <w:rsid w:val="00973F99"/>
    <w:rsid w:val="009768A3"/>
    <w:rsid w:val="00984D47"/>
    <w:rsid w:val="00994B49"/>
    <w:rsid w:val="009A11A0"/>
    <w:rsid w:val="009A7B49"/>
    <w:rsid w:val="009C5F4B"/>
    <w:rsid w:val="009D5161"/>
    <w:rsid w:val="009D5E43"/>
    <w:rsid w:val="009E02D5"/>
    <w:rsid w:val="009E1503"/>
    <w:rsid w:val="009E2768"/>
    <w:rsid w:val="009E4AEE"/>
    <w:rsid w:val="009E71B6"/>
    <w:rsid w:val="009E7DCC"/>
    <w:rsid w:val="009F0D7A"/>
    <w:rsid w:val="009F5D3F"/>
    <w:rsid w:val="009F6841"/>
    <w:rsid w:val="00A02300"/>
    <w:rsid w:val="00A04093"/>
    <w:rsid w:val="00A06395"/>
    <w:rsid w:val="00A10EFB"/>
    <w:rsid w:val="00A1688F"/>
    <w:rsid w:val="00A17755"/>
    <w:rsid w:val="00A212B0"/>
    <w:rsid w:val="00A25282"/>
    <w:rsid w:val="00A30FB2"/>
    <w:rsid w:val="00A31DD0"/>
    <w:rsid w:val="00A33995"/>
    <w:rsid w:val="00A36A07"/>
    <w:rsid w:val="00A46706"/>
    <w:rsid w:val="00A470C4"/>
    <w:rsid w:val="00A533D0"/>
    <w:rsid w:val="00A56A6B"/>
    <w:rsid w:val="00A67BC1"/>
    <w:rsid w:val="00A8066E"/>
    <w:rsid w:val="00A8135D"/>
    <w:rsid w:val="00A85B74"/>
    <w:rsid w:val="00A95EEE"/>
    <w:rsid w:val="00AA0B5A"/>
    <w:rsid w:val="00AA3E65"/>
    <w:rsid w:val="00AA5F42"/>
    <w:rsid w:val="00AB3C4F"/>
    <w:rsid w:val="00AB79FB"/>
    <w:rsid w:val="00AC0510"/>
    <w:rsid w:val="00AC5663"/>
    <w:rsid w:val="00AD21C2"/>
    <w:rsid w:val="00AD50DB"/>
    <w:rsid w:val="00AD684D"/>
    <w:rsid w:val="00AE012A"/>
    <w:rsid w:val="00AE134B"/>
    <w:rsid w:val="00AE1A72"/>
    <w:rsid w:val="00AE5881"/>
    <w:rsid w:val="00AF181A"/>
    <w:rsid w:val="00AF2387"/>
    <w:rsid w:val="00AF3C7F"/>
    <w:rsid w:val="00AF7BE6"/>
    <w:rsid w:val="00B0293F"/>
    <w:rsid w:val="00B03D0F"/>
    <w:rsid w:val="00B056F3"/>
    <w:rsid w:val="00B0697B"/>
    <w:rsid w:val="00B133EE"/>
    <w:rsid w:val="00B21542"/>
    <w:rsid w:val="00B2227A"/>
    <w:rsid w:val="00B25F5A"/>
    <w:rsid w:val="00B30703"/>
    <w:rsid w:val="00B33172"/>
    <w:rsid w:val="00B37097"/>
    <w:rsid w:val="00B42AF2"/>
    <w:rsid w:val="00B43BA2"/>
    <w:rsid w:val="00B44679"/>
    <w:rsid w:val="00B47149"/>
    <w:rsid w:val="00B501EE"/>
    <w:rsid w:val="00B52E57"/>
    <w:rsid w:val="00B53375"/>
    <w:rsid w:val="00B54FB2"/>
    <w:rsid w:val="00B561BC"/>
    <w:rsid w:val="00B626C1"/>
    <w:rsid w:val="00B70B20"/>
    <w:rsid w:val="00B7529E"/>
    <w:rsid w:val="00B815ED"/>
    <w:rsid w:val="00B85131"/>
    <w:rsid w:val="00B85941"/>
    <w:rsid w:val="00B9135C"/>
    <w:rsid w:val="00B95FA2"/>
    <w:rsid w:val="00BA4988"/>
    <w:rsid w:val="00BB3C21"/>
    <w:rsid w:val="00BB63C3"/>
    <w:rsid w:val="00BC24B4"/>
    <w:rsid w:val="00BD4E85"/>
    <w:rsid w:val="00BD7197"/>
    <w:rsid w:val="00BE3B0C"/>
    <w:rsid w:val="00BE5D69"/>
    <w:rsid w:val="00BF1D60"/>
    <w:rsid w:val="00BF49A8"/>
    <w:rsid w:val="00C015AE"/>
    <w:rsid w:val="00C01A3C"/>
    <w:rsid w:val="00C04A21"/>
    <w:rsid w:val="00C0569C"/>
    <w:rsid w:val="00C10863"/>
    <w:rsid w:val="00C14336"/>
    <w:rsid w:val="00C173A3"/>
    <w:rsid w:val="00C201B4"/>
    <w:rsid w:val="00C225F1"/>
    <w:rsid w:val="00C445A7"/>
    <w:rsid w:val="00C53A8B"/>
    <w:rsid w:val="00C55E1E"/>
    <w:rsid w:val="00C63582"/>
    <w:rsid w:val="00C70958"/>
    <w:rsid w:val="00C712D0"/>
    <w:rsid w:val="00C7133F"/>
    <w:rsid w:val="00C7402F"/>
    <w:rsid w:val="00C7490E"/>
    <w:rsid w:val="00C75BF1"/>
    <w:rsid w:val="00C82E97"/>
    <w:rsid w:val="00C86C3C"/>
    <w:rsid w:val="00C9001B"/>
    <w:rsid w:val="00C91C2E"/>
    <w:rsid w:val="00C92237"/>
    <w:rsid w:val="00C9317A"/>
    <w:rsid w:val="00C94545"/>
    <w:rsid w:val="00C962C1"/>
    <w:rsid w:val="00CA3728"/>
    <w:rsid w:val="00CA4165"/>
    <w:rsid w:val="00CA6237"/>
    <w:rsid w:val="00CB5E4C"/>
    <w:rsid w:val="00CC0FF1"/>
    <w:rsid w:val="00CC6881"/>
    <w:rsid w:val="00CD41F8"/>
    <w:rsid w:val="00CE2304"/>
    <w:rsid w:val="00CE3F6B"/>
    <w:rsid w:val="00CE4B0F"/>
    <w:rsid w:val="00CE73E2"/>
    <w:rsid w:val="00CF143B"/>
    <w:rsid w:val="00CF58C6"/>
    <w:rsid w:val="00CF5D64"/>
    <w:rsid w:val="00CF60CE"/>
    <w:rsid w:val="00D079F4"/>
    <w:rsid w:val="00D11E2B"/>
    <w:rsid w:val="00D12F8E"/>
    <w:rsid w:val="00D14A6A"/>
    <w:rsid w:val="00D22665"/>
    <w:rsid w:val="00D25733"/>
    <w:rsid w:val="00D3425E"/>
    <w:rsid w:val="00D348D1"/>
    <w:rsid w:val="00D370DE"/>
    <w:rsid w:val="00D4266B"/>
    <w:rsid w:val="00D44A1B"/>
    <w:rsid w:val="00D466EE"/>
    <w:rsid w:val="00D512D2"/>
    <w:rsid w:val="00D5339C"/>
    <w:rsid w:val="00D60CFA"/>
    <w:rsid w:val="00D6101D"/>
    <w:rsid w:val="00D669F3"/>
    <w:rsid w:val="00D67F28"/>
    <w:rsid w:val="00D73674"/>
    <w:rsid w:val="00D73F70"/>
    <w:rsid w:val="00D92877"/>
    <w:rsid w:val="00D92ACA"/>
    <w:rsid w:val="00D945E8"/>
    <w:rsid w:val="00D9499B"/>
    <w:rsid w:val="00DA3F3E"/>
    <w:rsid w:val="00DA791D"/>
    <w:rsid w:val="00DB295F"/>
    <w:rsid w:val="00DC28A2"/>
    <w:rsid w:val="00DD0794"/>
    <w:rsid w:val="00DD55DB"/>
    <w:rsid w:val="00DD71E2"/>
    <w:rsid w:val="00DE03A6"/>
    <w:rsid w:val="00DE03B6"/>
    <w:rsid w:val="00DE31E2"/>
    <w:rsid w:val="00DF35B4"/>
    <w:rsid w:val="00DF6913"/>
    <w:rsid w:val="00DF6F21"/>
    <w:rsid w:val="00DF7ED3"/>
    <w:rsid w:val="00E0190D"/>
    <w:rsid w:val="00E132DE"/>
    <w:rsid w:val="00E21C84"/>
    <w:rsid w:val="00E31524"/>
    <w:rsid w:val="00E4048B"/>
    <w:rsid w:val="00E47B0C"/>
    <w:rsid w:val="00E47BF7"/>
    <w:rsid w:val="00E51913"/>
    <w:rsid w:val="00E605F2"/>
    <w:rsid w:val="00E60F2C"/>
    <w:rsid w:val="00E61C6F"/>
    <w:rsid w:val="00E65412"/>
    <w:rsid w:val="00E70299"/>
    <w:rsid w:val="00E70727"/>
    <w:rsid w:val="00E72A7C"/>
    <w:rsid w:val="00E739A2"/>
    <w:rsid w:val="00E77ACB"/>
    <w:rsid w:val="00E87AAD"/>
    <w:rsid w:val="00E87C83"/>
    <w:rsid w:val="00E87CA8"/>
    <w:rsid w:val="00E911C2"/>
    <w:rsid w:val="00E9359B"/>
    <w:rsid w:val="00E97596"/>
    <w:rsid w:val="00EA2EA7"/>
    <w:rsid w:val="00EA326B"/>
    <w:rsid w:val="00EB4342"/>
    <w:rsid w:val="00EB507C"/>
    <w:rsid w:val="00EB78A7"/>
    <w:rsid w:val="00EC259C"/>
    <w:rsid w:val="00EC4458"/>
    <w:rsid w:val="00ED122D"/>
    <w:rsid w:val="00ED3844"/>
    <w:rsid w:val="00ED5FCB"/>
    <w:rsid w:val="00ED75B8"/>
    <w:rsid w:val="00EF4101"/>
    <w:rsid w:val="00F00B54"/>
    <w:rsid w:val="00F03364"/>
    <w:rsid w:val="00F04447"/>
    <w:rsid w:val="00F05173"/>
    <w:rsid w:val="00F063F0"/>
    <w:rsid w:val="00F5129A"/>
    <w:rsid w:val="00F5588D"/>
    <w:rsid w:val="00F6529D"/>
    <w:rsid w:val="00F66341"/>
    <w:rsid w:val="00F70FDE"/>
    <w:rsid w:val="00F80BE7"/>
    <w:rsid w:val="00F86FA1"/>
    <w:rsid w:val="00F873D6"/>
    <w:rsid w:val="00F928B8"/>
    <w:rsid w:val="00FA4D1A"/>
    <w:rsid w:val="00FA7DB8"/>
    <w:rsid w:val="00FC5456"/>
    <w:rsid w:val="00FD1935"/>
    <w:rsid w:val="00FD650A"/>
    <w:rsid w:val="00FD7E41"/>
    <w:rsid w:val="00FE2E26"/>
    <w:rsid w:val="00FF163D"/>
    <w:rsid w:val="00FF2336"/>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5C16B"/>
  <w15:docId w15:val="{BDE6DC17-639D-4925-B141-2B537C6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5E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667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667EE"/>
    <w:rPr>
      <w:rFonts w:ascii="Tahoma" w:hAnsi="Tahoma" w:cs="Tahoma"/>
      <w:sz w:val="16"/>
      <w:szCs w:val="16"/>
    </w:rPr>
  </w:style>
  <w:style w:type="character" w:styleId="Hyperlink">
    <w:name w:val="Hyperlink"/>
    <w:uiPriority w:val="99"/>
    <w:rsid w:val="006E1113"/>
    <w:rPr>
      <w:rFonts w:cs="Times New Roman"/>
      <w:color w:val="0000FF"/>
      <w:u w:val="single"/>
    </w:rPr>
  </w:style>
  <w:style w:type="paragraph" w:styleId="EndnoteText">
    <w:name w:val="endnote text"/>
    <w:basedOn w:val="Normal"/>
    <w:link w:val="EndnoteTextChar"/>
    <w:uiPriority w:val="99"/>
    <w:semiHidden/>
    <w:rsid w:val="0073762C"/>
    <w:pPr>
      <w:autoSpaceDE w:val="0"/>
      <w:autoSpaceDN w:val="0"/>
      <w:spacing w:after="0" w:line="240" w:lineRule="auto"/>
    </w:pPr>
    <w:rPr>
      <w:rFonts w:ascii="CG Omega" w:eastAsia="Times New Roman" w:hAnsi="CG Omega" w:cs="CG Omega"/>
      <w:sz w:val="20"/>
      <w:szCs w:val="20"/>
      <w:lang w:eastAsia="en-GB"/>
    </w:rPr>
  </w:style>
  <w:style w:type="character" w:customStyle="1" w:styleId="EndnoteTextChar">
    <w:name w:val="Endnote Text Char"/>
    <w:link w:val="EndnoteText"/>
    <w:uiPriority w:val="99"/>
    <w:semiHidden/>
    <w:rsid w:val="0073762C"/>
    <w:rPr>
      <w:rFonts w:ascii="CG Omega" w:eastAsia="Times New Roman" w:hAnsi="CG Omega" w:cs="CG Omega"/>
      <w:sz w:val="20"/>
      <w:szCs w:val="20"/>
    </w:rPr>
  </w:style>
  <w:style w:type="character" w:styleId="EndnoteReference">
    <w:name w:val="endnote reference"/>
    <w:uiPriority w:val="99"/>
    <w:semiHidden/>
    <w:unhideWhenUsed/>
    <w:rsid w:val="00B43BA2"/>
    <w:rPr>
      <w:vertAlign w:val="superscript"/>
    </w:rPr>
  </w:style>
  <w:style w:type="paragraph" w:customStyle="1" w:styleId="EndNoteBibliographyTitle">
    <w:name w:val="EndNote Bibliography Title"/>
    <w:basedOn w:val="Normal"/>
    <w:link w:val="EndNoteBibliographyTitleChar"/>
    <w:rsid w:val="00B43BA2"/>
    <w:pPr>
      <w:spacing w:after="0"/>
      <w:jc w:val="center"/>
    </w:pPr>
    <w:rPr>
      <w:noProof/>
      <w:lang w:val="en-US"/>
    </w:rPr>
  </w:style>
  <w:style w:type="character" w:customStyle="1" w:styleId="EndNoteBibliographyTitleChar">
    <w:name w:val="EndNote Bibliography Title Char"/>
    <w:link w:val="EndNoteBibliographyTitle"/>
    <w:rsid w:val="00B43BA2"/>
    <w:rPr>
      <w:noProof/>
      <w:sz w:val="22"/>
      <w:szCs w:val="22"/>
      <w:lang w:val="en-US" w:eastAsia="en-US"/>
    </w:rPr>
  </w:style>
  <w:style w:type="paragraph" w:customStyle="1" w:styleId="EndNoteBibliography">
    <w:name w:val="EndNote Bibliography"/>
    <w:basedOn w:val="Normal"/>
    <w:link w:val="EndNoteBibliographyChar"/>
    <w:rsid w:val="00B43BA2"/>
    <w:pPr>
      <w:spacing w:line="240" w:lineRule="auto"/>
    </w:pPr>
    <w:rPr>
      <w:noProof/>
      <w:lang w:val="en-US"/>
    </w:rPr>
  </w:style>
  <w:style w:type="character" w:customStyle="1" w:styleId="EndNoteBibliographyChar">
    <w:name w:val="EndNote Bibliography Char"/>
    <w:link w:val="EndNoteBibliography"/>
    <w:rsid w:val="00B43BA2"/>
    <w:rPr>
      <w:noProof/>
      <w:sz w:val="22"/>
      <w:szCs w:val="22"/>
      <w:lang w:val="en-US" w:eastAsia="en-US"/>
    </w:rPr>
  </w:style>
  <w:style w:type="character" w:styleId="FollowedHyperlink">
    <w:name w:val="FollowedHyperlink"/>
    <w:uiPriority w:val="99"/>
    <w:semiHidden/>
    <w:unhideWhenUsed/>
    <w:rsid w:val="00724E35"/>
    <w:rPr>
      <w:color w:val="800080"/>
      <w:u w:val="single"/>
    </w:rPr>
  </w:style>
  <w:style w:type="character" w:styleId="CommentReference">
    <w:name w:val="annotation reference"/>
    <w:uiPriority w:val="99"/>
    <w:semiHidden/>
    <w:unhideWhenUsed/>
    <w:rsid w:val="002D6D4F"/>
    <w:rPr>
      <w:sz w:val="16"/>
      <w:szCs w:val="16"/>
    </w:rPr>
  </w:style>
  <w:style w:type="paragraph" w:styleId="CommentText">
    <w:name w:val="annotation text"/>
    <w:basedOn w:val="Normal"/>
    <w:link w:val="CommentTextChar"/>
    <w:uiPriority w:val="99"/>
    <w:semiHidden/>
    <w:unhideWhenUsed/>
    <w:rsid w:val="002D6D4F"/>
    <w:rPr>
      <w:sz w:val="20"/>
      <w:szCs w:val="20"/>
    </w:rPr>
  </w:style>
  <w:style w:type="character" w:customStyle="1" w:styleId="CommentTextChar">
    <w:name w:val="Comment Text Char"/>
    <w:link w:val="CommentText"/>
    <w:uiPriority w:val="99"/>
    <w:semiHidden/>
    <w:rsid w:val="002D6D4F"/>
    <w:rPr>
      <w:lang w:eastAsia="en-US"/>
    </w:rPr>
  </w:style>
  <w:style w:type="paragraph" w:styleId="CommentSubject">
    <w:name w:val="annotation subject"/>
    <w:basedOn w:val="CommentText"/>
    <w:next w:val="CommentText"/>
    <w:link w:val="CommentSubjectChar"/>
    <w:uiPriority w:val="99"/>
    <w:semiHidden/>
    <w:unhideWhenUsed/>
    <w:rsid w:val="002D6D4F"/>
    <w:rPr>
      <w:b/>
      <w:bCs/>
    </w:rPr>
  </w:style>
  <w:style w:type="character" w:customStyle="1" w:styleId="CommentSubjectChar">
    <w:name w:val="Comment Subject Char"/>
    <w:link w:val="CommentSubject"/>
    <w:uiPriority w:val="99"/>
    <w:semiHidden/>
    <w:rsid w:val="002D6D4F"/>
    <w:rPr>
      <w:b/>
      <w:bCs/>
      <w:lang w:eastAsia="en-US"/>
    </w:rPr>
  </w:style>
  <w:style w:type="paragraph" w:customStyle="1" w:styleId="simplepara">
    <w:name w:val="simplepara"/>
    <w:basedOn w:val="Normal"/>
    <w:rsid w:val="00554D46"/>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locked/>
    <w:rsid w:val="00554D46"/>
    <w:rPr>
      <w:i/>
      <w:iCs/>
    </w:rPr>
  </w:style>
  <w:style w:type="character" w:customStyle="1" w:styleId="citationref">
    <w:name w:val="citationref"/>
    <w:rsid w:val="00554D46"/>
  </w:style>
  <w:style w:type="character" w:customStyle="1" w:styleId="apple-converted-space">
    <w:name w:val="apple-converted-space"/>
    <w:rsid w:val="00554D46"/>
  </w:style>
  <w:style w:type="paragraph" w:styleId="ListParagraph">
    <w:name w:val="List Paragraph"/>
    <w:basedOn w:val="Normal"/>
    <w:uiPriority w:val="34"/>
    <w:qFormat/>
    <w:rsid w:val="009F5D3F"/>
    <w:pPr>
      <w:ind w:left="720"/>
      <w:contextualSpacing/>
    </w:pPr>
  </w:style>
  <w:style w:type="paragraph" w:styleId="NormalWeb">
    <w:name w:val="Normal (Web)"/>
    <w:basedOn w:val="Normal"/>
    <w:uiPriority w:val="99"/>
    <w:unhideWhenUsed/>
    <w:rsid w:val="009F5D3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earchhistory-search-term">
    <w:name w:val="searchhistory-search-term"/>
    <w:rsid w:val="009F5D3F"/>
  </w:style>
  <w:style w:type="character" w:customStyle="1" w:styleId="txtsmallerbold1">
    <w:name w:val="txtsmallerbold1"/>
    <w:rsid w:val="009F5D3F"/>
    <w:rPr>
      <w:rFonts w:ascii="Arial" w:hAnsi="Arial" w:cs="Arial" w:hint="default"/>
      <w:b/>
      <w:bCs/>
      <w:sz w:val="22"/>
      <w:szCs w:val="22"/>
    </w:rPr>
  </w:style>
  <w:style w:type="character" w:customStyle="1" w:styleId="txtsmaller1">
    <w:name w:val="txtsmaller1"/>
    <w:rsid w:val="009F5D3F"/>
    <w:rPr>
      <w:sz w:val="22"/>
      <w:szCs w:val="22"/>
    </w:rPr>
  </w:style>
  <w:style w:type="paragraph" w:styleId="Revision">
    <w:name w:val="Revision"/>
    <w:hidden/>
    <w:uiPriority w:val="99"/>
    <w:semiHidden/>
    <w:rsid w:val="00A30FB2"/>
    <w:rPr>
      <w:sz w:val="22"/>
      <w:szCs w:val="22"/>
      <w:lang w:eastAsia="en-US"/>
    </w:rPr>
  </w:style>
  <w:style w:type="paragraph" w:styleId="Header">
    <w:name w:val="header"/>
    <w:basedOn w:val="Normal"/>
    <w:link w:val="HeaderChar"/>
    <w:uiPriority w:val="99"/>
    <w:rsid w:val="0080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AE6"/>
    <w:rPr>
      <w:sz w:val="22"/>
      <w:szCs w:val="22"/>
      <w:lang w:eastAsia="en-US"/>
    </w:rPr>
  </w:style>
  <w:style w:type="character" w:styleId="Strong">
    <w:name w:val="Strong"/>
    <w:basedOn w:val="DefaultParagraphFont"/>
    <w:qFormat/>
    <w:locked/>
    <w:rsid w:val="00B815ED"/>
    <w:rPr>
      <w:b/>
      <w:bCs/>
    </w:rPr>
  </w:style>
  <w:style w:type="paragraph" w:styleId="Footer">
    <w:name w:val="footer"/>
    <w:basedOn w:val="Normal"/>
    <w:link w:val="FooterChar"/>
    <w:uiPriority w:val="99"/>
    <w:unhideWhenUsed/>
    <w:rsid w:val="00A80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6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1402">
      <w:bodyDiv w:val="1"/>
      <w:marLeft w:val="0"/>
      <w:marRight w:val="0"/>
      <w:marTop w:val="0"/>
      <w:marBottom w:val="0"/>
      <w:divBdr>
        <w:top w:val="none" w:sz="0" w:space="0" w:color="auto"/>
        <w:left w:val="none" w:sz="0" w:space="0" w:color="auto"/>
        <w:bottom w:val="none" w:sz="0" w:space="0" w:color="auto"/>
        <w:right w:val="none" w:sz="0" w:space="0" w:color="auto"/>
      </w:divBdr>
    </w:div>
    <w:div w:id="190459958">
      <w:bodyDiv w:val="1"/>
      <w:marLeft w:val="0"/>
      <w:marRight w:val="0"/>
      <w:marTop w:val="0"/>
      <w:marBottom w:val="0"/>
      <w:divBdr>
        <w:top w:val="none" w:sz="0" w:space="0" w:color="auto"/>
        <w:left w:val="none" w:sz="0" w:space="0" w:color="auto"/>
        <w:bottom w:val="none" w:sz="0" w:space="0" w:color="auto"/>
        <w:right w:val="none" w:sz="0" w:space="0" w:color="auto"/>
      </w:divBdr>
    </w:div>
    <w:div w:id="281304465">
      <w:bodyDiv w:val="1"/>
      <w:marLeft w:val="0"/>
      <w:marRight w:val="0"/>
      <w:marTop w:val="0"/>
      <w:marBottom w:val="0"/>
      <w:divBdr>
        <w:top w:val="none" w:sz="0" w:space="0" w:color="auto"/>
        <w:left w:val="none" w:sz="0" w:space="0" w:color="auto"/>
        <w:bottom w:val="none" w:sz="0" w:space="0" w:color="auto"/>
        <w:right w:val="none" w:sz="0" w:space="0" w:color="auto"/>
      </w:divBdr>
    </w:div>
    <w:div w:id="358825513">
      <w:bodyDiv w:val="1"/>
      <w:marLeft w:val="0"/>
      <w:marRight w:val="0"/>
      <w:marTop w:val="0"/>
      <w:marBottom w:val="0"/>
      <w:divBdr>
        <w:top w:val="none" w:sz="0" w:space="0" w:color="auto"/>
        <w:left w:val="none" w:sz="0" w:space="0" w:color="auto"/>
        <w:bottom w:val="none" w:sz="0" w:space="0" w:color="auto"/>
        <w:right w:val="none" w:sz="0" w:space="0" w:color="auto"/>
      </w:divBdr>
    </w:div>
    <w:div w:id="527570972">
      <w:bodyDiv w:val="1"/>
      <w:marLeft w:val="0"/>
      <w:marRight w:val="0"/>
      <w:marTop w:val="0"/>
      <w:marBottom w:val="0"/>
      <w:divBdr>
        <w:top w:val="none" w:sz="0" w:space="0" w:color="auto"/>
        <w:left w:val="none" w:sz="0" w:space="0" w:color="auto"/>
        <w:bottom w:val="none" w:sz="0" w:space="0" w:color="auto"/>
        <w:right w:val="none" w:sz="0" w:space="0" w:color="auto"/>
      </w:divBdr>
    </w:div>
    <w:div w:id="534659791">
      <w:bodyDiv w:val="1"/>
      <w:marLeft w:val="0"/>
      <w:marRight w:val="0"/>
      <w:marTop w:val="0"/>
      <w:marBottom w:val="0"/>
      <w:divBdr>
        <w:top w:val="none" w:sz="0" w:space="0" w:color="auto"/>
        <w:left w:val="none" w:sz="0" w:space="0" w:color="auto"/>
        <w:bottom w:val="none" w:sz="0" w:space="0" w:color="auto"/>
        <w:right w:val="none" w:sz="0" w:space="0" w:color="auto"/>
      </w:divBdr>
    </w:div>
    <w:div w:id="642545865">
      <w:bodyDiv w:val="1"/>
      <w:marLeft w:val="0"/>
      <w:marRight w:val="0"/>
      <w:marTop w:val="0"/>
      <w:marBottom w:val="0"/>
      <w:divBdr>
        <w:top w:val="none" w:sz="0" w:space="0" w:color="auto"/>
        <w:left w:val="none" w:sz="0" w:space="0" w:color="auto"/>
        <w:bottom w:val="none" w:sz="0" w:space="0" w:color="auto"/>
        <w:right w:val="none" w:sz="0" w:space="0" w:color="auto"/>
      </w:divBdr>
    </w:div>
    <w:div w:id="642857446">
      <w:bodyDiv w:val="1"/>
      <w:marLeft w:val="0"/>
      <w:marRight w:val="0"/>
      <w:marTop w:val="0"/>
      <w:marBottom w:val="0"/>
      <w:divBdr>
        <w:top w:val="none" w:sz="0" w:space="0" w:color="auto"/>
        <w:left w:val="none" w:sz="0" w:space="0" w:color="auto"/>
        <w:bottom w:val="none" w:sz="0" w:space="0" w:color="auto"/>
        <w:right w:val="none" w:sz="0" w:space="0" w:color="auto"/>
      </w:divBdr>
    </w:div>
    <w:div w:id="652098409">
      <w:bodyDiv w:val="1"/>
      <w:marLeft w:val="0"/>
      <w:marRight w:val="0"/>
      <w:marTop w:val="0"/>
      <w:marBottom w:val="0"/>
      <w:divBdr>
        <w:top w:val="none" w:sz="0" w:space="0" w:color="auto"/>
        <w:left w:val="none" w:sz="0" w:space="0" w:color="auto"/>
        <w:bottom w:val="none" w:sz="0" w:space="0" w:color="auto"/>
        <w:right w:val="none" w:sz="0" w:space="0" w:color="auto"/>
      </w:divBdr>
    </w:div>
    <w:div w:id="741684567">
      <w:bodyDiv w:val="1"/>
      <w:marLeft w:val="0"/>
      <w:marRight w:val="0"/>
      <w:marTop w:val="0"/>
      <w:marBottom w:val="0"/>
      <w:divBdr>
        <w:top w:val="none" w:sz="0" w:space="0" w:color="auto"/>
        <w:left w:val="none" w:sz="0" w:space="0" w:color="auto"/>
        <w:bottom w:val="none" w:sz="0" w:space="0" w:color="auto"/>
        <w:right w:val="none" w:sz="0" w:space="0" w:color="auto"/>
      </w:divBdr>
    </w:div>
    <w:div w:id="765347254">
      <w:bodyDiv w:val="1"/>
      <w:marLeft w:val="0"/>
      <w:marRight w:val="0"/>
      <w:marTop w:val="0"/>
      <w:marBottom w:val="0"/>
      <w:divBdr>
        <w:top w:val="none" w:sz="0" w:space="0" w:color="auto"/>
        <w:left w:val="none" w:sz="0" w:space="0" w:color="auto"/>
        <w:bottom w:val="none" w:sz="0" w:space="0" w:color="auto"/>
        <w:right w:val="none" w:sz="0" w:space="0" w:color="auto"/>
      </w:divBdr>
    </w:div>
    <w:div w:id="897127496">
      <w:bodyDiv w:val="1"/>
      <w:marLeft w:val="0"/>
      <w:marRight w:val="0"/>
      <w:marTop w:val="0"/>
      <w:marBottom w:val="0"/>
      <w:divBdr>
        <w:top w:val="none" w:sz="0" w:space="0" w:color="auto"/>
        <w:left w:val="none" w:sz="0" w:space="0" w:color="auto"/>
        <w:bottom w:val="none" w:sz="0" w:space="0" w:color="auto"/>
        <w:right w:val="none" w:sz="0" w:space="0" w:color="auto"/>
      </w:divBdr>
    </w:div>
    <w:div w:id="1091703183">
      <w:bodyDiv w:val="1"/>
      <w:marLeft w:val="0"/>
      <w:marRight w:val="0"/>
      <w:marTop w:val="0"/>
      <w:marBottom w:val="0"/>
      <w:divBdr>
        <w:top w:val="none" w:sz="0" w:space="0" w:color="auto"/>
        <w:left w:val="none" w:sz="0" w:space="0" w:color="auto"/>
        <w:bottom w:val="none" w:sz="0" w:space="0" w:color="auto"/>
        <w:right w:val="none" w:sz="0" w:space="0" w:color="auto"/>
      </w:divBdr>
    </w:div>
    <w:div w:id="1106778391">
      <w:bodyDiv w:val="1"/>
      <w:marLeft w:val="0"/>
      <w:marRight w:val="0"/>
      <w:marTop w:val="0"/>
      <w:marBottom w:val="0"/>
      <w:divBdr>
        <w:top w:val="none" w:sz="0" w:space="0" w:color="auto"/>
        <w:left w:val="none" w:sz="0" w:space="0" w:color="auto"/>
        <w:bottom w:val="none" w:sz="0" w:space="0" w:color="auto"/>
        <w:right w:val="none" w:sz="0" w:space="0" w:color="auto"/>
      </w:divBdr>
    </w:div>
    <w:div w:id="1108889651">
      <w:bodyDiv w:val="1"/>
      <w:marLeft w:val="0"/>
      <w:marRight w:val="0"/>
      <w:marTop w:val="0"/>
      <w:marBottom w:val="0"/>
      <w:divBdr>
        <w:top w:val="none" w:sz="0" w:space="0" w:color="auto"/>
        <w:left w:val="none" w:sz="0" w:space="0" w:color="auto"/>
        <w:bottom w:val="none" w:sz="0" w:space="0" w:color="auto"/>
        <w:right w:val="none" w:sz="0" w:space="0" w:color="auto"/>
      </w:divBdr>
    </w:div>
    <w:div w:id="1145783242">
      <w:bodyDiv w:val="1"/>
      <w:marLeft w:val="0"/>
      <w:marRight w:val="0"/>
      <w:marTop w:val="0"/>
      <w:marBottom w:val="0"/>
      <w:divBdr>
        <w:top w:val="none" w:sz="0" w:space="0" w:color="auto"/>
        <w:left w:val="none" w:sz="0" w:space="0" w:color="auto"/>
        <w:bottom w:val="none" w:sz="0" w:space="0" w:color="auto"/>
        <w:right w:val="none" w:sz="0" w:space="0" w:color="auto"/>
      </w:divBdr>
    </w:div>
    <w:div w:id="1200818523">
      <w:bodyDiv w:val="1"/>
      <w:marLeft w:val="0"/>
      <w:marRight w:val="0"/>
      <w:marTop w:val="0"/>
      <w:marBottom w:val="0"/>
      <w:divBdr>
        <w:top w:val="none" w:sz="0" w:space="0" w:color="auto"/>
        <w:left w:val="none" w:sz="0" w:space="0" w:color="auto"/>
        <w:bottom w:val="none" w:sz="0" w:space="0" w:color="auto"/>
        <w:right w:val="none" w:sz="0" w:space="0" w:color="auto"/>
      </w:divBdr>
    </w:div>
    <w:div w:id="1202863925">
      <w:bodyDiv w:val="1"/>
      <w:marLeft w:val="0"/>
      <w:marRight w:val="0"/>
      <w:marTop w:val="0"/>
      <w:marBottom w:val="0"/>
      <w:divBdr>
        <w:top w:val="none" w:sz="0" w:space="0" w:color="auto"/>
        <w:left w:val="none" w:sz="0" w:space="0" w:color="auto"/>
        <w:bottom w:val="none" w:sz="0" w:space="0" w:color="auto"/>
        <w:right w:val="none" w:sz="0" w:space="0" w:color="auto"/>
      </w:divBdr>
    </w:div>
    <w:div w:id="1235973967">
      <w:bodyDiv w:val="1"/>
      <w:marLeft w:val="0"/>
      <w:marRight w:val="0"/>
      <w:marTop w:val="0"/>
      <w:marBottom w:val="0"/>
      <w:divBdr>
        <w:top w:val="none" w:sz="0" w:space="0" w:color="auto"/>
        <w:left w:val="none" w:sz="0" w:space="0" w:color="auto"/>
        <w:bottom w:val="none" w:sz="0" w:space="0" w:color="auto"/>
        <w:right w:val="none" w:sz="0" w:space="0" w:color="auto"/>
      </w:divBdr>
    </w:div>
    <w:div w:id="1412653742">
      <w:bodyDiv w:val="1"/>
      <w:marLeft w:val="0"/>
      <w:marRight w:val="0"/>
      <w:marTop w:val="0"/>
      <w:marBottom w:val="0"/>
      <w:divBdr>
        <w:top w:val="none" w:sz="0" w:space="0" w:color="auto"/>
        <w:left w:val="none" w:sz="0" w:space="0" w:color="auto"/>
        <w:bottom w:val="none" w:sz="0" w:space="0" w:color="auto"/>
        <w:right w:val="none" w:sz="0" w:space="0" w:color="auto"/>
      </w:divBdr>
    </w:div>
    <w:div w:id="1418479318">
      <w:bodyDiv w:val="1"/>
      <w:marLeft w:val="0"/>
      <w:marRight w:val="0"/>
      <w:marTop w:val="0"/>
      <w:marBottom w:val="0"/>
      <w:divBdr>
        <w:top w:val="none" w:sz="0" w:space="0" w:color="auto"/>
        <w:left w:val="none" w:sz="0" w:space="0" w:color="auto"/>
        <w:bottom w:val="none" w:sz="0" w:space="0" w:color="auto"/>
        <w:right w:val="none" w:sz="0" w:space="0" w:color="auto"/>
      </w:divBdr>
    </w:div>
    <w:div w:id="1433672284">
      <w:bodyDiv w:val="1"/>
      <w:marLeft w:val="0"/>
      <w:marRight w:val="0"/>
      <w:marTop w:val="0"/>
      <w:marBottom w:val="0"/>
      <w:divBdr>
        <w:top w:val="none" w:sz="0" w:space="0" w:color="auto"/>
        <w:left w:val="none" w:sz="0" w:space="0" w:color="auto"/>
        <w:bottom w:val="none" w:sz="0" w:space="0" w:color="auto"/>
        <w:right w:val="none" w:sz="0" w:space="0" w:color="auto"/>
      </w:divBdr>
    </w:div>
    <w:div w:id="1712723158">
      <w:bodyDiv w:val="1"/>
      <w:marLeft w:val="0"/>
      <w:marRight w:val="0"/>
      <w:marTop w:val="0"/>
      <w:marBottom w:val="0"/>
      <w:divBdr>
        <w:top w:val="none" w:sz="0" w:space="0" w:color="auto"/>
        <w:left w:val="none" w:sz="0" w:space="0" w:color="auto"/>
        <w:bottom w:val="none" w:sz="0" w:space="0" w:color="auto"/>
        <w:right w:val="none" w:sz="0" w:space="0" w:color="auto"/>
      </w:divBdr>
    </w:div>
    <w:div w:id="1902055785">
      <w:bodyDiv w:val="1"/>
      <w:marLeft w:val="0"/>
      <w:marRight w:val="0"/>
      <w:marTop w:val="0"/>
      <w:marBottom w:val="0"/>
      <w:divBdr>
        <w:top w:val="none" w:sz="0" w:space="0" w:color="auto"/>
        <w:left w:val="none" w:sz="0" w:space="0" w:color="auto"/>
        <w:bottom w:val="none" w:sz="0" w:space="0" w:color="auto"/>
        <w:right w:val="none" w:sz="0" w:space="0" w:color="auto"/>
      </w:divBdr>
    </w:div>
    <w:div w:id="1928072022">
      <w:bodyDiv w:val="1"/>
      <w:marLeft w:val="0"/>
      <w:marRight w:val="0"/>
      <w:marTop w:val="0"/>
      <w:marBottom w:val="0"/>
      <w:divBdr>
        <w:top w:val="none" w:sz="0" w:space="0" w:color="auto"/>
        <w:left w:val="none" w:sz="0" w:space="0" w:color="auto"/>
        <w:bottom w:val="none" w:sz="0" w:space="0" w:color="auto"/>
        <w:right w:val="none" w:sz="0" w:space="0" w:color="auto"/>
      </w:divBdr>
    </w:div>
    <w:div w:id="2015297835">
      <w:bodyDiv w:val="1"/>
      <w:marLeft w:val="0"/>
      <w:marRight w:val="0"/>
      <w:marTop w:val="0"/>
      <w:marBottom w:val="0"/>
      <w:divBdr>
        <w:top w:val="none" w:sz="0" w:space="0" w:color="auto"/>
        <w:left w:val="none" w:sz="0" w:space="0" w:color="auto"/>
        <w:bottom w:val="none" w:sz="0" w:space="0" w:color="auto"/>
        <w:right w:val="none" w:sz="0" w:space="0" w:color="auto"/>
      </w:divBdr>
    </w:div>
    <w:div w:id="2055956053">
      <w:bodyDiv w:val="1"/>
      <w:marLeft w:val="0"/>
      <w:marRight w:val="0"/>
      <w:marTop w:val="0"/>
      <w:marBottom w:val="0"/>
      <w:divBdr>
        <w:top w:val="none" w:sz="0" w:space="0" w:color="auto"/>
        <w:left w:val="none" w:sz="0" w:space="0" w:color="auto"/>
        <w:bottom w:val="none" w:sz="0" w:space="0" w:color="auto"/>
        <w:right w:val="none" w:sz="0" w:space="0" w:color="auto"/>
      </w:divBdr>
    </w:div>
    <w:div w:id="2080133727">
      <w:bodyDiv w:val="1"/>
      <w:marLeft w:val="0"/>
      <w:marRight w:val="0"/>
      <w:marTop w:val="0"/>
      <w:marBottom w:val="0"/>
      <w:divBdr>
        <w:top w:val="none" w:sz="0" w:space="0" w:color="auto"/>
        <w:left w:val="none" w:sz="0" w:space="0" w:color="auto"/>
        <w:bottom w:val="none" w:sz="0" w:space="0" w:color="auto"/>
        <w:right w:val="none" w:sz="0" w:space="0" w:color="auto"/>
      </w:divBdr>
    </w:div>
    <w:div w:id="2096396514">
      <w:bodyDiv w:val="1"/>
      <w:marLeft w:val="0"/>
      <w:marRight w:val="0"/>
      <w:marTop w:val="0"/>
      <w:marBottom w:val="0"/>
      <w:divBdr>
        <w:top w:val="none" w:sz="0" w:space="0" w:color="auto"/>
        <w:left w:val="none" w:sz="0" w:space="0" w:color="auto"/>
        <w:bottom w:val="none" w:sz="0" w:space="0" w:color="auto"/>
        <w:right w:val="none" w:sz="0" w:space="0" w:color="auto"/>
      </w:divBdr>
    </w:div>
    <w:div w:id="21432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handbook.cochr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678B-3DFB-F545-ABD0-7DFD88DF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631</Words>
  <Characters>3597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Stirland</dc:creator>
  <cp:keywords/>
  <dc:description/>
  <cp:lastModifiedBy>STIRLAND Lucy</cp:lastModifiedBy>
  <cp:revision>43</cp:revision>
  <dcterms:created xsi:type="dcterms:W3CDTF">2017-05-26T10:05:00Z</dcterms:created>
  <dcterms:modified xsi:type="dcterms:W3CDTF">2017-11-10T21:22:00Z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