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9020"/>
      </w:tblGrid>
      <w:tr w:rsidR="00DF09F4" w:rsidRPr="00747670" w:rsidTr="002176AD">
        <w:trPr>
          <w:trHeight w:val="73"/>
        </w:trPr>
        <w:tc>
          <w:tcPr>
            <w:tcW w:w="5000" w:type="pct"/>
            <w:tcBorders>
              <w:top w:val="nil"/>
              <w:left w:val="nil"/>
              <w:bottom w:val="nil"/>
              <w:right w:val="nil"/>
            </w:tcBorders>
            <w:shd w:val="clear" w:color="auto" w:fill="auto"/>
            <w:noWrap/>
            <w:vAlign w:val="bottom"/>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b/>
                <w:color w:val="000000"/>
                <w:sz w:val="20"/>
                <w:szCs w:val="20"/>
              </w:rPr>
              <w:t xml:space="preserve">Table </w:t>
            </w:r>
            <w:r w:rsidR="004A6206">
              <w:rPr>
                <w:rFonts w:ascii="Arial" w:eastAsia="Times New Roman" w:hAnsi="Arial" w:cs="Arial"/>
                <w:b/>
                <w:color w:val="000000"/>
                <w:sz w:val="20"/>
                <w:szCs w:val="20"/>
              </w:rPr>
              <w:t>S</w:t>
            </w:r>
            <w:r w:rsidRPr="00747670">
              <w:rPr>
                <w:rFonts w:ascii="Arial" w:eastAsia="Times New Roman" w:hAnsi="Arial" w:cs="Arial"/>
                <w:b/>
                <w:color w:val="000000"/>
                <w:sz w:val="20"/>
                <w:szCs w:val="20"/>
              </w:rPr>
              <w:t>1</w:t>
            </w:r>
            <w:r w:rsidRPr="00747670">
              <w:rPr>
                <w:rFonts w:ascii="Arial" w:eastAsia="Times New Roman" w:hAnsi="Arial" w:cs="Arial"/>
                <w:color w:val="000000"/>
                <w:sz w:val="20"/>
                <w:szCs w:val="20"/>
              </w:rPr>
              <w:t xml:space="preserve"> Questions and answer options used for endorsement of DSM-IV depression</w:t>
            </w:r>
          </w:p>
        </w:tc>
      </w:tr>
      <w:tr w:rsidR="00DF09F4" w:rsidRPr="00747670" w:rsidTr="002176AD">
        <w:trPr>
          <w:trHeight w:val="63"/>
        </w:trPr>
        <w:tc>
          <w:tcPr>
            <w:tcW w:w="5000" w:type="pct"/>
            <w:tcBorders>
              <w:top w:val="single" w:sz="4" w:space="0" w:color="auto"/>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1. At least one of the two following symptoms in the last 12 months:</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(a) A period, lasting several days, of feeling sad, empty or depressed.</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(b) A period lasting several days with a loss of interest in most things the participant usually enjoys such as personal relationships, work or hobbies/recreation.</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b/>
                <w:bCs/>
                <w:color w:val="000000"/>
                <w:sz w:val="20"/>
                <w:szCs w:val="20"/>
              </w:rPr>
            </w:pPr>
            <w:r w:rsidRPr="00747670">
              <w:rPr>
                <w:rFonts w:ascii="Arial" w:eastAsia="Times New Roman" w:hAnsi="Arial" w:cs="Arial"/>
                <w:b/>
                <w:bCs/>
                <w:color w:val="000000"/>
                <w:sz w:val="20"/>
                <w:szCs w:val="20"/>
              </w:rPr>
              <w:t>AND</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2. The period of sadness/loss of interest/low energy lasted for more than two weeks and was most of the day and nearly every day.</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b/>
                <w:bCs/>
                <w:color w:val="000000"/>
                <w:sz w:val="20"/>
                <w:szCs w:val="20"/>
              </w:rPr>
            </w:pPr>
            <w:r w:rsidRPr="00747670">
              <w:rPr>
                <w:rFonts w:ascii="Arial" w:eastAsia="Times New Roman" w:hAnsi="Arial" w:cs="Arial"/>
                <w:b/>
                <w:bCs/>
                <w:color w:val="000000"/>
                <w:sz w:val="20"/>
                <w:szCs w:val="20"/>
              </w:rPr>
              <w:t>AND</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3. Five or more of the following symptoms:</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(a) Loss of appetite</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(b) Insomnia (problems falling asleep or waking up too early)</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(c) Decreased energy or tiredness all the time</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(d) Slowing down in moving around or restless/jittery.</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(e) Negative feelings/loss of confidence or frequent feelings of hopelessness.</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(f) Slowed thinking or difficulties concentrating (e.g., listening to others, working, watching TV, listening to the radio).</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w:t>
            </w:r>
            <w:proofErr w:type="gramStart"/>
            <w:r w:rsidRPr="00747670">
              <w:rPr>
                <w:rFonts w:ascii="Arial" w:eastAsia="Times New Roman" w:hAnsi="Arial" w:cs="Arial"/>
                <w:color w:val="000000"/>
                <w:sz w:val="20"/>
                <w:szCs w:val="20"/>
              </w:rPr>
              <w:t>g</w:t>
            </w:r>
            <w:proofErr w:type="gramEnd"/>
            <w:r w:rsidRPr="00747670">
              <w:rPr>
                <w:rFonts w:ascii="Arial" w:eastAsia="Times New Roman" w:hAnsi="Arial" w:cs="Arial"/>
                <w:color w:val="000000"/>
                <w:sz w:val="20"/>
                <w:szCs w:val="20"/>
              </w:rPr>
              <w:t>) Thoughts of death, wishes of own death or suicide attempt.</w:t>
            </w:r>
          </w:p>
        </w:tc>
      </w:tr>
      <w:tr w:rsidR="00DF09F4" w:rsidRPr="00747670" w:rsidTr="002176AD">
        <w:trPr>
          <w:trHeight w:val="73"/>
        </w:trPr>
        <w:tc>
          <w:tcPr>
            <w:tcW w:w="5000" w:type="pct"/>
            <w:tcBorders>
              <w:top w:val="nil"/>
              <w:left w:val="nil"/>
              <w:bottom w:val="nil"/>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(h) Feelings of sadness, emptiness or depression lasting several days.</w:t>
            </w:r>
          </w:p>
        </w:tc>
      </w:tr>
      <w:tr w:rsidR="00DF09F4" w:rsidRPr="00747670" w:rsidTr="002176AD">
        <w:trPr>
          <w:trHeight w:val="73"/>
        </w:trPr>
        <w:tc>
          <w:tcPr>
            <w:tcW w:w="5000" w:type="pct"/>
            <w:tcBorders>
              <w:top w:val="nil"/>
              <w:left w:val="nil"/>
              <w:bottom w:val="single" w:sz="4" w:space="0" w:color="auto"/>
              <w:right w:val="nil"/>
            </w:tcBorders>
            <w:shd w:val="clear" w:color="auto" w:fill="auto"/>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w:t>
            </w:r>
            <w:proofErr w:type="spellStart"/>
            <w:r w:rsidRPr="00747670">
              <w:rPr>
                <w:rFonts w:ascii="Arial" w:eastAsia="Times New Roman" w:hAnsi="Arial" w:cs="Arial"/>
                <w:color w:val="000000"/>
                <w:sz w:val="20"/>
                <w:szCs w:val="20"/>
              </w:rPr>
              <w:t>i</w:t>
            </w:r>
            <w:proofErr w:type="spellEnd"/>
            <w:r w:rsidRPr="00747670">
              <w:rPr>
                <w:rFonts w:ascii="Arial" w:eastAsia="Times New Roman" w:hAnsi="Arial" w:cs="Arial"/>
                <w:color w:val="000000"/>
                <w:sz w:val="20"/>
                <w:szCs w:val="20"/>
              </w:rPr>
              <w:t>) Anhedonia: loss of interest in things the participant usually enjoys.</w:t>
            </w:r>
          </w:p>
        </w:tc>
      </w:tr>
    </w:tbl>
    <w:p w:rsidR="00DF09F4" w:rsidRPr="00747670" w:rsidRDefault="00DF09F4" w:rsidP="00DF09F4">
      <w:pPr>
        <w:spacing w:after="0" w:line="480" w:lineRule="auto"/>
        <w:jc w:val="both"/>
        <w:rPr>
          <w:rFonts w:ascii="Arial" w:hAnsi="Arial" w:cs="Arial"/>
          <w:sz w:val="20"/>
          <w:szCs w:val="20"/>
        </w:rPr>
      </w:pPr>
    </w:p>
    <w:p w:rsidR="00DF09F4" w:rsidRPr="00747670" w:rsidRDefault="00DF09F4" w:rsidP="00DF09F4">
      <w:pPr>
        <w:spacing w:after="0" w:line="480" w:lineRule="auto"/>
        <w:jc w:val="both"/>
        <w:rPr>
          <w:rFonts w:ascii="Arial" w:hAnsi="Arial" w:cs="Arial"/>
          <w:sz w:val="20"/>
          <w:szCs w:val="20"/>
        </w:rPr>
        <w:sectPr w:rsidR="00DF09F4" w:rsidRPr="00747670" w:rsidSect="00D5446A">
          <w:pgSz w:w="11900" w:h="16840"/>
          <w:pgMar w:top="1440" w:right="1440" w:bottom="1440" w:left="1440" w:header="720" w:footer="720" w:gutter="0"/>
          <w:cols w:space="720"/>
          <w:docGrid w:linePitch="360"/>
        </w:sectPr>
      </w:pPr>
    </w:p>
    <w:tbl>
      <w:tblPr>
        <w:tblW w:w="4951" w:type="pct"/>
        <w:tblLook w:val="04A0" w:firstRow="1" w:lastRow="0" w:firstColumn="1" w:lastColumn="0" w:noHBand="0" w:noVBand="1"/>
      </w:tblPr>
      <w:tblGrid>
        <w:gridCol w:w="1303"/>
        <w:gridCol w:w="6997"/>
      </w:tblGrid>
      <w:tr w:rsidR="00DF09F4" w:rsidRPr="00747670" w:rsidTr="002176AD">
        <w:trPr>
          <w:trHeight w:val="300"/>
        </w:trPr>
        <w:tc>
          <w:tcPr>
            <w:tcW w:w="5000" w:type="pct"/>
            <w:gridSpan w:val="2"/>
            <w:tcBorders>
              <w:top w:val="nil"/>
              <w:left w:val="nil"/>
              <w:bottom w:val="nil"/>
              <w:right w:val="nil"/>
            </w:tcBorders>
            <w:shd w:val="clear" w:color="auto" w:fill="auto"/>
            <w:noWrap/>
            <w:hideMark/>
          </w:tcPr>
          <w:p w:rsidR="00DF09F4" w:rsidRPr="00747670" w:rsidRDefault="00DF09F4" w:rsidP="002176AD">
            <w:pPr>
              <w:spacing w:after="0" w:line="240" w:lineRule="auto"/>
              <w:jc w:val="both"/>
              <w:rPr>
                <w:rFonts w:ascii="Arial" w:eastAsia="Times New Roman" w:hAnsi="Arial" w:cs="Arial"/>
                <w:b/>
                <w:bCs/>
                <w:color w:val="000000"/>
                <w:sz w:val="20"/>
                <w:szCs w:val="20"/>
              </w:rPr>
            </w:pPr>
            <w:r w:rsidRPr="00747670">
              <w:rPr>
                <w:rFonts w:ascii="Arial" w:eastAsia="Times New Roman" w:hAnsi="Arial" w:cs="Arial"/>
                <w:b/>
                <w:bCs/>
                <w:color w:val="000000"/>
                <w:sz w:val="20"/>
                <w:szCs w:val="20"/>
              </w:rPr>
              <w:lastRenderedPageBreak/>
              <w:t xml:space="preserve">Table </w:t>
            </w:r>
            <w:r w:rsidR="004A6206">
              <w:rPr>
                <w:rFonts w:ascii="Arial" w:eastAsia="Times New Roman" w:hAnsi="Arial" w:cs="Arial"/>
                <w:b/>
                <w:bCs/>
                <w:color w:val="000000"/>
                <w:sz w:val="20"/>
                <w:szCs w:val="20"/>
              </w:rPr>
              <w:t>S</w:t>
            </w:r>
            <w:r w:rsidRPr="00747670">
              <w:rPr>
                <w:rFonts w:ascii="Arial" w:eastAsia="Times New Roman" w:hAnsi="Arial" w:cs="Arial"/>
                <w:b/>
                <w:bCs/>
                <w:color w:val="000000"/>
                <w:sz w:val="20"/>
                <w:szCs w:val="20"/>
              </w:rPr>
              <w:t xml:space="preserve">2 </w:t>
            </w:r>
            <w:r w:rsidRPr="00747670">
              <w:rPr>
                <w:rFonts w:ascii="Arial" w:eastAsia="Times New Roman" w:hAnsi="Arial" w:cs="Arial"/>
                <w:color w:val="000000"/>
                <w:sz w:val="20"/>
                <w:szCs w:val="20"/>
              </w:rPr>
              <w:t>Questions and answer options used for symptom-based diagnosis of arthritis, asthma, and chronic lung disease</w:t>
            </w:r>
          </w:p>
        </w:tc>
      </w:tr>
      <w:tr w:rsidR="00DF09F4" w:rsidRPr="00747670" w:rsidTr="002176AD">
        <w:trPr>
          <w:trHeight w:val="63"/>
        </w:trPr>
        <w:tc>
          <w:tcPr>
            <w:tcW w:w="762" w:type="pct"/>
            <w:tcBorders>
              <w:top w:val="single" w:sz="4" w:space="0" w:color="auto"/>
              <w:left w:val="nil"/>
              <w:bottom w:val="double" w:sz="6" w:space="0" w:color="auto"/>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Condition</w:t>
            </w:r>
          </w:p>
        </w:tc>
        <w:tc>
          <w:tcPr>
            <w:tcW w:w="4238" w:type="pct"/>
            <w:tcBorders>
              <w:top w:val="single" w:sz="4" w:space="0" w:color="auto"/>
              <w:left w:val="nil"/>
              <w:bottom w:val="double" w:sz="6" w:space="0" w:color="auto"/>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Symptom-based algorithm</w:t>
            </w:r>
          </w:p>
        </w:tc>
      </w:tr>
      <w:tr w:rsidR="00DF09F4" w:rsidRPr="00747670" w:rsidTr="002176AD">
        <w:trPr>
          <w:trHeight w:val="28"/>
        </w:trPr>
        <w:tc>
          <w:tcPr>
            <w:tcW w:w="762" w:type="pct"/>
            <w:vMerge w:val="restart"/>
            <w:tcBorders>
              <w:top w:val="double" w:sz="6" w:space="0" w:color="auto"/>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Arthritis</w:t>
            </w:r>
          </w:p>
        </w:tc>
        <w:tc>
          <w:tcPr>
            <w:tcW w:w="4238" w:type="pct"/>
            <w:tcBorders>
              <w:top w:val="double" w:sz="6" w:space="0" w:color="auto"/>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Affirmative answers to all four of the following:</w:t>
            </w:r>
          </w:p>
        </w:tc>
      </w:tr>
      <w:tr w:rsidR="00DF09F4" w:rsidRPr="00747670" w:rsidTr="002176AD">
        <w:trPr>
          <w:trHeight w:val="639"/>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1. During the last 12 months, have you experienced pain, aching, stiffness or swelling in or around the joints (e.g., in arms, hands, legs or feet) which were not related to an injury and lasted for more than a month?</w:t>
            </w:r>
          </w:p>
        </w:tc>
      </w:tr>
      <w:tr w:rsidR="00DF09F4" w:rsidRPr="00747670" w:rsidTr="002176AD">
        <w:trPr>
          <w:trHeight w:val="117"/>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2. During the last 12 months, have you experienced stiffness in the joint in the morning after getting up from bed, or after a long rest of the joint without movement?</w:t>
            </w:r>
          </w:p>
        </w:tc>
      </w:tr>
      <w:tr w:rsidR="00DF09F4" w:rsidRPr="00747670" w:rsidTr="002176AD">
        <w:trPr>
          <w:trHeight w:val="73"/>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3. Did this stiffness last for less than 30 minutes?</w:t>
            </w:r>
          </w:p>
        </w:tc>
      </w:tr>
      <w:tr w:rsidR="00DF09F4" w:rsidRPr="00747670" w:rsidTr="002176AD">
        <w:trPr>
          <w:trHeight w:val="90"/>
        </w:trPr>
        <w:tc>
          <w:tcPr>
            <w:tcW w:w="762" w:type="pct"/>
            <w:vMerge/>
            <w:tcBorders>
              <w:top w:val="nil"/>
              <w:left w:val="nil"/>
              <w:bottom w:val="single" w:sz="4" w:space="0" w:color="auto"/>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single" w:sz="4" w:space="0" w:color="auto"/>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4. Did this stiffness go away after exercise or movement in the joint?</w:t>
            </w:r>
          </w:p>
        </w:tc>
      </w:tr>
      <w:tr w:rsidR="00DF09F4" w:rsidRPr="00747670" w:rsidTr="002176AD">
        <w:trPr>
          <w:trHeight w:val="73"/>
        </w:trPr>
        <w:tc>
          <w:tcPr>
            <w:tcW w:w="762" w:type="pct"/>
            <w:vMerge w:val="restart"/>
            <w:tcBorders>
              <w:top w:val="single" w:sz="4" w:space="0" w:color="auto"/>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Asthma</w:t>
            </w:r>
          </w:p>
        </w:tc>
        <w:tc>
          <w:tcPr>
            <w:tcW w:w="4238" w:type="pct"/>
            <w:tcBorders>
              <w:top w:val="single" w:sz="4" w:space="0" w:color="auto"/>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1. During the last 12 months, have you experienced attacks of wheezing or whistling breathing? (Yes) </w:t>
            </w:r>
          </w:p>
        </w:tc>
      </w:tr>
      <w:tr w:rsidR="00DF09F4" w:rsidRPr="00747670" w:rsidTr="002176AD">
        <w:trPr>
          <w:trHeight w:val="73"/>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b/>
                <w:bCs/>
                <w:color w:val="000000"/>
                <w:sz w:val="20"/>
                <w:szCs w:val="20"/>
              </w:rPr>
            </w:pPr>
            <w:r w:rsidRPr="00747670">
              <w:rPr>
                <w:rFonts w:ascii="Arial" w:eastAsia="Times New Roman" w:hAnsi="Arial" w:cs="Arial"/>
                <w:b/>
                <w:bCs/>
                <w:color w:val="000000"/>
                <w:sz w:val="20"/>
                <w:szCs w:val="20"/>
              </w:rPr>
              <w:t>AND</w:t>
            </w:r>
          </w:p>
        </w:tc>
      </w:tr>
      <w:tr w:rsidR="00DF09F4" w:rsidRPr="00747670" w:rsidTr="002176AD">
        <w:trPr>
          <w:trHeight w:val="73"/>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2. “Yes” to at least one of the following (past 12 months):</w:t>
            </w:r>
          </w:p>
        </w:tc>
      </w:tr>
      <w:tr w:rsidR="00DF09F4" w:rsidRPr="00747670" w:rsidTr="002176AD">
        <w:trPr>
          <w:trHeight w:val="73"/>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(a) Have you experienced an attack of wheezing that came on after you stopped exercising or some other physical activity?</w:t>
            </w:r>
          </w:p>
        </w:tc>
      </w:tr>
      <w:tr w:rsidR="00DF09F4" w:rsidRPr="00747670" w:rsidTr="002176AD">
        <w:trPr>
          <w:trHeight w:val="73"/>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(b) Have you had a feeling of tightness in your chest?</w:t>
            </w:r>
          </w:p>
        </w:tc>
      </w:tr>
      <w:tr w:rsidR="00DF09F4" w:rsidRPr="00747670" w:rsidTr="002176AD">
        <w:trPr>
          <w:trHeight w:val="73"/>
        </w:trPr>
        <w:tc>
          <w:tcPr>
            <w:tcW w:w="762" w:type="pct"/>
            <w:vMerge/>
            <w:tcBorders>
              <w:top w:val="nil"/>
              <w:left w:val="nil"/>
              <w:bottom w:val="nil"/>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(c) Have you woken up with a feeling of tightness in your chest in the morning or any other time?</w:t>
            </w:r>
          </w:p>
        </w:tc>
      </w:tr>
      <w:tr w:rsidR="00DF09F4" w:rsidRPr="00747670" w:rsidTr="002176AD">
        <w:trPr>
          <w:trHeight w:val="90"/>
        </w:trPr>
        <w:tc>
          <w:tcPr>
            <w:tcW w:w="762" w:type="pct"/>
            <w:vMerge/>
            <w:tcBorders>
              <w:top w:val="nil"/>
              <w:left w:val="nil"/>
              <w:bottom w:val="single" w:sz="4" w:space="0" w:color="auto"/>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single" w:sz="4" w:space="0" w:color="auto"/>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(d) Have you had an attack of shortness of breath that came on without an obvious cause when you were not exercising or doing some physical activity?</w:t>
            </w:r>
          </w:p>
        </w:tc>
      </w:tr>
      <w:tr w:rsidR="00DF09F4" w:rsidRPr="00747670" w:rsidTr="002176AD">
        <w:trPr>
          <w:trHeight w:val="73"/>
        </w:trPr>
        <w:tc>
          <w:tcPr>
            <w:tcW w:w="762" w:type="pct"/>
            <w:vMerge w:val="restart"/>
            <w:tcBorders>
              <w:top w:val="single" w:sz="4" w:space="0" w:color="auto"/>
              <w:left w:val="nil"/>
              <w:bottom w:val="single" w:sz="4" w:space="0" w:color="000000"/>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Chronic lung disease</w:t>
            </w:r>
          </w:p>
        </w:tc>
        <w:tc>
          <w:tcPr>
            <w:tcW w:w="4238" w:type="pct"/>
            <w:tcBorders>
              <w:top w:val="single" w:sz="4" w:space="0" w:color="auto"/>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1. During the last 12 months, have you experienced any shortness of breath at rest (while awake)?</w:t>
            </w:r>
          </w:p>
        </w:tc>
      </w:tr>
      <w:tr w:rsidR="00DF09F4" w:rsidRPr="00747670" w:rsidTr="002176AD">
        <w:trPr>
          <w:trHeight w:val="63"/>
        </w:trPr>
        <w:tc>
          <w:tcPr>
            <w:tcW w:w="762" w:type="pct"/>
            <w:vMerge/>
            <w:tcBorders>
              <w:top w:val="nil"/>
              <w:left w:val="nil"/>
              <w:bottom w:val="single" w:sz="4" w:space="0" w:color="000000"/>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 (Yes)</w:t>
            </w:r>
          </w:p>
        </w:tc>
      </w:tr>
      <w:tr w:rsidR="00DF09F4" w:rsidRPr="00747670" w:rsidTr="002176AD">
        <w:trPr>
          <w:trHeight w:val="63"/>
        </w:trPr>
        <w:tc>
          <w:tcPr>
            <w:tcW w:w="762" w:type="pct"/>
            <w:vMerge/>
            <w:tcBorders>
              <w:top w:val="nil"/>
              <w:left w:val="nil"/>
              <w:bottom w:val="single" w:sz="4" w:space="0" w:color="000000"/>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b/>
                <w:bCs/>
                <w:color w:val="000000"/>
                <w:sz w:val="20"/>
                <w:szCs w:val="20"/>
              </w:rPr>
            </w:pPr>
            <w:r w:rsidRPr="00747670">
              <w:rPr>
                <w:rFonts w:ascii="Arial" w:eastAsia="Times New Roman" w:hAnsi="Arial" w:cs="Arial"/>
                <w:b/>
                <w:bCs/>
                <w:color w:val="000000"/>
                <w:sz w:val="20"/>
                <w:szCs w:val="20"/>
              </w:rPr>
              <w:t>OR</w:t>
            </w:r>
          </w:p>
        </w:tc>
      </w:tr>
      <w:tr w:rsidR="00DF09F4" w:rsidRPr="00747670" w:rsidTr="002176AD">
        <w:trPr>
          <w:trHeight w:val="63"/>
        </w:trPr>
        <w:tc>
          <w:tcPr>
            <w:tcW w:w="762" w:type="pct"/>
            <w:vMerge/>
            <w:tcBorders>
              <w:top w:val="nil"/>
              <w:left w:val="nil"/>
              <w:bottom w:val="single" w:sz="4" w:space="0" w:color="000000"/>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2. “Yes” to both of the following (past 12 months):</w:t>
            </w:r>
          </w:p>
        </w:tc>
      </w:tr>
      <w:tr w:rsidR="00DF09F4" w:rsidRPr="00747670" w:rsidTr="002176AD">
        <w:trPr>
          <w:trHeight w:val="63"/>
        </w:trPr>
        <w:tc>
          <w:tcPr>
            <w:tcW w:w="762" w:type="pct"/>
            <w:vMerge/>
            <w:tcBorders>
              <w:top w:val="nil"/>
              <w:left w:val="nil"/>
              <w:bottom w:val="single" w:sz="4" w:space="0" w:color="000000"/>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nil"/>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(a) Have you experienced any coughing or wheezing for 10 minutes or more at a time?</w:t>
            </w:r>
          </w:p>
        </w:tc>
      </w:tr>
      <w:tr w:rsidR="00DF09F4" w:rsidRPr="00747670" w:rsidTr="002176AD">
        <w:trPr>
          <w:trHeight w:val="63"/>
        </w:trPr>
        <w:tc>
          <w:tcPr>
            <w:tcW w:w="762" w:type="pct"/>
            <w:vMerge/>
            <w:tcBorders>
              <w:top w:val="nil"/>
              <w:left w:val="nil"/>
              <w:bottom w:val="single" w:sz="4" w:space="0" w:color="000000"/>
              <w:right w:val="nil"/>
            </w:tcBorders>
            <w:hideMark/>
          </w:tcPr>
          <w:p w:rsidR="00DF09F4" w:rsidRPr="00747670" w:rsidRDefault="00DF09F4" w:rsidP="002176AD">
            <w:pPr>
              <w:spacing w:after="0" w:line="240" w:lineRule="auto"/>
              <w:jc w:val="both"/>
              <w:rPr>
                <w:rFonts w:ascii="Arial" w:eastAsia="Times New Roman" w:hAnsi="Arial" w:cs="Arial"/>
                <w:color w:val="000000"/>
                <w:sz w:val="20"/>
                <w:szCs w:val="20"/>
              </w:rPr>
            </w:pPr>
          </w:p>
        </w:tc>
        <w:tc>
          <w:tcPr>
            <w:tcW w:w="4238" w:type="pct"/>
            <w:tcBorders>
              <w:top w:val="nil"/>
              <w:left w:val="nil"/>
              <w:bottom w:val="single" w:sz="4" w:space="0" w:color="auto"/>
              <w:right w:val="nil"/>
            </w:tcBorders>
            <w:shd w:val="clear" w:color="auto" w:fill="auto"/>
            <w:hideMark/>
          </w:tcPr>
          <w:p w:rsidR="00DF09F4" w:rsidRPr="00747670" w:rsidRDefault="00DF09F4" w:rsidP="002176AD">
            <w:pPr>
              <w:spacing w:after="0" w:line="24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(b) Have you experienced any coughing up of sputum or phlegm on most days of the month for at least 3 months?</w:t>
            </w:r>
          </w:p>
        </w:tc>
      </w:tr>
    </w:tbl>
    <w:p w:rsidR="00DF09F4" w:rsidRPr="00747670" w:rsidRDefault="00DF09F4" w:rsidP="00DF09F4">
      <w:pPr>
        <w:spacing w:after="0" w:line="480" w:lineRule="auto"/>
        <w:jc w:val="both"/>
        <w:rPr>
          <w:rFonts w:ascii="Arial" w:hAnsi="Arial" w:cs="Arial"/>
          <w:sz w:val="20"/>
          <w:szCs w:val="20"/>
        </w:rPr>
      </w:pPr>
    </w:p>
    <w:p w:rsidR="00DF09F4" w:rsidRPr="00747670" w:rsidRDefault="00DF09F4" w:rsidP="00DF09F4">
      <w:pPr>
        <w:spacing w:after="0" w:line="480" w:lineRule="auto"/>
        <w:jc w:val="both"/>
        <w:rPr>
          <w:rFonts w:ascii="Arial" w:hAnsi="Arial" w:cs="Arial"/>
          <w:sz w:val="20"/>
          <w:szCs w:val="20"/>
        </w:rPr>
        <w:sectPr w:rsidR="00DF09F4" w:rsidRPr="00747670" w:rsidSect="00D5446A">
          <w:pgSz w:w="11900" w:h="16840"/>
          <w:pgMar w:top="1440" w:right="1800" w:bottom="1440" w:left="1800" w:header="720" w:footer="720" w:gutter="0"/>
          <w:cols w:space="720"/>
          <w:docGrid w:linePitch="360"/>
        </w:sectPr>
      </w:pPr>
    </w:p>
    <w:tbl>
      <w:tblPr>
        <w:tblW w:w="5000" w:type="pct"/>
        <w:tblLook w:val="04A0" w:firstRow="1" w:lastRow="0" w:firstColumn="1" w:lastColumn="0" w:noHBand="0" w:noVBand="1"/>
      </w:tblPr>
      <w:tblGrid>
        <w:gridCol w:w="9072"/>
      </w:tblGrid>
      <w:tr w:rsidR="00DF09F4" w:rsidRPr="00747670" w:rsidTr="002176AD">
        <w:trPr>
          <w:trHeight w:val="300"/>
        </w:trPr>
        <w:tc>
          <w:tcPr>
            <w:tcW w:w="5000" w:type="pct"/>
            <w:tcBorders>
              <w:top w:val="nil"/>
              <w:left w:val="nil"/>
              <w:bottom w:val="single" w:sz="4" w:space="0" w:color="auto"/>
              <w:right w:val="nil"/>
            </w:tcBorders>
            <w:shd w:val="clear" w:color="auto" w:fill="auto"/>
            <w:noWrap/>
            <w:vAlign w:val="bottom"/>
            <w:hideMark/>
          </w:tcPr>
          <w:p w:rsidR="00DF09F4" w:rsidRPr="00747670" w:rsidRDefault="00DF09F4" w:rsidP="002176AD">
            <w:pPr>
              <w:spacing w:after="0" w:line="480" w:lineRule="auto"/>
              <w:jc w:val="both"/>
              <w:rPr>
                <w:rFonts w:ascii="Arial" w:eastAsia="Times New Roman" w:hAnsi="Arial" w:cs="Arial"/>
                <w:color w:val="000000"/>
                <w:sz w:val="20"/>
                <w:szCs w:val="20"/>
              </w:rPr>
            </w:pPr>
            <w:bookmarkStart w:id="0" w:name="_GoBack"/>
            <w:bookmarkEnd w:id="0"/>
            <w:r w:rsidRPr="00747670">
              <w:rPr>
                <w:rFonts w:ascii="Arial" w:eastAsia="Times New Roman" w:hAnsi="Arial" w:cs="Arial"/>
                <w:b/>
                <w:bCs/>
                <w:color w:val="000000"/>
                <w:sz w:val="20"/>
                <w:szCs w:val="20"/>
              </w:rPr>
              <w:lastRenderedPageBreak/>
              <w:t xml:space="preserve">Table </w:t>
            </w:r>
            <w:r w:rsidR="004A6206">
              <w:rPr>
                <w:rFonts w:ascii="Arial" w:eastAsia="Times New Roman" w:hAnsi="Arial" w:cs="Arial"/>
                <w:b/>
                <w:bCs/>
                <w:color w:val="000000"/>
                <w:sz w:val="20"/>
                <w:szCs w:val="20"/>
              </w:rPr>
              <w:t>S</w:t>
            </w:r>
            <w:r w:rsidRPr="00747670">
              <w:rPr>
                <w:rFonts w:ascii="Arial" w:eastAsia="Times New Roman" w:hAnsi="Arial" w:cs="Arial"/>
                <w:b/>
                <w:bCs/>
                <w:color w:val="000000"/>
                <w:sz w:val="20"/>
                <w:szCs w:val="20"/>
              </w:rPr>
              <w:t>3</w:t>
            </w:r>
            <w:r w:rsidRPr="00747670">
              <w:rPr>
                <w:rFonts w:ascii="Arial" w:eastAsia="Times New Roman" w:hAnsi="Arial" w:cs="Arial"/>
                <w:color w:val="000000"/>
                <w:sz w:val="20"/>
                <w:szCs w:val="20"/>
              </w:rPr>
              <w:t xml:space="preserve"> Questions used to assess social cohesion</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How often in the last 12 months have you ...</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(1) </w:t>
            </w:r>
            <w:proofErr w:type="gramStart"/>
            <w:r w:rsidRPr="00747670">
              <w:rPr>
                <w:rFonts w:ascii="Arial" w:eastAsia="Times New Roman" w:hAnsi="Arial" w:cs="Arial"/>
                <w:color w:val="000000"/>
                <w:sz w:val="20"/>
                <w:szCs w:val="20"/>
              </w:rPr>
              <w:t>attended</w:t>
            </w:r>
            <w:proofErr w:type="gramEnd"/>
            <w:r w:rsidRPr="00747670">
              <w:rPr>
                <w:rFonts w:ascii="Arial" w:eastAsia="Times New Roman" w:hAnsi="Arial" w:cs="Arial"/>
                <w:color w:val="000000"/>
                <w:sz w:val="20"/>
                <w:szCs w:val="20"/>
              </w:rPr>
              <w:t xml:space="preserve"> any public meeting in which there was discussion of local or school affairs?</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(2) </w:t>
            </w:r>
            <w:proofErr w:type="gramStart"/>
            <w:r w:rsidRPr="00747670">
              <w:rPr>
                <w:rFonts w:ascii="Arial" w:eastAsia="Times New Roman" w:hAnsi="Arial" w:cs="Arial"/>
                <w:color w:val="000000"/>
                <w:sz w:val="20"/>
                <w:szCs w:val="20"/>
              </w:rPr>
              <w:t>met</w:t>
            </w:r>
            <w:proofErr w:type="gramEnd"/>
            <w:r w:rsidRPr="00747670">
              <w:rPr>
                <w:rFonts w:ascii="Arial" w:eastAsia="Times New Roman" w:hAnsi="Arial" w:cs="Arial"/>
                <w:color w:val="000000"/>
                <w:sz w:val="20"/>
                <w:szCs w:val="20"/>
              </w:rPr>
              <w:t xml:space="preserve"> personally with someone you consider to be a community leader?</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(3) </w:t>
            </w:r>
            <w:proofErr w:type="gramStart"/>
            <w:r w:rsidRPr="00747670">
              <w:rPr>
                <w:rFonts w:ascii="Arial" w:eastAsia="Times New Roman" w:hAnsi="Arial" w:cs="Arial"/>
                <w:color w:val="000000"/>
                <w:sz w:val="20"/>
                <w:szCs w:val="20"/>
              </w:rPr>
              <w:t>attended</w:t>
            </w:r>
            <w:proofErr w:type="gramEnd"/>
            <w:r w:rsidRPr="00747670">
              <w:rPr>
                <w:rFonts w:ascii="Arial" w:eastAsia="Times New Roman" w:hAnsi="Arial" w:cs="Arial"/>
                <w:color w:val="000000"/>
                <w:sz w:val="20"/>
                <w:szCs w:val="20"/>
              </w:rPr>
              <w:t xml:space="preserve"> any group, club, society, union or organizational meeting?</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(4) </w:t>
            </w:r>
            <w:proofErr w:type="gramStart"/>
            <w:r w:rsidRPr="00747670">
              <w:rPr>
                <w:rFonts w:ascii="Arial" w:eastAsia="Times New Roman" w:hAnsi="Arial" w:cs="Arial"/>
                <w:color w:val="000000"/>
                <w:sz w:val="20"/>
                <w:szCs w:val="20"/>
              </w:rPr>
              <w:t>worked</w:t>
            </w:r>
            <w:proofErr w:type="gramEnd"/>
            <w:r w:rsidRPr="00747670">
              <w:rPr>
                <w:rFonts w:ascii="Arial" w:eastAsia="Times New Roman" w:hAnsi="Arial" w:cs="Arial"/>
                <w:color w:val="000000"/>
                <w:sz w:val="20"/>
                <w:szCs w:val="20"/>
              </w:rPr>
              <w:t xml:space="preserve"> with other people in your neighborhood to fix or improve something?</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(5) </w:t>
            </w:r>
            <w:proofErr w:type="gramStart"/>
            <w:r w:rsidRPr="00747670">
              <w:rPr>
                <w:rFonts w:ascii="Arial" w:eastAsia="Times New Roman" w:hAnsi="Arial" w:cs="Arial"/>
                <w:color w:val="000000"/>
                <w:sz w:val="20"/>
                <w:szCs w:val="20"/>
              </w:rPr>
              <w:t>had</w:t>
            </w:r>
            <w:proofErr w:type="gramEnd"/>
            <w:r w:rsidRPr="00747670">
              <w:rPr>
                <w:rFonts w:ascii="Arial" w:eastAsia="Times New Roman" w:hAnsi="Arial" w:cs="Arial"/>
                <w:color w:val="000000"/>
                <w:sz w:val="20"/>
                <w:szCs w:val="20"/>
              </w:rPr>
              <w:t xml:space="preserve"> friends over to your home?</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(6) </w:t>
            </w:r>
            <w:proofErr w:type="gramStart"/>
            <w:r w:rsidRPr="00747670">
              <w:rPr>
                <w:rFonts w:ascii="Arial" w:eastAsia="Times New Roman" w:hAnsi="Arial" w:cs="Arial"/>
                <w:color w:val="000000"/>
                <w:sz w:val="20"/>
                <w:szCs w:val="20"/>
              </w:rPr>
              <w:t>been</w:t>
            </w:r>
            <w:proofErr w:type="gramEnd"/>
            <w:r w:rsidRPr="00747670">
              <w:rPr>
                <w:rFonts w:ascii="Arial" w:eastAsia="Times New Roman" w:hAnsi="Arial" w:cs="Arial"/>
                <w:color w:val="000000"/>
                <w:sz w:val="20"/>
                <w:szCs w:val="20"/>
              </w:rPr>
              <w:t xml:space="preserve"> in the home of someone who lives in a different </w:t>
            </w:r>
            <w:proofErr w:type="spellStart"/>
            <w:r w:rsidRPr="00747670">
              <w:rPr>
                <w:rFonts w:ascii="Arial" w:eastAsia="Times New Roman" w:hAnsi="Arial" w:cs="Arial"/>
                <w:color w:val="000000"/>
                <w:sz w:val="20"/>
                <w:szCs w:val="20"/>
              </w:rPr>
              <w:t>neighbourhood</w:t>
            </w:r>
            <w:proofErr w:type="spellEnd"/>
            <w:r w:rsidRPr="00747670">
              <w:rPr>
                <w:rFonts w:ascii="Arial" w:eastAsia="Times New Roman" w:hAnsi="Arial" w:cs="Arial"/>
                <w:color w:val="000000"/>
                <w:sz w:val="20"/>
                <w:szCs w:val="20"/>
              </w:rPr>
              <w:t xml:space="preserve"> than you do or had them in your home?</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(7) </w:t>
            </w:r>
            <w:proofErr w:type="gramStart"/>
            <w:r w:rsidRPr="00747670">
              <w:rPr>
                <w:rFonts w:ascii="Arial" w:eastAsia="Times New Roman" w:hAnsi="Arial" w:cs="Arial"/>
                <w:color w:val="000000"/>
                <w:sz w:val="20"/>
                <w:szCs w:val="20"/>
              </w:rPr>
              <w:t>socialized</w:t>
            </w:r>
            <w:proofErr w:type="gramEnd"/>
            <w:r w:rsidRPr="00747670">
              <w:rPr>
                <w:rFonts w:ascii="Arial" w:eastAsia="Times New Roman" w:hAnsi="Arial" w:cs="Arial"/>
                <w:color w:val="000000"/>
                <w:sz w:val="20"/>
                <w:szCs w:val="20"/>
              </w:rPr>
              <w:t xml:space="preserve"> with coworkers outside of work?</w:t>
            </w:r>
          </w:p>
        </w:tc>
      </w:tr>
      <w:tr w:rsidR="00DF09F4" w:rsidRPr="00747670" w:rsidTr="002176AD">
        <w:trPr>
          <w:trHeight w:val="300"/>
        </w:trPr>
        <w:tc>
          <w:tcPr>
            <w:tcW w:w="5000" w:type="pct"/>
            <w:tcBorders>
              <w:top w:val="nil"/>
              <w:left w:val="nil"/>
              <w:bottom w:val="nil"/>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(8) </w:t>
            </w:r>
            <w:proofErr w:type="gramStart"/>
            <w:r w:rsidRPr="00747670">
              <w:rPr>
                <w:rFonts w:ascii="Arial" w:eastAsia="Times New Roman" w:hAnsi="Arial" w:cs="Arial"/>
                <w:color w:val="000000"/>
                <w:sz w:val="20"/>
                <w:szCs w:val="20"/>
              </w:rPr>
              <w:t>attended</w:t>
            </w:r>
            <w:proofErr w:type="gramEnd"/>
            <w:r w:rsidRPr="00747670">
              <w:rPr>
                <w:rFonts w:ascii="Arial" w:eastAsia="Times New Roman" w:hAnsi="Arial" w:cs="Arial"/>
                <w:color w:val="000000"/>
                <w:sz w:val="20"/>
                <w:szCs w:val="20"/>
              </w:rPr>
              <w:t xml:space="preserve"> religious services (not including weddings and funerals)?</w:t>
            </w:r>
          </w:p>
        </w:tc>
      </w:tr>
      <w:tr w:rsidR="00DF09F4" w:rsidRPr="00747670" w:rsidTr="002176AD">
        <w:trPr>
          <w:trHeight w:val="300"/>
        </w:trPr>
        <w:tc>
          <w:tcPr>
            <w:tcW w:w="5000" w:type="pct"/>
            <w:tcBorders>
              <w:top w:val="nil"/>
              <w:left w:val="nil"/>
              <w:bottom w:val="single" w:sz="4" w:space="0" w:color="auto"/>
              <w:right w:val="nil"/>
            </w:tcBorders>
            <w:shd w:val="clear" w:color="auto" w:fill="auto"/>
            <w:noWrap/>
            <w:vAlign w:val="center"/>
            <w:hideMark/>
          </w:tcPr>
          <w:p w:rsidR="00DF09F4" w:rsidRPr="00747670" w:rsidRDefault="00DF09F4" w:rsidP="002176AD">
            <w:pPr>
              <w:spacing w:after="0" w:line="480" w:lineRule="auto"/>
              <w:jc w:val="both"/>
              <w:rPr>
                <w:rFonts w:ascii="Arial" w:eastAsia="Times New Roman" w:hAnsi="Arial" w:cs="Arial"/>
                <w:color w:val="000000"/>
                <w:sz w:val="20"/>
                <w:szCs w:val="20"/>
              </w:rPr>
            </w:pPr>
            <w:r w:rsidRPr="00747670">
              <w:rPr>
                <w:rFonts w:ascii="Arial" w:eastAsia="Times New Roman" w:hAnsi="Arial" w:cs="Arial"/>
                <w:color w:val="000000"/>
                <w:sz w:val="20"/>
                <w:szCs w:val="20"/>
              </w:rPr>
              <w:t xml:space="preserve">(9) </w:t>
            </w:r>
            <w:proofErr w:type="gramStart"/>
            <w:r w:rsidRPr="00747670">
              <w:rPr>
                <w:rFonts w:ascii="Arial" w:eastAsia="Times New Roman" w:hAnsi="Arial" w:cs="Arial"/>
                <w:color w:val="000000"/>
                <w:sz w:val="20"/>
                <w:szCs w:val="20"/>
              </w:rPr>
              <w:t>gotten</w:t>
            </w:r>
            <w:proofErr w:type="gramEnd"/>
            <w:r w:rsidRPr="00747670">
              <w:rPr>
                <w:rFonts w:ascii="Arial" w:eastAsia="Times New Roman" w:hAnsi="Arial" w:cs="Arial"/>
                <w:color w:val="000000"/>
                <w:sz w:val="20"/>
                <w:szCs w:val="20"/>
              </w:rPr>
              <w:t xml:space="preserve"> out of the house/your dwelling to attend social meetings, activities, programs or events or to visit friends or relatives?</w:t>
            </w:r>
          </w:p>
        </w:tc>
      </w:tr>
    </w:tbl>
    <w:p w:rsidR="00DF09F4" w:rsidRPr="00747670" w:rsidRDefault="00DF09F4" w:rsidP="00DF09F4">
      <w:pPr>
        <w:spacing w:after="0" w:line="480" w:lineRule="auto"/>
        <w:jc w:val="both"/>
        <w:rPr>
          <w:rFonts w:ascii="Arial" w:eastAsia="Times New Roman" w:hAnsi="Arial" w:cs="Arial"/>
          <w:color w:val="000000"/>
          <w:sz w:val="20"/>
          <w:szCs w:val="20"/>
        </w:rPr>
      </w:pPr>
    </w:p>
    <w:p w:rsidR="00B4041F" w:rsidRDefault="00B4041F"/>
    <w:sectPr w:rsidR="00B40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13"/>
    <w:rsid w:val="004A6206"/>
    <w:rsid w:val="00B4041F"/>
    <w:rsid w:val="00B56113"/>
    <w:rsid w:val="00DF09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B739"/>
  <w15:chartTrackingRefBased/>
  <w15:docId w15:val="{A4CCD040-E643-4BDD-9150-6485E1BB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F4"/>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3157</Characters>
  <Application>Microsoft Office Word</Application>
  <DocSecurity>0</DocSecurity>
  <Lines>26</Lines>
  <Paragraphs>7</Paragraphs>
  <ScaleCrop>false</ScaleCrop>
  <Company>KULeuven</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Vancampfort</dc:creator>
  <cp:keywords/>
  <dc:description/>
  <cp:lastModifiedBy>Davy Vancampfort</cp:lastModifiedBy>
  <cp:revision>3</cp:revision>
  <dcterms:created xsi:type="dcterms:W3CDTF">2017-11-28T10:29:00Z</dcterms:created>
  <dcterms:modified xsi:type="dcterms:W3CDTF">2018-01-12T10:43:00Z</dcterms:modified>
</cp:coreProperties>
</file>