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7B" w:rsidRPr="00C73F07" w:rsidRDefault="000D5F7B" w:rsidP="000D5F7B">
      <w:pPr>
        <w:pStyle w:val="Heading1"/>
        <w:rPr>
          <w:lang w:val="en-US"/>
        </w:rPr>
      </w:pPr>
      <w:r w:rsidRPr="00C73F07">
        <w:rPr>
          <w:lang w:val="en-US"/>
        </w:rPr>
        <w:t>Supplementary material</w:t>
      </w:r>
    </w:p>
    <w:p w:rsidR="000D5F7B" w:rsidRPr="006B532E" w:rsidRDefault="000D5F7B" w:rsidP="000D5F7B">
      <w:pPr>
        <w:spacing w:line="480" w:lineRule="auto"/>
        <w:rPr>
          <w:lang w:val="en-US"/>
        </w:rPr>
      </w:pPr>
      <w:r w:rsidRPr="006B532E">
        <w:rPr>
          <w:lang w:val="en-US"/>
        </w:rPr>
        <w:t xml:space="preserve">Patient measures included the </w:t>
      </w:r>
      <w:r w:rsidRPr="00D72F81">
        <w:rPr>
          <w:lang w:val="en-US"/>
        </w:rPr>
        <w:t>Mini-Mental State examination</w:t>
      </w:r>
      <w:r>
        <w:rPr>
          <w:lang w:val="en-US"/>
        </w:rPr>
        <w:t xml:space="preserve"> (</w:t>
      </w:r>
      <w:r w:rsidRPr="006B532E">
        <w:rPr>
          <w:lang w:val="en-US"/>
        </w:rPr>
        <w:t>MMSE</w:t>
      </w:r>
      <w:r>
        <w:rPr>
          <w:lang w:val="en-US"/>
        </w:rPr>
        <w:t>)</w:t>
      </w:r>
      <w:r w:rsidRPr="006B532E">
        <w:rPr>
          <w:lang w:val="en-US"/>
        </w:rPr>
        <w:t xml:space="preserve"> (</w:t>
      </w:r>
      <w:proofErr w:type="spellStart"/>
      <w:r w:rsidRPr="00EE4FD9">
        <w:rPr>
          <w:lang w:val="en-US"/>
        </w:rPr>
        <w:t>Folstein</w:t>
      </w:r>
      <w:proofErr w:type="spellEnd"/>
      <w:r w:rsidRPr="006B532E">
        <w:rPr>
          <w:lang w:val="en-US"/>
        </w:rPr>
        <w:t xml:space="preserve"> </w:t>
      </w:r>
      <w:r w:rsidRPr="00712CCF">
        <w:rPr>
          <w:i/>
          <w:lang w:val="en-US"/>
        </w:rPr>
        <w:t>et al.</w:t>
      </w:r>
      <w:r>
        <w:rPr>
          <w:lang w:val="en-US"/>
        </w:rPr>
        <w:t>,</w:t>
      </w:r>
      <w:r w:rsidRPr="006B532E">
        <w:rPr>
          <w:lang w:val="en-US"/>
        </w:rPr>
        <w:t xml:space="preserve"> 1975) and </w:t>
      </w:r>
      <w:r>
        <w:rPr>
          <w:lang w:val="en-US"/>
        </w:rPr>
        <w:t xml:space="preserve">12-item </w:t>
      </w:r>
      <w:r w:rsidRPr="006B532E">
        <w:rPr>
          <w:lang w:val="en-US"/>
        </w:rPr>
        <w:t>Neuropsychiatric Inventory</w:t>
      </w:r>
      <w:r w:rsidRPr="006B532E" w:rsidDel="006716F9">
        <w:rPr>
          <w:lang w:val="en-US"/>
        </w:rPr>
        <w:t xml:space="preserve"> </w:t>
      </w:r>
      <w:r w:rsidRPr="006B532E">
        <w:rPr>
          <w:lang w:val="en-US"/>
        </w:rPr>
        <w:t>(</w:t>
      </w:r>
      <w:r w:rsidRPr="006B532E">
        <w:rPr>
          <w:iCs/>
          <w:lang w:val="en-US"/>
        </w:rPr>
        <w:t>NPI-12)</w:t>
      </w:r>
      <w:r w:rsidRPr="006B532E">
        <w:rPr>
          <w:lang w:val="en-US"/>
        </w:rPr>
        <w:t xml:space="preserve"> (</w:t>
      </w:r>
      <w:r w:rsidRPr="00EE4FD9">
        <w:rPr>
          <w:lang w:val="en-US"/>
        </w:rPr>
        <w:t>Cummings</w:t>
      </w:r>
      <w:r w:rsidRPr="006B532E">
        <w:rPr>
          <w:lang w:val="en-US"/>
        </w:rPr>
        <w:t>, 1997), assessed at baseline and 6-month intervals, and the Alzheimer’s Disease Cooperative Study – Activities of Daily Living (ADCS-ADL) (</w:t>
      </w:r>
      <w:proofErr w:type="spellStart"/>
      <w:r w:rsidRPr="00EE4FD9">
        <w:rPr>
          <w:lang w:val="en-US"/>
        </w:rPr>
        <w:t>Galasko</w:t>
      </w:r>
      <w:proofErr w:type="spellEnd"/>
      <w:r w:rsidRPr="006B532E">
        <w:rPr>
          <w:lang w:val="en-US"/>
        </w:rPr>
        <w:t xml:space="preserve"> </w:t>
      </w:r>
      <w:r w:rsidRPr="00712CCF">
        <w:rPr>
          <w:i/>
          <w:lang w:val="en-US"/>
        </w:rPr>
        <w:t>et al.</w:t>
      </w:r>
      <w:r w:rsidRPr="006B532E">
        <w:rPr>
          <w:lang w:val="en-US"/>
        </w:rPr>
        <w:t xml:space="preserve">, 2005), assessed at baseline, 18 months and 36 months. Caregiver burden was captured using the 22-item </w:t>
      </w:r>
      <w:proofErr w:type="spellStart"/>
      <w:r w:rsidRPr="006B532E">
        <w:rPr>
          <w:lang w:val="en-US"/>
        </w:rPr>
        <w:t>Zarit</w:t>
      </w:r>
      <w:proofErr w:type="spellEnd"/>
      <w:r w:rsidRPr="006B532E">
        <w:rPr>
          <w:lang w:val="en-US"/>
        </w:rPr>
        <w:t xml:space="preserve"> Burden Interview </w:t>
      </w:r>
      <w:r>
        <w:rPr>
          <w:lang w:val="en-US"/>
        </w:rPr>
        <w:t>(</w:t>
      </w:r>
      <w:r w:rsidRPr="006B532E">
        <w:rPr>
          <w:lang w:val="en-US"/>
        </w:rPr>
        <w:t>ZBI</w:t>
      </w:r>
      <w:r>
        <w:rPr>
          <w:lang w:val="en-US"/>
        </w:rPr>
        <w:t>)</w:t>
      </w:r>
      <w:r w:rsidRPr="006B532E">
        <w:rPr>
          <w:lang w:val="en-US"/>
        </w:rPr>
        <w:t xml:space="preserve"> (</w:t>
      </w:r>
      <w:proofErr w:type="spellStart"/>
      <w:r w:rsidRPr="00EE4FD9">
        <w:rPr>
          <w:lang w:val="en-US"/>
        </w:rPr>
        <w:t>Zarit</w:t>
      </w:r>
      <w:proofErr w:type="spellEnd"/>
      <w:r w:rsidRPr="006B532E">
        <w:rPr>
          <w:lang w:val="en-US"/>
        </w:rPr>
        <w:t xml:space="preserve"> </w:t>
      </w:r>
      <w:r w:rsidRPr="00712CCF">
        <w:rPr>
          <w:i/>
          <w:lang w:val="en-US"/>
        </w:rPr>
        <w:t>et al.</w:t>
      </w:r>
      <w:r w:rsidRPr="006B532E">
        <w:rPr>
          <w:lang w:val="en-US"/>
        </w:rPr>
        <w:t>, 1980)</w:t>
      </w:r>
      <w:r>
        <w:rPr>
          <w:lang w:val="en-US"/>
        </w:rPr>
        <w:t>,</w:t>
      </w:r>
      <w:r w:rsidRPr="006B532E">
        <w:rPr>
          <w:lang w:val="en-US"/>
        </w:rPr>
        <w:t xml:space="preserve"> and informal caregiver time was obtained from the Resource Utilization in Dementia (RUD) (</w:t>
      </w:r>
      <w:r w:rsidRPr="00EE4FD9">
        <w:rPr>
          <w:lang w:val="en-US"/>
        </w:rPr>
        <w:t>Wimo</w:t>
      </w:r>
      <w:r w:rsidRPr="006B532E">
        <w:rPr>
          <w:lang w:val="en-US"/>
        </w:rPr>
        <w:t xml:space="preserve"> </w:t>
      </w:r>
      <w:r w:rsidRPr="00712CCF">
        <w:rPr>
          <w:i/>
          <w:lang w:val="en-US"/>
        </w:rPr>
        <w:t>et al.</w:t>
      </w:r>
      <w:r w:rsidRPr="006B532E">
        <w:rPr>
          <w:lang w:val="en-US"/>
        </w:rPr>
        <w:t>, 1998). Resource use data collected include</w:t>
      </w:r>
      <w:r>
        <w:rPr>
          <w:lang w:val="en-US"/>
        </w:rPr>
        <w:t>d</w:t>
      </w:r>
      <w:r w:rsidRPr="006B532E">
        <w:rPr>
          <w:lang w:val="en-US"/>
        </w:rPr>
        <w:t xml:space="preserve"> health and social care items such as living accommodation, hospitalizations and community care services. </w:t>
      </w:r>
      <w:r>
        <w:rPr>
          <w:lang w:val="en-US"/>
        </w:rPr>
        <w:t xml:space="preserve">The </w:t>
      </w:r>
      <w:r w:rsidRPr="006B532E">
        <w:rPr>
          <w:lang w:val="en-US"/>
        </w:rPr>
        <w:t xml:space="preserve">RUD also captures information on caregiver work status and time spent by the caregiver assisting the patient with basic </w:t>
      </w:r>
      <w:r>
        <w:rPr>
          <w:lang w:val="en-US"/>
        </w:rPr>
        <w:t>activities of daily living (</w:t>
      </w:r>
      <w:r w:rsidRPr="006B532E">
        <w:rPr>
          <w:lang w:val="en-US"/>
        </w:rPr>
        <w:t>ADL</w:t>
      </w:r>
      <w:r>
        <w:rPr>
          <w:lang w:val="en-US"/>
        </w:rPr>
        <w:t>)</w:t>
      </w:r>
      <w:r w:rsidRPr="006B532E">
        <w:rPr>
          <w:lang w:val="en-US"/>
        </w:rPr>
        <w:t xml:space="preserve"> (caregiver basic ADL hours) and instrumental ADL (caregiver instrumental ADL hours), with caregiver time reported as hours/month. Patient supervision time is also collected but was not used for the current analysis.</w:t>
      </w:r>
    </w:p>
    <w:p w:rsidR="000D5F7B" w:rsidRDefault="000D5F7B" w:rsidP="000D5F7B">
      <w:pPr>
        <w:rPr>
          <w:lang w:val="en-US"/>
        </w:rPr>
      </w:pPr>
      <w:r w:rsidRPr="006B532E">
        <w:rPr>
          <w:lang w:val="en-US"/>
        </w:rPr>
        <w:t xml:space="preserve">See </w:t>
      </w:r>
      <w:r w:rsidRPr="00EE4FD9">
        <w:rPr>
          <w:lang w:val="en-US"/>
        </w:rPr>
        <w:t>Wimo</w:t>
      </w:r>
      <w:r w:rsidRPr="006B532E">
        <w:rPr>
          <w:lang w:val="en-US"/>
        </w:rPr>
        <w:t xml:space="preserve"> </w:t>
      </w:r>
      <w:r w:rsidRPr="00712CCF">
        <w:rPr>
          <w:i/>
          <w:lang w:val="en-US"/>
        </w:rPr>
        <w:t>et al.</w:t>
      </w:r>
      <w:r w:rsidRPr="006B532E">
        <w:rPr>
          <w:lang w:val="en-US"/>
        </w:rPr>
        <w:t xml:space="preserve"> (2013) for details on other assessments made but not included in this analysis.</w:t>
      </w:r>
    </w:p>
    <w:p w:rsidR="000D5F7B" w:rsidRDefault="000D5F7B" w:rsidP="000D5F7B"/>
    <w:p w:rsidR="000D5F7B" w:rsidRPr="000020F2" w:rsidRDefault="000D5F7B" w:rsidP="000D5F7B">
      <w:pPr>
        <w:rPr>
          <w:b/>
        </w:rPr>
      </w:pPr>
      <w:r w:rsidRPr="000020F2">
        <w:rPr>
          <w:b/>
        </w:rPr>
        <w:t>References</w:t>
      </w:r>
    </w:p>
    <w:p w:rsidR="000D5F7B" w:rsidRPr="00E33A31" w:rsidRDefault="000D5F7B" w:rsidP="000D5F7B">
      <w:pPr>
        <w:autoSpaceDE w:val="0"/>
        <w:autoSpaceDN w:val="0"/>
        <w:adjustRightInd w:val="0"/>
        <w:spacing w:before="0" w:after="0" w:line="240" w:lineRule="auto"/>
        <w:rPr>
          <w:lang w:val="en-US"/>
        </w:rPr>
      </w:pPr>
      <w:proofErr w:type="spellStart"/>
      <w:r w:rsidRPr="00E33A31">
        <w:rPr>
          <w:b/>
          <w:lang w:val="en-US"/>
        </w:rPr>
        <w:t>Folstein</w:t>
      </w:r>
      <w:proofErr w:type="spellEnd"/>
      <w:r w:rsidRPr="00E33A31">
        <w:rPr>
          <w:b/>
          <w:lang w:val="en-US"/>
        </w:rPr>
        <w:t xml:space="preserve">, M. F., </w:t>
      </w:r>
      <w:proofErr w:type="spellStart"/>
      <w:r w:rsidRPr="00E33A31">
        <w:rPr>
          <w:b/>
          <w:lang w:val="en-US"/>
        </w:rPr>
        <w:t>Folstein</w:t>
      </w:r>
      <w:proofErr w:type="spellEnd"/>
      <w:r w:rsidRPr="00E33A31">
        <w:rPr>
          <w:b/>
          <w:lang w:val="en-US"/>
        </w:rPr>
        <w:t>, S.E. and McHugh, P. R.</w:t>
      </w:r>
      <w:r w:rsidRPr="00E33A31">
        <w:rPr>
          <w:lang w:val="en-US"/>
        </w:rPr>
        <w:t xml:space="preserve"> (1975). “Mini-mental state.” A practical method for grading the cognitive state of patients for the clinician. </w:t>
      </w:r>
      <w:r w:rsidRPr="00242E8C">
        <w:rPr>
          <w:i/>
          <w:lang w:val="en-US"/>
        </w:rPr>
        <w:t>Journal of Psychiatric Research</w:t>
      </w:r>
      <w:r w:rsidRPr="00E33A31">
        <w:rPr>
          <w:lang w:val="en-US"/>
        </w:rPr>
        <w:t>, 12, 189–198.</w:t>
      </w:r>
    </w:p>
    <w:p w:rsidR="000D5F7B" w:rsidRDefault="000D5F7B" w:rsidP="000D5F7B"/>
    <w:p w:rsidR="000D5F7B" w:rsidRPr="00E33A31" w:rsidRDefault="000D5F7B" w:rsidP="000D5F7B">
      <w:pPr>
        <w:spacing w:before="0" w:after="0" w:line="240" w:lineRule="auto"/>
        <w:rPr>
          <w:lang w:val="en-US"/>
        </w:rPr>
      </w:pPr>
      <w:r w:rsidRPr="00E33A31">
        <w:rPr>
          <w:b/>
          <w:lang w:val="en-US"/>
        </w:rPr>
        <w:t>Cummings, J. L.</w:t>
      </w:r>
      <w:r w:rsidRPr="00E33A31">
        <w:rPr>
          <w:lang w:val="en-US"/>
        </w:rPr>
        <w:t xml:space="preserve"> (1997). The Neuropsychiatric Inventory: assessing psychopathology in dementia patients. </w:t>
      </w:r>
      <w:r w:rsidRPr="001D14B4">
        <w:rPr>
          <w:i/>
          <w:lang w:val="en-US"/>
        </w:rPr>
        <w:t>Neurology</w:t>
      </w:r>
      <w:r w:rsidRPr="00E33A31">
        <w:rPr>
          <w:lang w:val="en-US"/>
        </w:rPr>
        <w:t>, 48</w:t>
      </w:r>
      <w:r>
        <w:rPr>
          <w:lang w:val="en-US"/>
        </w:rPr>
        <w:t xml:space="preserve"> </w:t>
      </w:r>
      <w:proofErr w:type="spellStart"/>
      <w:r w:rsidRPr="00E33A31">
        <w:rPr>
          <w:lang w:val="en-US"/>
        </w:rPr>
        <w:t>Suppl</w:t>
      </w:r>
      <w:proofErr w:type="spellEnd"/>
      <w:r w:rsidRPr="00E33A31">
        <w:rPr>
          <w:lang w:val="en-US"/>
        </w:rPr>
        <w:t xml:space="preserve"> 6, S10–S16.</w:t>
      </w:r>
    </w:p>
    <w:p w:rsidR="000D5F7B" w:rsidRPr="00E33A31" w:rsidRDefault="000D5F7B" w:rsidP="000D5F7B">
      <w:pPr>
        <w:spacing w:before="0" w:after="0" w:line="240" w:lineRule="auto"/>
        <w:rPr>
          <w:lang w:val="en-US"/>
        </w:rPr>
      </w:pPr>
    </w:p>
    <w:p w:rsidR="000D5F7B" w:rsidRDefault="000D5F7B" w:rsidP="000D5F7B">
      <w:pPr>
        <w:spacing w:before="0" w:after="0" w:line="240" w:lineRule="auto"/>
        <w:rPr>
          <w:lang w:val="en-US"/>
        </w:rPr>
      </w:pPr>
      <w:proofErr w:type="spellStart"/>
      <w:r w:rsidRPr="00E33A31">
        <w:rPr>
          <w:b/>
          <w:lang w:val="en-US"/>
        </w:rPr>
        <w:t>Galasko</w:t>
      </w:r>
      <w:proofErr w:type="spellEnd"/>
      <w:r w:rsidRPr="00E33A31">
        <w:rPr>
          <w:b/>
          <w:lang w:val="en-US"/>
        </w:rPr>
        <w:t xml:space="preserve">, D., Schmitt, F., Thomas, R., </w:t>
      </w:r>
      <w:proofErr w:type="spellStart"/>
      <w:r w:rsidRPr="00E33A31">
        <w:rPr>
          <w:b/>
          <w:lang w:val="en-US"/>
        </w:rPr>
        <w:t>Jin</w:t>
      </w:r>
      <w:proofErr w:type="spellEnd"/>
      <w:r w:rsidRPr="00E33A31">
        <w:rPr>
          <w:b/>
          <w:lang w:val="en-US"/>
        </w:rPr>
        <w:t xml:space="preserve">, S., Bennett, D.; Alzheimer's </w:t>
      </w:r>
      <w:proofErr w:type="gramStart"/>
      <w:r w:rsidRPr="00E33A31">
        <w:rPr>
          <w:b/>
          <w:lang w:val="en-US"/>
        </w:rPr>
        <w:t>Disease</w:t>
      </w:r>
      <w:proofErr w:type="gramEnd"/>
      <w:r w:rsidRPr="00E33A31">
        <w:rPr>
          <w:b/>
          <w:lang w:val="en-US"/>
        </w:rPr>
        <w:t xml:space="preserve"> Cooperative Study</w:t>
      </w:r>
      <w:r>
        <w:rPr>
          <w:b/>
          <w:lang w:val="en-US"/>
        </w:rPr>
        <w:t>.</w:t>
      </w:r>
      <w:r w:rsidRPr="00E33A31">
        <w:rPr>
          <w:lang w:val="en-US"/>
        </w:rPr>
        <w:t xml:space="preserve"> (2005). Detailed assessment of activities of daily living in moderate to severe Alzheimer’s disease. </w:t>
      </w:r>
      <w:r w:rsidRPr="00242E8C">
        <w:rPr>
          <w:i/>
          <w:lang w:val="en-US"/>
        </w:rPr>
        <w:t>Journal of the International Neuropsychological Society</w:t>
      </w:r>
      <w:r w:rsidRPr="00E33A31">
        <w:rPr>
          <w:lang w:val="en-US"/>
        </w:rPr>
        <w:t>, 11, 446–453.</w:t>
      </w:r>
    </w:p>
    <w:p w:rsidR="000D5F7B" w:rsidRPr="00E33A31" w:rsidRDefault="000D5F7B" w:rsidP="000D5F7B">
      <w:pPr>
        <w:spacing w:before="0" w:after="0" w:line="240" w:lineRule="auto"/>
        <w:rPr>
          <w:lang w:val="en-US"/>
        </w:rPr>
      </w:pPr>
    </w:p>
    <w:p w:rsidR="000D5F7B" w:rsidRDefault="000D5F7B" w:rsidP="000D5F7B">
      <w:pPr>
        <w:spacing w:before="0" w:after="0" w:line="240" w:lineRule="auto"/>
        <w:rPr>
          <w:lang w:val="en-US"/>
        </w:rPr>
      </w:pPr>
      <w:proofErr w:type="spellStart"/>
      <w:r w:rsidRPr="00E33A31">
        <w:rPr>
          <w:b/>
          <w:lang w:val="en-US"/>
        </w:rPr>
        <w:t>Zarit</w:t>
      </w:r>
      <w:proofErr w:type="spellEnd"/>
      <w:r w:rsidRPr="00E33A31">
        <w:rPr>
          <w:b/>
          <w:lang w:val="en-US"/>
        </w:rPr>
        <w:t xml:space="preserve">, S. H., </w:t>
      </w:r>
      <w:proofErr w:type="spellStart"/>
      <w:r w:rsidRPr="00E33A31">
        <w:rPr>
          <w:b/>
          <w:lang w:val="en-US"/>
        </w:rPr>
        <w:t>Reever</w:t>
      </w:r>
      <w:proofErr w:type="spellEnd"/>
      <w:r w:rsidRPr="00E33A31">
        <w:rPr>
          <w:b/>
          <w:lang w:val="en-US"/>
        </w:rPr>
        <w:t>, K. E. and Bach-Peterson, J.</w:t>
      </w:r>
      <w:r w:rsidRPr="00E33A31">
        <w:rPr>
          <w:lang w:val="en-US"/>
        </w:rPr>
        <w:t xml:space="preserve"> (1980). Relatives of the impaired elderly: correlates of feelings of burden. </w:t>
      </w:r>
      <w:r w:rsidRPr="00E6788F">
        <w:rPr>
          <w:i/>
          <w:lang w:val="en-US"/>
        </w:rPr>
        <w:t>Gerontologist</w:t>
      </w:r>
      <w:r w:rsidRPr="00E33A31">
        <w:rPr>
          <w:lang w:val="en-US"/>
        </w:rPr>
        <w:t>, 20, 649–665.</w:t>
      </w:r>
    </w:p>
    <w:p w:rsidR="000D5F7B" w:rsidRPr="00E33A31" w:rsidRDefault="000D5F7B" w:rsidP="000D5F7B">
      <w:pPr>
        <w:spacing w:before="0" w:after="0" w:line="240" w:lineRule="auto"/>
        <w:rPr>
          <w:lang w:val="en-US"/>
        </w:rPr>
      </w:pPr>
    </w:p>
    <w:p w:rsidR="000D5F7B" w:rsidRDefault="000D5F7B" w:rsidP="000D5F7B">
      <w:pPr>
        <w:autoSpaceDE w:val="0"/>
        <w:autoSpaceDN w:val="0"/>
        <w:adjustRightInd w:val="0"/>
        <w:spacing w:before="0" w:after="0" w:line="240" w:lineRule="auto"/>
        <w:rPr>
          <w:lang w:val="en-US"/>
        </w:rPr>
      </w:pPr>
      <w:r w:rsidRPr="00E33A31">
        <w:rPr>
          <w:b/>
          <w:lang w:val="en-US"/>
        </w:rPr>
        <w:t xml:space="preserve">Wimo, A., </w:t>
      </w:r>
      <w:proofErr w:type="spellStart"/>
      <w:r w:rsidRPr="00E33A31">
        <w:rPr>
          <w:b/>
          <w:lang w:val="en-US"/>
        </w:rPr>
        <w:t>Wetterholm</w:t>
      </w:r>
      <w:proofErr w:type="spellEnd"/>
      <w:r w:rsidRPr="00E33A31">
        <w:rPr>
          <w:b/>
          <w:lang w:val="en-US"/>
        </w:rPr>
        <w:t xml:space="preserve">, A.-L., </w:t>
      </w:r>
      <w:proofErr w:type="spellStart"/>
      <w:r w:rsidRPr="00E33A31">
        <w:rPr>
          <w:b/>
          <w:lang w:val="en-US"/>
        </w:rPr>
        <w:t>Mastey</w:t>
      </w:r>
      <w:proofErr w:type="spellEnd"/>
      <w:r w:rsidRPr="00E33A31">
        <w:rPr>
          <w:b/>
          <w:lang w:val="en-US"/>
        </w:rPr>
        <w:t xml:space="preserve">, V. and </w:t>
      </w:r>
      <w:proofErr w:type="spellStart"/>
      <w:r w:rsidRPr="00E33A31">
        <w:rPr>
          <w:b/>
          <w:lang w:val="en-US"/>
        </w:rPr>
        <w:t>Winblad</w:t>
      </w:r>
      <w:proofErr w:type="spellEnd"/>
      <w:r w:rsidRPr="00E33A31">
        <w:rPr>
          <w:b/>
          <w:lang w:val="en-US"/>
        </w:rPr>
        <w:t>, B.</w:t>
      </w:r>
      <w:r w:rsidRPr="00E33A31">
        <w:rPr>
          <w:lang w:val="en-US"/>
        </w:rPr>
        <w:t xml:space="preserve"> (1998). Evaluation of the healthcare resource utilization and caregiver time in anti-dementia drug trials. In A. Wimo, B. </w:t>
      </w:r>
      <w:proofErr w:type="spellStart"/>
      <w:r w:rsidRPr="00E33A31">
        <w:rPr>
          <w:lang w:val="en-US"/>
        </w:rPr>
        <w:lastRenderedPageBreak/>
        <w:t>Jönsson</w:t>
      </w:r>
      <w:proofErr w:type="spellEnd"/>
      <w:r w:rsidRPr="00E33A31">
        <w:rPr>
          <w:lang w:val="en-US"/>
        </w:rPr>
        <w:t xml:space="preserve">, G. </w:t>
      </w:r>
      <w:proofErr w:type="spellStart"/>
      <w:r w:rsidRPr="00E33A31">
        <w:rPr>
          <w:lang w:val="en-US"/>
        </w:rPr>
        <w:t>Karlsson</w:t>
      </w:r>
      <w:proofErr w:type="spellEnd"/>
      <w:r w:rsidRPr="00E33A31">
        <w:rPr>
          <w:lang w:val="en-US"/>
        </w:rPr>
        <w:t xml:space="preserve"> and B. </w:t>
      </w:r>
      <w:proofErr w:type="spellStart"/>
      <w:r w:rsidRPr="00E33A31">
        <w:rPr>
          <w:lang w:val="en-US"/>
        </w:rPr>
        <w:t>Winblad</w:t>
      </w:r>
      <w:proofErr w:type="spellEnd"/>
      <w:r w:rsidRPr="00E33A31">
        <w:rPr>
          <w:i/>
          <w:lang w:val="en-US"/>
        </w:rPr>
        <w:t>,</w:t>
      </w:r>
      <w:r w:rsidRPr="00E33A31">
        <w:rPr>
          <w:lang w:val="en-US"/>
        </w:rPr>
        <w:t xml:space="preserve"> (Eds.) </w:t>
      </w:r>
      <w:proofErr w:type="gramStart"/>
      <w:r w:rsidRPr="00E33A31">
        <w:rPr>
          <w:iCs/>
          <w:lang w:val="en-US"/>
        </w:rPr>
        <w:t>The</w:t>
      </w:r>
      <w:proofErr w:type="gramEnd"/>
      <w:r w:rsidRPr="00E33A31">
        <w:rPr>
          <w:iCs/>
          <w:lang w:val="en-US"/>
        </w:rPr>
        <w:t xml:space="preserve"> Health Economics of Dementia.</w:t>
      </w:r>
      <w:r w:rsidRPr="00E33A31">
        <w:rPr>
          <w:lang w:val="en-US"/>
        </w:rPr>
        <w:t xml:space="preserve"> (pp. 465–499). London: John Wiley </w:t>
      </w:r>
      <w:r>
        <w:rPr>
          <w:lang w:val="en-US"/>
        </w:rPr>
        <w:t>&amp;</w:t>
      </w:r>
      <w:r w:rsidRPr="00E33A31">
        <w:rPr>
          <w:lang w:val="en-US"/>
        </w:rPr>
        <w:t xml:space="preserve"> Sons.</w:t>
      </w:r>
    </w:p>
    <w:p w:rsidR="000D5F7B" w:rsidRPr="00E33A31" w:rsidRDefault="000D5F7B" w:rsidP="000D5F7B">
      <w:pPr>
        <w:autoSpaceDE w:val="0"/>
        <w:autoSpaceDN w:val="0"/>
        <w:adjustRightInd w:val="0"/>
        <w:spacing w:before="0" w:after="0" w:line="240" w:lineRule="auto"/>
        <w:rPr>
          <w:lang w:val="en-US"/>
        </w:rPr>
      </w:pPr>
    </w:p>
    <w:p w:rsidR="000D5F7B" w:rsidRDefault="000D5F7B" w:rsidP="000D5F7B">
      <w:pPr>
        <w:pStyle w:val="desc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E33A31">
        <w:rPr>
          <w:rFonts w:ascii="Arial" w:hAnsi="Arial" w:cs="Arial"/>
          <w:b/>
          <w:bCs/>
          <w:sz w:val="22"/>
          <w:szCs w:val="22"/>
          <w:lang w:val="en-US"/>
        </w:rPr>
        <w:t>Wimo,</w:t>
      </w:r>
      <w:r w:rsidRPr="00E33A31">
        <w:rPr>
          <w:rFonts w:ascii="Arial" w:hAnsi="Arial" w:cs="Arial"/>
          <w:b/>
          <w:sz w:val="22"/>
          <w:szCs w:val="22"/>
          <w:lang w:val="en-US"/>
        </w:rPr>
        <w:t xml:space="preserve"> A., Reed, C. C., Dodel, R., Belger, M., Jones, R., Happich, M. </w:t>
      </w:r>
      <w:r w:rsidRPr="00712CCF">
        <w:rPr>
          <w:rFonts w:ascii="Arial" w:hAnsi="Arial" w:cs="Arial"/>
          <w:b/>
          <w:i/>
          <w:sz w:val="22"/>
          <w:szCs w:val="22"/>
          <w:lang w:val="en-US"/>
        </w:rPr>
        <w:t>et al.</w:t>
      </w:r>
      <w:r w:rsidRPr="00E33A31">
        <w:rPr>
          <w:rFonts w:ascii="Arial" w:hAnsi="Arial" w:cs="Arial"/>
          <w:sz w:val="22"/>
          <w:szCs w:val="22"/>
          <w:lang w:val="en-US"/>
        </w:rPr>
        <w:t xml:space="preserve"> (2013). The </w:t>
      </w:r>
      <w:r w:rsidRPr="00E33A31">
        <w:rPr>
          <w:rFonts w:ascii="Arial" w:hAnsi="Arial" w:cs="Arial"/>
          <w:bCs/>
          <w:sz w:val="22"/>
          <w:szCs w:val="22"/>
          <w:lang w:val="en-US"/>
        </w:rPr>
        <w:t>GERAS</w:t>
      </w:r>
      <w:r w:rsidRPr="00E33A31">
        <w:rPr>
          <w:rFonts w:ascii="Arial" w:hAnsi="Arial" w:cs="Arial"/>
          <w:sz w:val="22"/>
          <w:szCs w:val="22"/>
          <w:lang w:val="en-US"/>
        </w:rPr>
        <w:t xml:space="preserve"> </w:t>
      </w:r>
      <w:r w:rsidRPr="00E33A31">
        <w:rPr>
          <w:rFonts w:ascii="Arial" w:hAnsi="Arial" w:cs="Arial"/>
          <w:bCs/>
          <w:sz w:val="22"/>
          <w:szCs w:val="22"/>
          <w:lang w:val="en-US"/>
        </w:rPr>
        <w:t>Study</w:t>
      </w:r>
      <w:r w:rsidRPr="00E33A31">
        <w:rPr>
          <w:rFonts w:ascii="Arial" w:hAnsi="Arial" w:cs="Arial"/>
          <w:sz w:val="22"/>
          <w:szCs w:val="22"/>
          <w:lang w:val="en-US"/>
        </w:rPr>
        <w:t xml:space="preserve">: a </w:t>
      </w:r>
      <w:r w:rsidRPr="00E33A31">
        <w:rPr>
          <w:rFonts w:ascii="Arial" w:hAnsi="Arial" w:cs="Arial"/>
          <w:bCs/>
          <w:sz w:val="22"/>
          <w:szCs w:val="22"/>
          <w:lang w:val="en-US"/>
        </w:rPr>
        <w:t>prospective</w:t>
      </w:r>
      <w:r w:rsidRPr="00E33A31">
        <w:rPr>
          <w:rFonts w:ascii="Arial" w:hAnsi="Arial" w:cs="Arial"/>
          <w:sz w:val="22"/>
          <w:szCs w:val="22"/>
          <w:lang w:val="en-US"/>
        </w:rPr>
        <w:t xml:space="preserve"> observational </w:t>
      </w:r>
      <w:r w:rsidRPr="00E33A31">
        <w:rPr>
          <w:rFonts w:ascii="Arial" w:hAnsi="Arial" w:cs="Arial"/>
          <w:bCs/>
          <w:sz w:val="22"/>
          <w:szCs w:val="22"/>
          <w:lang w:val="en-US"/>
        </w:rPr>
        <w:t>study</w:t>
      </w:r>
      <w:r w:rsidRPr="00E33A31">
        <w:rPr>
          <w:rFonts w:ascii="Arial" w:hAnsi="Arial" w:cs="Arial"/>
          <w:sz w:val="22"/>
          <w:szCs w:val="22"/>
          <w:lang w:val="en-US"/>
        </w:rPr>
        <w:t xml:space="preserve"> of costs and resource use in community dwellers with Alzheimer's disease in three European countries--</w:t>
      </w:r>
      <w:r w:rsidRPr="00E33A31">
        <w:rPr>
          <w:rFonts w:ascii="Arial" w:hAnsi="Arial" w:cs="Arial"/>
          <w:bCs/>
          <w:sz w:val="22"/>
          <w:szCs w:val="22"/>
          <w:lang w:val="en-US"/>
        </w:rPr>
        <w:t>study</w:t>
      </w:r>
      <w:r w:rsidRPr="00E33A31">
        <w:rPr>
          <w:rFonts w:ascii="Arial" w:hAnsi="Arial" w:cs="Arial"/>
          <w:sz w:val="22"/>
          <w:szCs w:val="22"/>
          <w:lang w:val="en-US"/>
        </w:rPr>
        <w:t xml:space="preserve"> design and baseline findings. </w:t>
      </w:r>
      <w:r w:rsidRPr="00E6788F">
        <w:rPr>
          <w:rStyle w:val="jrnl"/>
          <w:rFonts w:ascii="Arial" w:eastAsiaTheme="majorEastAsia" w:hAnsi="Arial" w:cs="Arial"/>
          <w:i/>
          <w:sz w:val="22"/>
          <w:szCs w:val="22"/>
          <w:lang w:val="en-US"/>
        </w:rPr>
        <w:t xml:space="preserve">Journal of </w:t>
      </w:r>
      <w:proofErr w:type="gramStart"/>
      <w:r w:rsidRPr="00E6788F">
        <w:rPr>
          <w:rStyle w:val="jrnl"/>
          <w:rFonts w:ascii="Arial" w:eastAsiaTheme="majorEastAsia" w:hAnsi="Arial" w:cs="Arial"/>
          <w:i/>
          <w:sz w:val="22"/>
          <w:szCs w:val="22"/>
          <w:lang w:val="en-US"/>
        </w:rPr>
        <w:t>Alzheimer’s Disease</w:t>
      </w:r>
      <w:proofErr w:type="gramEnd"/>
      <w:r w:rsidRPr="00E33A31">
        <w:rPr>
          <w:rStyle w:val="jrnl"/>
          <w:rFonts w:ascii="Arial" w:eastAsiaTheme="majorEastAsia" w:hAnsi="Arial" w:cs="Arial"/>
          <w:sz w:val="22"/>
          <w:szCs w:val="22"/>
          <w:lang w:val="en-US"/>
        </w:rPr>
        <w:t>,</w:t>
      </w:r>
      <w:r w:rsidRPr="00E33A31">
        <w:rPr>
          <w:rFonts w:ascii="Arial" w:hAnsi="Arial" w:cs="Arial"/>
          <w:sz w:val="22"/>
          <w:szCs w:val="22"/>
          <w:lang w:val="en-US"/>
        </w:rPr>
        <w:t xml:space="preserve"> 36, 385‒399. </w:t>
      </w:r>
    </w:p>
    <w:p w:rsidR="000D5F7B" w:rsidRDefault="000D5F7B" w:rsidP="000D5F7B"/>
    <w:p w:rsidR="000D5F7B" w:rsidRPr="000779B2" w:rsidRDefault="000D5F7B" w:rsidP="000D5F7B">
      <w:pPr>
        <w:rPr>
          <w:lang w:val="en-US"/>
        </w:rPr>
      </w:pPr>
    </w:p>
    <w:p w:rsidR="00083586" w:rsidRDefault="00083586">
      <w:bookmarkStart w:id="0" w:name="_GoBack"/>
      <w:bookmarkEnd w:id="0"/>
    </w:p>
    <w:sectPr w:rsidR="00083586" w:rsidSect="00FD4BF2">
      <w:foot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1E8" w:rsidRPr="00E17D5C" w:rsidRDefault="000D5F7B">
    <w:pPr>
      <w:pStyle w:val="Footer"/>
      <w:rPr>
        <w:b/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7B"/>
    <w:rsid w:val="00083586"/>
    <w:rsid w:val="000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52EC7-0CAD-490C-8E91-A4E27F78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F7B"/>
    <w:pPr>
      <w:spacing w:before="60" w:after="6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F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0D5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F7B"/>
    <w:rPr>
      <w:rFonts w:ascii="Arial" w:hAnsi="Arial" w:cs="Arial"/>
    </w:rPr>
  </w:style>
  <w:style w:type="paragraph" w:customStyle="1" w:styleId="desc">
    <w:name w:val="desc"/>
    <w:basedOn w:val="Normal"/>
    <w:rsid w:val="000D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rnl">
    <w:name w:val="jrnl"/>
    <w:basedOn w:val="DefaultParagraphFont"/>
    <w:rsid w:val="000D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Supplementary material</vt:lpstr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McKevitt</dc:creator>
  <cp:keywords/>
  <dc:description/>
  <cp:lastModifiedBy>Nikki McKevitt</cp:lastModifiedBy>
  <cp:revision>1</cp:revision>
  <dcterms:created xsi:type="dcterms:W3CDTF">2018-11-29T11:40:00Z</dcterms:created>
  <dcterms:modified xsi:type="dcterms:W3CDTF">2018-11-29T11:40:00Z</dcterms:modified>
</cp:coreProperties>
</file>