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D95F7" w14:textId="7DF3D974" w:rsidR="00AD02F5" w:rsidRPr="00054D36" w:rsidRDefault="002163AA" w:rsidP="007D3151">
      <w:pPr>
        <w:pStyle w:val="Rubrik1"/>
        <w:rPr>
          <w:lang w:val="en-US"/>
        </w:rPr>
      </w:pPr>
      <w:bookmarkStart w:id="0" w:name="_GoBack"/>
      <w:bookmarkEnd w:id="0"/>
      <w:r>
        <w:rPr>
          <w:lang w:val="en-US"/>
        </w:rPr>
        <w:t>Supplementary table 1</w:t>
      </w:r>
      <w:r w:rsidR="00AD02F5" w:rsidRPr="00054D36">
        <w:rPr>
          <w:lang w:val="en-US"/>
        </w:rPr>
        <w:t xml:space="preserve">. </w:t>
      </w:r>
      <w:r w:rsidR="005B57F4">
        <w:rPr>
          <w:lang w:val="en-US"/>
        </w:rPr>
        <w:t xml:space="preserve">Data for detailed comparison with the previous mortality studies by </w:t>
      </w:r>
      <w:proofErr w:type="spellStart"/>
      <w:r w:rsidR="005B57F4">
        <w:rPr>
          <w:lang w:val="en-US"/>
        </w:rPr>
        <w:t>Stek</w:t>
      </w:r>
      <w:proofErr w:type="spellEnd"/>
      <w:r w:rsidR="005B57F4">
        <w:rPr>
          <w:lang w:val="en-US"/>
        </w:rPr>
        <w:t xml:space="preserve"> et al 2005 and Rapp et al 2008. Multivariate Cox r</w:t>
      </w:r>
      <w:r w:rsidR="005B57F4" w:rsidRPr="00054D36">
        <w:rPr>
          <w:lang w:val="en-US"/>
        </w:rPr>
        <w:t>egressions</w:t>
      </w:r>
      <w:r w:rsidR="005B57F4">
        <w:rPr>
          <w:lang w:val="en-US"/>
        </w:rPr>
        <w:t xml:space="preserve"> with baseline data as independent </w:t>
      </w:r>
      <w:proofErr w:type="spellStart"/>
      <w:r w:rsidR="005B57F4">
        <w:rPr>
          <w:lang w:val="en-US"/>
        </w:rPr>
        <w:t>variables</w:t>
      </w:r>
      <w:r w:rsidR="005B57F4">
        <w:rPr>
          <w:vertAlign w:val="superscript"/>
          <w:lang w:val="en-US"/>
        </w:rPr>
        <w:t>a</w:t>
      </w:r>
      <w:proofErr w:type="spellEnd"/>
      <w:r w:rsidR="005B57F4">
        <w:rPr>
          <w:lang w:val="en-US"/>
        </w:rPr>
        <w:t>.</w:t>
      </w:r>
    </w:p>
    <w:tbl>
      <w:tblPr>
        <w:tblStyle w:val="Ljustrutnt-dekorfrg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6"/>
        <w:gridCol w:w="2257"/>
        <w:gridCol w:w="2410"/>
        <w:gridCol w:w="2693"/>
      </w:tblGrid>
      <w:tr w:rsidR="00C902B6" w:rsidRPr="00C902B6" w14:paraId="46819E9D" w14:textId="6593D570" w:rsidTr="00513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B2A1C7" w:themeFill="accent4" w:themeFillTint="99"/>
          </w:tcPr>
          <w:p w14:paraId="0E8EBD53" w14:textId="77777777" w:rsidR="007204BB" w:rsidRDefault="007204BB" w:rsidP="007D3151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501D399" w14:textId="77777777" w:rsidR="007204BB" w:rsidRDefault="007204BB" w:rsidP="007D3151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21F6223" w14:textId="77777777" w:rsidR="007204BB" w:rsidRDefault="007204BB" w:rsidP="007D3151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9048C1F" w14:textId="77777777" w:rsidR="007204BB" w:rsidRDefault="007204BB" w:rsidP="007D3151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539F9A7" w14:textId="0FB600F1" w:rsidR="00C902B6" w:rsidRPr="007D3151" w:rsidRDefault="00C902B6" w:rsidP="007D31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Independent variable in the model</w:t>
            </w:r>
          </w:p>
        </w:tc>
        <w:tc>
          <w:tcPr>
            <w:tcW w:w="2257" w:type="dxa"/>
            <w:shd w:val="clear" w:color="auto" w:fill="B2A1C7" w:themeFill="accent4" w:themeFillTint="99"/>
          </w:tcPr>
          <w:p w14:paraId="0E80259C" w14:textId="77777777" w:rsidR="007204BB" w:rsidRDefault="007204BB" w:rsidP="00C90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7A40A11D" w14:textId="77777777" w:rsidR="00C902B6" w:rsidRDefault="00C902B6" w:rsidP="00C90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vertAlign w:val="superscript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Model 1 similar to study of</w:t>
            </w:r>
            <w:r w:rsidR="003B342D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Rapp et al, n=371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  <w:lang w:val="en-US"/>
              </w:rPr>
              <w:t>b</w:t>
            </w:r>
            <w:r w:rsidR="00EA363F">
              <w:rPr>
                <w:rFonts w:cs="Arial"/>
                <w:color w:val="000000"/>
                <w:sz w:val="20"/>
                <w:szCs w:val="20"/>
                <w:vertAlign w:val="superscript"/>
                <w:lang w:val="en-US"/>
              </w:rPr>
              <w:t>.</w:t>
            </w:r>
          </w:p>
          <w:p w14:paraId="52075A18" w14:textId="55F3877A" w:rsidR="00EA363F" w:rsidRPr="003672EC" w:rsidRDefault="00EA363F" w:rsidP="00C90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 w:val="20"/>
                <w:szCs w:val="20"/>
                <w:vertAlign w:val="superscript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HR (CI); p-value</w:t>
            </w:r>
          </w:p>
        </w:tc>
        <w:tc>
          <w:tcPr>
            <w:tcW w:w="2410" w:type="dxa"/>
            <w:shd w:val="clear" w:color="auto" w:fill="B2A1C7" w:themeFill="accent4" w:themeFillTint="99"/>
          </w:tcPr>
          <w:p w14:paraId="652F7973" w14:textId="77777777" w:rsidR="007204BB" w:rsidRDefault="007204BB" w:rsidP="007D3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14:paraId="0257F287" w14:textId="77777777" w:rsidR="00C902B6" w:rsidRDefault="00C902B6" w:rsidP="007D3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Model 2= model 1 with addition of the variable I-ADL, n=371.</w:t>
            </w:r>
            <w:r w:rsidR="00EA363F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331155D" w14:textId="2B72DFE2" w:rsidR="00EA363F" w:rsidRDefault="00EA363F" w:rsidP="007D31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HR (CI); p-value</w:t>
            </w:r>
          </w:p>
        </w:tc>
        <w:tc>
          <w:tcPr>
            <w:tcW w:w="2693" w:type="dxa"/>
            <w:shd w:val="clear" w:color="auto" w:fill="B2A1C7" w:themeFill="accent4" w:themeFillTint="99"/>
          </w:tcPr>
          <w:p w14:paraId="7AA128E3" w14:textId="78E6C341" w:rsidR="00C902B6" w:rsidRPr="007204BB" w:rsidRDefault="00C902B6" w:rsidP="00C90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Model 3 with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subanalyses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for only those with loneliness</w:t>
            </w:r>
            <w:r w:rsidR="00513F27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13F27">
              <w:rPr>
                <w:rFonts w:cs="Arial"/>
                <w:color w:val="000000"/>
                <w:sz w:val="20"/>
                <w:szCs w:val="20"/>
                <w:lang w:val="en-US"/>
              </w:rPr>
              <w:t>present</w:t>
            </w:r>
            <w:r w:rsidR="00905E37">
              <w:rPr>
                <w:rFonts w:cs="Arial"/>
                <w:color w:val="000000"/>
                <w:sz w:val="20"/>
                <w:szCs w:val="20"/>
                <w:vertAlign w:val="superscript"/>
                <w:lang w:val="en-US"/>
              </w:rPr>
              <w:t>c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, similar to the study of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Stek</w:t>
            </w:r>
            <w:proofErr w:type="spellEnd"/>
            <w:r w:rsidR="00513F27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et al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, n=</w:t>
            </w:r>
            <w:r w:rsidR="00B74353">
              <w:rPr>
                <w:rFonts w:cs="Arial"/>
                <w:color w:val="000000"/>
                <w:sz w:val="20"/>
                <w:szCs w:val="20"/>
                <w:lang w:val="en-US"/>
              </w:rPr>
              <w:t>146</w:t>
            </w:r>
            <w:r w:rsidR="007204BB">
              <w:rPr>
                <w:rFonts w:cs="Arial"/>
                <w:color w:val="000000"/>
                <w:sz w:val="20"/>
                <w:szCs w:val="20"/>
                <w:vertAlign w:val="superscript"/>
                <w:lang w:val="en-US"/>
              </w:rPr>
              <w:t>d</w:t>
            </w:r>
            <w:r w:rsidR="007204BB">
              <w:rPr>
                <w:rFonts w:cs="Arial"/>
                <w:color w:val="000000"/>
                <w:sz w:val="20"/>
                <w:szCs w:val="20"/>
                <w:lang w:val="en-US"/>
              </w:rPr>
              <w:t>.</w:t>
            </w:r>
          </w:p>
          <w:p w14:paraId="737008FE" w14:textId="0DA1B360" w:rsidR="00EA363F" w:rsidRPr="00A23E10" w:rsidRDefault="00EA363F" w:rsidP="00C90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vertAlign w:val="superscript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HR (CI); p-value</w:t>
            </w:r>
          </w:p>
        </w:tc>
      </w:tr>
      <w:tr w:rsidR="00C902B6" w:rsidRPr="003B342D" w14:paraId="67B02AF3" w14:textId="2C15FA47" w:rsidTr="00513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75AED0FD" w14:textId="13AA76F1" w:rsidR="00C902B6" w:rsidRPr="00742500" w:rsidRDefault="00C902B6" w:rsidP="0029555F">
            <w:pPr>
              <w:jc w:val="center"/>
              <w:rPr>
                <w:sz w:val="20"/>
                <w:szCs w:val="20"/>
                <w:lang w:val="en-US"/>
              </w:rPr>
            </w:pPr>
            <w:r w:rsidRPr="00742500">
              <w:rPr>
                <w:sz w:val="20"/>
                <w:szCs w:val="20"/>
                <w:lang w:val="en-US"/>
              </w:rPr>
              <w:t>Male sex</w:t>
            </w:r>
            <w:r>
              <w:rPr>
                <w:sz w:val="20"/>
                <w:szCs w:val="20"/>
                <w:lang w:val="en-US"/>
              </w:rPr>
              <w:t xml:space="preserve"> (yes/no)</w:t>
            </w:r>
          </w:p>
        </w:tc>
        <w:tc>
          <w:tcPr>
            <w:tcW w:w="2257" w:type="dxa"/>
          </w:tcPr>
          <w:p w14:paraId="5C2854A7" w14:textId="043BA0EF" w:rsidR="00C902B6" w:rsidRPr="000B6250" w:rsidRDefault="003B342D" w:rsidP="00513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1.31 (1.00-1.72</w:t>
            </w:r>
            <w:r w:rsidR="00C902B6" w:rsidRPr="000B6250">
              <w:rPr>
                <w:b/>
                <w:i/>
                <w:sz w:val="20"/>
                <w:szCs w:val="20"/>
                <w:lang w:val="en-US"/>
              </w:rPr>
              <w:t>)</w:t>
            </w:r>
            <w:r w:rsidR="00EA363F">
              <w:rPr>
                <w:b/>
                <w:i/>
                <w:sz w:val="20"/>
                <w:szCs w:val="20"/>
                <w:lang w:val="en-US"/>
              </w:rPr>
              <w:t>;</w:t>
            </w:r>
            <w:r w:rsidR="00513F2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US"/>
              </w:rPr>
              <w:t>0.048</w:t>
            </w:r>
          </w:p>
        </w:tc>
        <w:tc>
          <w:tcPr>
            <w:tcW w:w="2410" w:type="dxa"/>
          </w:tcPr>
          <w:p w14:paraId="4D7180CB" w14:textId="677E13FB" w:rsidR="00C902B6" w:rsidRPr="00231965" w:rsidRDefault="00C902B6" w:rsidP="00513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 xml:space="preserve"> 1.40 (1.07-1.84)</w:t>
            </w:r>
            <w:r w:rsidR="00EA363F">
              <w:rPr>
                <w:b/>
                <w:i/>
                <w:sz w:val="20"/>
                <w:szCs w:val="20"/>
                <w:lang w:val="en-US"/>
              </w:rPr>
              <w:t>;</w:t>
            </w:r>
            <w:r w:rsidR="00513F2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US"/>
              </w:rPr>
              <w:t>0.013</w:t>
            </w:r>
          </w:p>
        </w:tc>
        <w:tc>
          <w:tcPr>
            <w:tcW w:w="2693" w:type="dxa"/>
          </w:tcPr>
          <w:p w14:paraId="622F2EF6" w14:textId="21546801" w:rsidR="00C902B6" w:rsidRPr="00231965" w:rsidRDefault="00B74353" w:rsidP="00513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2.04 (1.31-3.17</w:t>
            </w:r>
            <w:r w:rsidR="00C902B6" w:rsidRPr="00231965">
              <w:rPr>
                <w:b/>
                <w:i/>
                <w:sz w:val="20"/>
                <w:szCs w:val="20"/>
                <w:lang w:val="en-US"/>
              </w:rPr>
              <w:t>)</w:t>
            </w:r>
            <w:r w:rsidR="00EA363F">
              <w:rPr>
                <w:b/>
                <w:i/>
                <w:sz w:val="20"/>
                <w:szCs w:val="20"/>
                <w:lang w:val="en-US"/>
              </w:rPr>
              <w:t>;</w:t>
            </w:r>
            <w:r w:rsidR="00513F2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US"/>
              </w:rPr>
              <w:t>0.002</w:t>
            </w:r>
          </w:p>
        </w:tc>
      </w:tr>
      <w:tr w:rsidR="00C902B6" w:rsidRPr="00B74353" w14:paraId="3285AB89" w14:textId="472983E9" w:rsidTr="00513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6C6CA057" w14:textId="70AC3236" w:rsidR="00C902B6" w:rsidRPr="00E254BD" w:rsidRDefault="00C902B6" w:rsidP="0029555F">
            <w:pPr>
              <w:jc w:val="center"/>
              <w:rPr>
                <w:sz w:val="20"/>
                <w:szCs w:val="20"/>
                <w:lang w:val="en-US"/>
              </w:rPr>
            </w:pPr>
            <w:r w:rsidRPr="00E254BD">
              <w:rPr>
                <w:sz w:val="20"/>
                <w:szCs w:val="20"/>
                <w:lang w:val="en-US"/>
              </w:rPr>
              <w:t>Education n years</w:t>
            </w:r>
          </w:p>
        </w:tc>
        <w:tc>
          <w:tcPr>
            <w:tcW w:w="2257" w:type="dxa"/>
          </w:tcPr>
          <w:p w14:paraId="69B028C5" w14:textId="1D2C2208" w:rsidR="00C902B6" w:rsidRPr="003B342D" w:rsidRDefault="00EA363F" w:rsidP="002955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1.00 (0.965-1.040); </w:t>
            </w:r>
            <w:r w:rsidR="003B342D" w:rsidRPr="003B342D">
              <w:rPr>
                <w:sz w:val="20"/>
                <w:szCs w:val="20"/>
                <w:lang w:val="en-US"/>
              </w:rPr>
              <w:t>0.923</w:t>
            </w:r>
          </w:p>
        </w:tc>
        <w:tc>
          <w:tcPr>
            <w:tcW w:w="2410" w:type="dxa"/>
          </w:tcPr>
          <w:p w14:paraId="008E7378" w14:textId="617780BF" w:rsidR="00C902B6" w:rsidRDefault="00C902B6" w:rsidP="00513F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1.00 (0.959-1.03)</w:t>
            </w:r>
            <w:r w:rsidR="00513F27">
              <w:rPr>
                <w:sz w:val="20"/>
                <w:szCs w:val="20"/>
                <w:lang w:val="en-US"/>
              </w:rPr>
              <w:t xml:space="preserve">; </w:t>
            </w:r>
            <w:r>
              <w:rPr>
                <w:sz w:val="20"/>
                <w:szCs w:val="20"/>
                <w:lang w:val="en-US"/>
              </w:rPr>
              <w:t>0.819</w:t>
            </w:r>
          </w:p>
        </w:tc>
        <w:tc>
          <w:tcPr>
            <w:tcW w:w="2693" w:type="dxa"/>
          </w:tcPr>
          <w:p w14:paraId="1EB654BE" w14:textId="14D76443" w:rsidR="00C902B6" w:rsidRPr="00802135" w:rsidRDefault="00B74353" w:rsidP="00EA36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1.00 (0.938-1.08</w:t>
            </w:r>
            <w:r w:rsidR="00C902B6">
              <w:rPr>
                <w:sz w:val="20"/>
                <w:szCs w:val="20"/>
                <w:lang w:val="en-US"/>
              </w:rPr>
              <w:t xml:space="preserve">); </w:t>
            </w:r>
            <w:r>
              <w:rPr>
                <w:sz w:val="20"/>
                <w:szCs w:val="20"/>
                <w:lang w:val="en-US"/>
              </w:rPr>
              <w:t>0.897</w:t>
            </w:r>
          </w:p>
        </w:tc>
      </w:tr>
      <w:tr w:rsidR="00C902B6" w:rsidRPr="003B342D" w14:paraId="62EA7773" w14:textId="53DDC15B" w:rsidTr="00513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37877183" w14:textId="77777777" w:rsidR="007204BB" w:rsidRDefault="00C902B6" w:rsidP="0029555F">
            <w:pPr>
              <w:jc w:val="center"/>
              <w:rPr>
                <w:sz w:val="20"/>
                <w:szCs w:val="20"/>
                <w:lang w:val="en-US"/>
              </w:rPr>
            </w:pPr>
            <w:r w:rsidRPr="0021027E">
              <w:rPr>
                <w:sz w:val="20"/>
                <w:szCs w:val="20"/>
                <w:lang w:val="en-US"/>
              </w:rPr>
              <w:t>Somatic multimorbidity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4D127362" w14:textId="621A77DE" w:rsidR="00C902B6" w:rsidRPr="0021027E" w:rsidRDefault="00C902B6" w:rsidP="0029555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 diseases)</w:t>
            </w:r>
          </w:p>
        </w:tc>
        <w:tc>
          <w:tcPr>
            <w:tcW w:w="2257" w:type="dxa"/>
          </w:tcPr>
          <w:p w14:paraId="268EBA24" w14:textId="5D814B0F" w:rsidR="00C902B6" w:rsidRPr="000B6250" w:rsidRDefault="003B342D" w:rsidP="003B3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1.10 (1.02-1.19</w:t>
            </w:r>
            <w:r w:rsidR="00C902B6" w:rsidRPr="000B6250">
              <w:rPr>
                <w:b/>
                <w:i/>
                <w:sz w:val="20"/>
                <w:szCs w:val="20"/>
                <w:lang w:val="en-US"/>
              </w:rPr>
              <w:t>)</w:t>
            </w:r>
            <w:r w:rsidR="00EA363F">
              <w:rPr>
                <w:b/>
                <w:i/>
                <w:sz w:val="20"/>
                <w:szCs w:val="20"/>
                <w:lang w:val="en-US"/>
              </w:rPr>
              <w:t xml:space="preserve">; </w:t>
            </w:r>
            <w:r>
              <w:rPr>
                <w:b/>
                <w:i/>
                <w:sz w:val="20"/>
                <w:szCs w:val="20"/>
                <w:lang w:val="en-US"/>
              </w:rPr>
              <w:t>0.018</w:t>
            </w:r>
          </w:p>
        </w:tc>
        <w:tc>
          <w:tcPr>
            <w:tcW w:w="2410" w:type="dxa"/>
          </w:tcPr>
          <w:p w14:paraId="6A89C6BC" w14:textId="629AEA4A" w:rsidR="00C902B6" w:rsidRDefault="00C902B6" w:rsidP="00513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1.05 (0.972-1.14)</w:t>
            </w:r>
            <w:r w:rsidR="00EA363F">
              <w:rPr>
                <w:sz w:val="20"/>
                <w:szCs w:val="20"/>
                <w:lang w:val="en-US"/>
              </w:rPr>
              <w:t>;</w:t>
            </w:r>
            <w:r w:rsidR="00513F2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0.205</w:t>
            </w:r>
          </w:p>
        </w:tc>
        <w:tc>
          <w:tcPr>
            <w:tcW w:w="2693" w:type="dxa"/>
          </w:tcPr>
          <w:p w14:paraId="7D4FB312" w14:textId="4912AD3A" w:rsidR="00C902B6" w:rsidRPr="00EA363F" w:rsidRDefault="00B74353" w:rsidP="00513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  <w:lang w:val="en-US"/>
              </w:rPr>
            </w:pPr>
            <w:r w:rsidRPr="00EA363F">
              <w:rPr>
                <w:b/>
                <w:i/>
                <w:sz w:val="20"/>
                <w:szCs w:val="20"/>
                <w:lang w:val="en-US"/>
              </w:rPr>
              <w:t>1</w:t>
            </w:r>
            <w:r w:rsidR="00513F27">
              <w:rPr>
                <w:b/>
                <w:i/>
                <w:sz w:val="20"/>
                <w:szCs w:val="20"/>
                <w:lang w:val="en-US"/>
              </w:rPr>
              <w:t xml:space="preserve">.13 (1.01-1.28); </w:t>
            </w:r>
            <w:r w:rsidRPr="00EA363F">
              <w:rPr>
                <w:b/>
                <w:i/>
                <w:sz w:val="20"/>
                <w:szCs w:val="20"/>
                <w:lang w:val="en-US"/>
              </w:rPr>
              <w:t>0.037</w:t>
            </w:r>
          </w:p>
        </w:tc>
      </w:tr>
      <w:tr w:rsidR="00C902B6" w:rsidRPr="00B74353" w14:paraId="62FE82CE" w14:textId="7595B2C5" w:rsidTr="00513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57F5643F" w14:textId="46153B0E" w:rsidR="00C902B6" w:rsidRPr="00E254BD" w:rsidRDefault="007204BB" w:rsidP="0029555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SSD </w:t>
            </w:r>
            <w:proofErr w:type="spellStart"/>
            <w:r w:rsidR="00C902B6" w:rsidRPr="00E254BD">
              <w:rPr>
                <w:sz w:val="20"/>
                <w:szCs w:val="20"/>
                <w:lang w:val="en-US"/>
              </w:rPr>
              <w:t>vs_ND</w:t>
            </w:r>
            <w:proofErr w:type="spellEnd"/>
            <w:r w:rsidR="00C902B6">
              <w:rPr>
                <w:sz w:val="20"/>
                <w:szCs w:val="20"/>
                <w:lang w:val="en-US"/>
              </w:rPr>
              <w:t xml:space="preserve"> (yes/no)</w:t>
            </w:r>
          </w:p>
        </w:tc>
        <w:tc>
          <w:tcPr>
            <w:tcW w:w="2257" w:type="dxa"/>
          </w:tcPr>
          <w:p w14:paraId="1035E6C1" w14:textId="0143DF86" w:rsidR="00C902B6" w:rsidRPr="000B6250" w:rsidRDefault="003B342D" w:rsidP="003B34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1.40 (1.05-1.88</w:t>
            </w:r>
            <w:r w:rsidR="00EA363F">
              <w:rPr>
                <w:b/>
                <w:i/>
                <w:sz w:val="20"/>
                <w:szCs w:val="20"/>
                <w:lang w:val="en-US"/>
              </w:rPr>
              <w:t xml:space="preserve">); </w:t>
            </w:r>
            <w:r>
              <w:rPr>
                <w:b/>
                <w:i/>
                <w:sz w:val="20"/>
                <w:szCs w:val="20"/>
                <w:lang w:val="en-US"/>
              </w:rPr>
              <w:t>0.023</w:t>
            </w:r>
          </w:p>
        </w:tc>
        <w:tc>
          <w:tcPr>
            <w:tcW w:w="2410" w:type="dxa"/>
          </w:tcPr>
          <w:p w14:paraId="2D422ED0" w14:textId="658FFED2" w:rsidR="00C902B6" w:rsidRDefault="00C902B6" w:rsidP="00513F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1.15 (0.847-1.57)</w:t>
            </w:r>
            <w:r w:rsidR="00EA363F">
              <w:rPr>
                <w:sz w:val="20"/>
                <w:szCs w:val="20"/>
                <w:lang w:val="en-US"/>
              </w:rPr>
              <w:t>;</w:t>
            </w:r>
            <w:r w:rsidR="00513F2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0.366</w:t>
            </w:r>
          </w:p>
        </w:tc>
        <w:tc>
          <w:tcPr>
            <w:tcW w:w="2693" w:type="dxa"/>
          </w:tcPr>
          <w:p w14:paraId="0AF82BE0" w14:textId="04FD23FC" w:rsidR="00C902B6" w:rsidRDefault="00B74353" w:rsidP="00EA36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0.862 (0.540-1.376); 0.534</w:t>
            </w:r>
          </w:p>
        </w:tc>
      </w:tr>
      <w:tr w:rsidR="00C902B6" w:rsidRPr="003B342D" w14:paraId="3106736B" w14:textId="6DB7F109" w:rsidTr="00513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58ED0016" w14:textId="36FA5266" w:rsidR="00C902B6" w:rsidRPr="00E254BD" w:rsidRDefault="00C902B6" w:rsidP="0029555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Dementia or Cognitive dysfunction </w:t>
            </w:r>
            <w:r w:rsidR="007204BB">
              <w:rPr>
                <w:sz w:val="20"/>
                <w:szCs w:val="20"/>
                <w:lang w:val="en-US"/>
              </w:rPr>
              <w:t>present (MMSE&lt;25p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57" w:type="dxa"/>
          </w:tcPr>
          <w:p w14:paraId="4823B2B2" w14:textId="4F5646AB" w:rsidR="00C902B6" w:rsidRPr="000B6250" w:rsidRDefault="00EA363F" w:rsidP="00295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 xml:space="preserve">1.61 (1.16-2.25); </w:t>
            </w:r>
            <w:r w:rsidR="003B342D">
              <w:rPr>
                <w:b/>
                <w:i/>
                <w:sz w:val="20"/>
                <w:szCs w:val="20"/>
                <w:lang w:val="en-US"/>
              </w:rPr>
              <w:t>0.005</w:t>
            </w:r>
          </w:p>
        </w:tc>
        <w:tc>
          <w:tcPr>
            <w:tcW w:w="2410" w:type="dxa"/>
          </w:tcPr>
          <w:p w14:paraId="3523E560" w14:textId="1D6A75F9" w:rsidR="00C902B6" w:rsidRDefault="00C902B6" w:rsidP="00513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1.24 (0.874-1.76)</w:t>
            </w:r>
            <w:r w:rsidR="00EA363F">
              <w:rPr>
                <w:sz w:val="20"/>
                <w:szCs w:val="20"/>
                <w:lang w:val="en-US"/>
              </w:rPr>
              <w:t>;</w:t>
            </w:r>
            <w:r w:rsidR="00513F2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0.229</w:t>
            </w:r>
          </w:p>
        </w:tc>
        <w:tc>
          <w:tcPr>
            <w:tcW w:w="2693" w:type="dxa"/>
          </w:tcPr>
          <w:p w14:paraId="44A6DD1B" w14:textId="6687581F" w:rsidR="00C902B6" w:rsidRPr="00802135" w:rsidRDefault="00B74353" w:rsidP="00EA3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1.09 (0.652-1.83); 0.735</w:t>
            </w:r>
          </w:p>
        </w:tc>
      </w:tr>
      <w:tr w:rsidR="00C902B6" w:rsidRPr="003B342D" w14:paraId="39C88925" w14:textId="507D31F2" w:rsidTr="00513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5F86A6C9" w14:textId="7AADAF9F" w:rsidR="00C902B6" w:rsidRPr="007D3151" w:rsidRDefault="00C902B6" w:rsidP="0029555F">
            <w:pPr>
              <w:jc w:val="center"/>
              <w:rPr>
                <w:sz w:val="20"/>
                <w:szCs w:val="20"/>
                <w:lang w:val="en-US"/>
              </w:rPr>
            </w:pPr>
            <w:r w:rsidRPr="007D3151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-</w:t>
            </w:r>
            <w:r w:rsidRPr="007D3151">
              <w:rPr>
                <w:sz w:val="20"/>
                <w:szCs w:val="20"/>
                <w:lang w:val="en-US"/>
              </w:rPr>
              <w:t>ADL</w:t>
            </w:r>
          </w:p>
        </w:tc>
        <w:tc>
          <w:tcPr>
            <w:tcW w:w="2257" w:type="dxa"/>
          </w:tcPr>
          <w:p w14:paraId="24E73E7C" w14:textId="438163CE" w:rsidR="00C902B6" w:rsidRPr="00802135" w:rsidRDefault="00C902B6" w:rsidP="002955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0EDF4913" w14:textId="6645C52A" w:rsidR="00C902B6" w:rsidRPr="00231965" w:rsidRDefault="00C902B6" w:rsidP="00513F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0.949 (0.929-0.970)</w:t>
            </w:r>
            <w:r w:rsidR="00EA363F">
              <w:rPr>
                <w:b/>
                <w:i/>
                <w:sz w:val="20"/>
                <w:szCs w:val="20"/>
                <w:lang w:val="en-US"/>
              </w:rPr>
              <w:t>;</w:t>
            </w:r>
            <w:r w:rsidR="00513F27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US"/>
              </w:rPr>
              <w:t>0.001</w:t>
            </w:r>
          </w:p>
        </w:tc>
        <w:tc>
          <w:tcPr>
            <w:tcW w:w="2693" w:type="dxa"/>
          </w:tcPr>
          <w:p w14:paraId="6DF1E249" w14:textId="22F13387" w:rsidR="00C902B6" w:rsidRPr="00231965" w:rsidRDefault="00B74353" w:rsidP="00EA36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0.960 (0.930-0.990); 0.010</w:t>
            </w:r>
          </w:p>
        </w:tc>
      </w:tr>
    </w:tbl>
    <w:p w14:paraId="6DA400AA" w14:textId="77777777" w:rsidR="00C05BFD" w:rsidRPr="00B74353" w:rsidRDefault="00C05BFD" w:rsidP="00495403">
      <w:pPr>
        <w:spacing w:after="0"/>
        <w:rPr>
          <w:vertAlign w:val="superscript"/>
          <w:lang w:val="en-US"/>
        </w:rPr>
      </w:pPr>
    </w:p>
    <w:p w14:paraId="339A9327" w14:textId="551BEED0" w:rsidR="001C1D35" w:rsidRDefault="00495403" w:rsidP="002768E8">
      <w:pPr>
        <w:spacing w:after="0"/>
        <w:rPr>
          <w:sz w:val="18"/>
          <w:szCs w:val="18"/>
          <w:lang w:val="en-US"/>
        </w:rPr>
      </w:pPr>
      <w:r w:rsidRPr="00495403">
        <w:rPr>
          <w:sz w:val="18"/>
          <w:szCs w:val="18"/>
          <w:vertAlign w:val="superscript"/>
          <w:lang w:val="en-US"/>
        </w:rPr>
        <w:t>a</w:t>
      </w:r>
      <w:r w:rsidRPr="00495403">
        <w:rPr>
          <w:sz w:val="18"/>
          <w:szCs w:val="18"/>
          <w:lang w:val="en-US"/>
        </w:rPr>
        <w:t xml:space="preserve">= </w:t>
      </w:r>
      <w:r w:rsidR="00905E37">
        <w:rPr>
          <w:sz w:val="18"/>
          <w:szCs w:val="18"/>
          <w:lang w:val="en-US"/>
        </w:rPr>
        <w:t xml:space="preserve">The models </w:t>
      </w:r>
      <w:r w:rsidR="00E57681">
        <w:rPr>
          <w:sz w:val="18"/>
          <w:szCs w:val="18"/>
          <w:lang w:val="en-US"/>
        </w:rPr>
        <w:t xml:space="preserve">1 and 2 </w:t>
      </w:r>
      <w:r w:rsidR="00905E37">
        <w:rPr>
          <w:sz w:val="18"/>
          <w:szCs w:val="18"/>
          <w:lang w:val="en-US"/>
        </w:rPr>
        <w:t xml:space="preserve">were built on </w:t>
      </w:r>
      <w:r w:rsidR="007204BB">
        <w:rPr>
          <w:sz w:val="18"/>
          <w:szCs w:val="18"/>
          <w:lang w:val="en-US"/>
        </w:rPr>
        <w:t xml:space="preserve">the sample of </w:t>
      </w:r>
      <w:r w:rsidR="00905E37">
        <w:rPr>
          <w:sz w:val="18"/>
          <w:szCs w:val="18"/>
          <w:lang w:val="en-US"/>
        </w:rPr>
        <w:t>n=371</w:t>
      </w:r>
      <w:r w:rsidRPr="00495403">
        <w:rPr>
          <w:sz w:val="18"/>
          <w:szCs w:val="18"/>
          <w:lang w:val="en-US"/>
        </w:rPr>
        <w:t xml:space="preserve">, </w:t>
      </w:r>
      <w:r w:rsidR="00905E37">
        <w:rPr>
          <w:sz w:val="18"/>
          <w:szCs w:val="18"/>
          <w:lang w:val="en-US"/>
        </w:rPr>
        <w:t>whereof 238 (64%) died, 133 (36%) were censored</w:t>
      </w:r>
      <w:r w:rsidR="00905E37" w:rsidRPr="00495403">
        <w:rPr>
          <w:sz w:val="18"/>
          <w:szCs w:val="18"/>
          <w:lang w:val="en-US"/>
        </w:rPr>
        <w:t xml:space="preserve">.  </w:t>
      </w:r>
      <w:r w:rsidR="00905E37">
        <w:rPr>
          <w:sz w:val="18"/>
          <w:szCs w:val="18"/>
          <w:lang w:val="en-US"/>
        </w:rPr>
        <w:t>Five au</w:t>
      </w:r>
      <w:r w:rsidR="007204BB">
        <w:rPr>
          <w:sz w:val="18"/>
          <w:szCs w:val="18"/>
          <w:lang w:val="en-US"/>
        </w:rPr>
        <w:t>tomatic imputations were done in</w:t>
      </w:r>
      <w:r w:rsidR="00905E37">
        <w:rPr>
          <w:sz w:val="18"/>
          <w:szCs w:val="18"/>
          <w:lang w:val="en-US"/>
        </w:rPr>
        <w:t xml:space="preserve"> every independent variable with missing data, just as in Table 4.</w:t>
      </w:r>
      <w:r w:rsidR="003672EC">
        <w:rPr>
          <w:sz w:val="18"/>
          <w:szCs w:val="18"/>
          <w:lang w:val="en-US"/>
        </w:rPr>
        <w:t xml:space="preserve"> </w:t>
      </w:r>
    </w:p>
    <w:p w14:paraId="480D1188" w14:textId="11E15C10" w:rsidR="00CB66D9" w:rsidRDefault="00495403" w:rsidP="002768E8">
      <w:pPr>
        <w:spacing w:after="0"/>
        <w:rPr>
          <w:sz w:val="18"/>
          <w:szCs w:val="18"/>
          <w:lang w:val="en-US"/>
        </w:rPr>
      </w:pPr>
      <w:r w:rsidRPr="00495403">
        <w:rPr>
          <w:sz w:val="18"/>
          <w:szCs w:val="18"/>
          <w:vertAlign w:val="superscript"/>
          <w:lang w:val="en-US"/>
        </w:rPr>
        <w:t>b</w:t>
      </w:r>
      <w:r w:rsidRPr="00495403">
        <w:rPr>
          <w:sz w:val="18"/>
          <w:szCs w:val="18"/>
          <w:lang w:val="en-US"/>
        </w:rPr>
        <w:t xml:space="preserve">= </w:t>
      </w:r>
      <w:r w:rsidR="003672EC">
        <w:rPr>
          <w:sz w:val="18"/>
          <w:szCs w:val="18"/>
          <w:lang w:val="en-US"/>
        </w:rPr>
        <w:t xml:space="preserve">This model corresponds relatively </w:t>
      </w:r>
      <w:r w:rsidR="0034470A">
        <w:rPr>
          <w:sz w:val="18"/>
          <w:szCs w:val="18"/>
          <w:lang w:val="en-US"/>
        </w:rPr>
        <w:t>well to the regression models in</w:t>
      </w:r>
      <w:r w:rsidR="003672EC">
        <w:rPr>
          <w:sz w:val="18"/>
          <w:szCs w:val="18"/>
          <w:lang w:val="en-US"/>
        </w:rPr>
        <w:t xml:space="preserve"> Rapp et al 2008.</w:t>
      </w:r>
      <w:r w:rsidR="00905E37">
        <w:rPr>
          <w:sz w:val="18"/>
          <w:szCs w:val="18"/>
          <w:lang w:val="en-US"/>
        </w:rPr>
        <w:t xml:space="preserve"> </w:t>
      </w:r>
      <w:r w:rsidR="0083200A" w:rsidRPr="000E59A0">
        <w:rPr>
          <w:sz w:val="18"/>
          <w:szCs w:val="18"/>
          <w:lang w:val="en-US"/>
        </w:rPr>
        <w:t>Some</w:t>
      </w:r>
      <w:r w:rsidR="0083200A">
        <w:rPr>
          <w:sz w:val="18"/>
          <w:szCs w:val="18"/>
          <w:lang w:val="en-US"/>
        </w:rPr>
        <w:t xml:space="preserve"> differences</w:t>
      </w:r>
      <w:r w:rsidR="0083200A" w:rsidRPr="000E59A0">
        <w:rPr>
          <w:sz w:val="18"/>
          <w:szCs w:val="18"/>
          <w:lang w:val="en-US"/>
        </w:rPr>
        <w:t xml:space="preserve"> </w:t>
      </w:r>
      <w:r w:rsidR="0083200A">
        <w:rPr>
          <w:sz w:val="18"/>
          <w:szCs w:val="18"/>
          <w:lang w:val="en-US"/>
        </w:rPr>
        <w:t xml:space="preserve">though </w:t>
      </w:r>
      <w:r w:rsidR="0083200A" w:rsidRPr="000E59A0">
        <w:rPr>
          <w:sz w:val="18"/>
          <w:szCs w:val="18"/>
          <w:lang w:val="en-US"/>
        </w:rPr>
        <w:t xml:space="preserve">between the studies were </w:t>
      </w:r>
      <w:r w:rsidR="0083200A" w:rsidRPr="007204BB">
        <w:rPr>
          <w:sz w:val="18"/>
          <w:szCs w:val="18"/>
          <w:lang w:val="en-US"/>
        </w:rPr>
        <w:t>that SSD</w:t>
      </w:r>
      <w:r w:rsidR="0083200A" w:rsidRPr="000E59A0">
        <w:rPr>
          <w:sz w:val="18"/>
          <w:szCs w:val="18"/>
          <w:lang w:val="en-US"/>
        </w:rPr>
        <w:t xml:space="preserve"> (</w:t>
      </w:r>
      <w:r w:rsidR="000A0A47">
        <w:rPr>
          <w:sz w:val="18"/>
          <w:szCs w:val="18"/>
          <w:lang w:val="en-US"/>
        </w:rPr>
        <w:t>depressive symptoms</w:t>
      </w:r>
      <w:r w:rsidR="0083200A" w:rsidRPr="000E59A0">
        <w:rPr>
          <w:sz w:val="18"/>
          <w:szCs w:val="18"/>
          <w:lang w:val="en-US"/>
        </w:rPr>
        <w:t xml:space="preserve">) in our study was </w:t>
      </w:r>
      <w:r w:rsidR="0083200A">
        <w:rPr>
          <w:sz w:val="18"/>
          <w:szCs w:val="18"/>
          <w:lang w:val="en-US"/>
        </w:rPr>
        <w:t xml:space="preserve">operationalized </w:t>
      </w:r>
      <w:r w:rsidR="0083200A" w:rsidRPr="000E59A0">
        <w:rPr>
          <w:sz w:val="18"/>
          <w:szCs w:val="18"/>
          <w:lang w:val="en-US"/>
        </w:rPr>
        <w:t>as 3-5p</w:t>
      </w:r>
      <w:r w:rsidR="0083200A">
        <w:rPr>
          <w:sz w:val="18"/>
          <w:szCs w:val="18"/>
          <w:lang w:val="en-US"/>
        </w:rPr>
        <w:t xml:space="preserve"> on GDS-15</w:t>
      </w:r>
      <w:r w:rsidR="0083200A" w:rsidRPr="000E59A0">
        <w:rPr>
          <w:sz w:val="18"/>
          <w:szCs w:val="18"/>
          <w:lang w:val="en-US"/>
        </w:rPr>
        <w:t xml:space="preserve">, while </w:t>
      </w:r>
      <w:r w:rsidR="0083200A">
        <w:rPr>
          <w:sz w:val="18"/>
          <w:szCs w:val="18"/>
          <w:lang w:val="en-US"/>
        </w:rPr>
        <w:t xml:space="preserve">subthreshold </w:t>
      </w:r>
      <w:r w:rsidR="0083200A" w:rsidRPr="000E59A0">
        <w:rPr>
          <w:sz w:val="18"/>
          <w:szCs w:val="18"/>
          <w:lang w:val="en-US"/>
        </w:rPr>
        <w:t>depression (</w:t>
      </w:r>
      <w:r w:rsidR="000A0A47">
        <w:rPr>
          <w:sz w:val="18"/>
          <w:szCs w:val="18"/>
          <w:lang w:val="en-US"/>
        </w:rPr>
        <w:t>depressive symptoms</w:t>
      </w:r>
      <w:r w:rsidR="0083200A" w:rsidRPr="000E59A0">
        <w:rPr>
          <w:sz w:val="18"/>
          <w:szCs w:val="18"/>
          <w:lang w:val="en-US"/>
        </w:rPr>
        <w:t>) was classified as ≥</w:t>
      </w:r>
      <w:r w:rsidR="0083200A">
        <w:rPr>
          <w:sz w:val="18"/>
          <w:szCs w:val="18"/>
          <w:lang w:val="en-US"/>
        </w:rPr>
        <w:t>7</w:t>
      </w:r>
      <w:r w:rsidR="0083200A" w:rsidRPr="000E59A0">
        <w:rPr>
          <w:sz w:val="18"/>
          <w:szCs w:val="18"/>
          <w:lang w:val="en-US"/>
        </w:rPr>
        <w:t>p</w:t>
      </w:r>
      <w:r w:rsidR="0083200A">
        <w:rPr>
          <w:sz w:val="18"/>
          <w:szCs w:val="18"/>
          <w:lang w:val="en-US"/>
        </w:rPr>
        <w:t xml:space="preserve"> on Center for Epidemiological studies – Depression Scale (CES-D)</w:t>
      </w:r>
      <w:r w:rsidR="007204BB">
        <w:rPr>
          <w:sz w:val="18"/>
          <w:szCs w:val="18"/>
          <w:lang w:val="en-US"/>
        </w:rPr>
        <w:t xml:space="preserve"> in Rapp et al</w:t>
      </w:r>
      <w:r w:rsidR="0083200A">
        <w:rPr>
          <w:sz w:val="18"/>
          <w:szCs w:val="18"/>
          <w:lang w:val="en-US"/>
        </w:rPr>
        <w:t xml:space="preserve">; dementia or cognitive dysfunction was operationalized as MMSE&lt;25p in our study, while </w:t>
      </w:r>
      <w:r w:rsidR="007204BB">
        <w:rPr>
          <w:sz w:val="18"/>
          <w:szCs w:val="18"/>
          <w:lang w:val="en-US"/>
        </w:rPr>
        <w:t xml:space="preserve">they </w:t>
      </w:r>
      <w:r w:rsidR="0083200A">
        <w:rPr>
          <w:sz w:val="18"/>
          <w:szCs w:val="18"/>
          <w:lang w:val="en-US"/>
        </w:rPr>
        <w:t>used a clinical diagnosis according to DSM-III-R</w:t>
      </w:r>
      <w:r w:rsidR="007204BB">
        <w:rPr>
          <w:sz w:val="18"/>
          <w:szCs w:val="18"/>
          <w:lang w:val="en-US"/>
        </w:rPr>
        <w:t xml:space="preserve"> in Rapp et al</w:t>
      </w:r>
      <w:r w:rsidR="0083200A">
        <w:rPr>
          <w:sz w:val="18"/>
          <w:szCs w:val="18"/>
          <w:lang w:val="en-US"/>
        </w:rPr>
        <w:t>.</w:t>
      </w:r>
      <w:r w:rsidR="007204BB">
        <w:rPr>
          <w:sz w:val="18"/>
          <w:szCs w:val="18"/>
          <w:lang w:val="en-US"/>
        </w:rPr>
        <w:t xml:space="preserve"> Also our sample were slightly larger and younger (n=371, age 85 at baseline) compared to the sample in Rapp et al (n=254, mean age 92).</w:t>
      </w:r>
    </w:p>
    <w:p w14:paraId="663AEC7C" w14:textId="58B2B155" w:rsidR="003672EC" w:rsidRDefault="003672EC" w:rsidP="002768E8">
      <w:pPr>
        <w:spacing w:after="0"/>
        <w:rPr>
          <w:sz w:val="18"/>
          <w:szCs w:val="18"/>
          <w:lang w:val="en-US"/>
        </w:rPr>
      </w:pPr>
      <w:r>
        <w:rPr>
          <w:sz w:val="18"/>
          <w:szCs w:val="18"/>
          <w:vertAlign w:val="superscript"/>
          <w:lang w:val="en-US"/>
        </w:rPr>
        <w:t>c</w:t>
      </w:r>
      <w:r>
        <w:rPr>
          <w:sz w:val="18"/>
          <w:szCs w:val="18"/>
          <w:lang w:val="en-US"/>
        </w:rPr>
        <w:t xml:space="preserve">= </w:t>
      </w:r>
      <w:r w:rsidR="00905E37">
        <w:rPr>
          <w:sz w:val="18"/>
          <w:szCs w:val="18"/>
          <w:lang w:val="en-US"/>
        </w:rPr>
        <w:t>Presence of loneliness corresponding to “so</w:t>
      </w:r>
      <w:r w:rsidR="0034470A">
        <w:rPr>
          <w:sz w:val="18"/>
          <w:szCs w:val="18"/>
          <w:lang w:val="en-US"/>
        </w:rPr>
        <w:t>metimes” or “often</w:t>
      </w:r>
      <w:r w:rsidR="00905E37">
        <w:rPr>
          <w:sz w:val="18"/>
          <w:szCs w:val="18"/>
          <w:lang w:val="en-US"/>
        </w:rPr>
        <w:t>” n=146/371 (39%), while absence of loneliness corresponded to “seldom” or “never”</w:t>
      </w:r>
      <w:r w:rsidR="007204BB">
        <w:rPr>
          <w:sz w:val="18"/>
          <w:szCs w:val="18"/>
          <w:lang w:val="en-US"/>
        </w:rPr>
        <w:t xml:space="preserve"> in</w:t>
      </w:r>
      <w:r w:rsidR="001C1D35">
        <w:rPr>
          <w:sz w:val="18"/>
          <w:szCs w:val="18"/>
          <w:lang w:val="en-US"/>
        </w:rPr>
        <w:t xml:space="preserve"> our postal questionnaires</w:t>
      </w:r>
      <w:r w:rsidR="00905E37">
        <w:rPr>
          <w:sz w:val="18"/>
          <w:szCs w:val="18"/>
          <w:lang w:val="en-US"/>
        </w:rPr>
        <w:t>.</w:t>
      </w:r>
    </w:p>
    <w:p w14:paraId="40C5FB70" w14:textId="3DD0A66A" w:rsidR="003672EC" w:rsidRDefault="003672EC" w:rsidP="002768E8">
      <w:pPr>
        <w:spacing w:after="0"/>
        <w:rPr>
          <w:sz w:val="18"/>
          <w:szCs w:val="18"/>
          <w:lang w:val="en-US"/>
        </w:rPr>
      </w:pPr>
      <w:r>
        <w:rPr>
          <w:sz w:val="18"/>
          <w:szCs w:val="18"/>
          <w:vertAlign w:val="superscript"/>
          <w:lang w:val="en-US"/>
        </w:rPr>
        <w:t>d</w:t>
      </w:r>
      <w:r>
        <w:rPr>
          <w:sz w:val="18"/>
          <w:szCs w:val="18"/>
          <w:lang w:val="en-US"/>
        </w:rPr>
        <w:t xml:space="preserve">= </w:t>
      </w:r>
      <w:r w:rsidR="001C1D35">
        <w:rPr>
          <w:sz w:val="18"/>
          <w:szCs w:val="18"/>
          <w:lang w:val="en-US"/>
        </w:rPr>
        <w:t xml:space="preserve">This model corresponds relatively well to the regression model in </w:t>
      </w:r>
      <w:proofErr w:type="spellStart"/>
      <w:r w:rsidR="001C1D35">
        <w:rPr>
          <w:sz w:val="18"/>
          <w:szCs w:val="18"/>
          <w:lang w:val="en-US"/>
        </w:rPr>
        <w:t>Stek</w:t>
      </w:r>
      <w:proofErr w:type="spellEnd"/>
      <w:r w:rsidR="001C1D35">
        <w:rPr>
          <w:sz w:val="18"/>
          <w:szCs w:val="18"/>
          <w:lang w:val="en-US"/>
        </w:rPr>
        <w:t xml:space="preserve"> 2005</w:t>
      </w:r>
      <w:r w:rsidR="001C1D35" w:rsidRPr="000E59A0">
        <w:rPr>
          <w:sz w:val="18"/>
          <w:szCs w:val="18"/>
          <w:lang w:val="en-US"/>
        </w:rPr>
        <w:t xml:space="preserve">. </w:t>
      </w:r>
      <w:r w:rsidR="00015976" w:rsidRPr="000E59A0">
        <w:rPr>
          <w:sz w:val="18"/>
          <w:szCs w:val="18"/>
          <w:lang w:val="en-US"/>
        </w:rPr>
        <w:t>Some</w:t>
      </w:r>
      <w:r w:rsidR="000E59A0">
        <w:rPr>
          <w:sz w:val="18"/>
          <w:szCs w:val="18"/>
          <w:lang w:val="en-US"/>
        </w:rPr>
        <w:t xml:space="preserve"> differences</w:t>
      </w:r>
      <w:r w:rsidR="00015976" w:rsidRPr="000E59A0">
        <w:rPr>
          <w:sz w:val="18"/>
          <w:szCs w:val="18"/>
          <w:lang w:val="en-US"/>
        </w:rPr>
        <w:t xml:space="preserve"> </w:t>
      </w:r>
      <w:r w:rsidR="000E59A0">
        <w:rPr>
          <w:sz w:val="18"/>
          <w:szCs w:val="18"/>
          <w:lang w:val="en-US"/>
        </w:rPr>
        <w:t xml:space="preserve">though </w:t>
      </w:r>
      <w:r w:rsidR="00015976" w:rsidRPr="000E59A0">
        <w:rPr>
          <w:sz w:val="18"/>
          <w:szCs w:val="18"/>
          <w:lang w:val="en-US"/>
        </w:rPr>
        <w:t>between the studies were that</w:t>
      </w:r>
      <w:r w:rsidR="0034470A">
        <w:rPr>
          <w:sz w:val="18"/>
          <w:szCs w:val="18"/>
          <w:lang w:val="en-US"/>
        </w:rPr>
        <w:t xml:space="preserve"> 146/371 (39</w:t>
      </w:r>
      <w:r w:rsidR="000E4DBE" w:rsidRPr="000E59A0">
        <w:rPr>
          <w:sz w:val="18"/>
          <w:szCs w:val="18"/>
          <w:lang w:val="en-US"/>
        </w:rPr>
        <w:t>%</w:t>
      </w:r>
      <w:r w:rsidR="00015976" w:rsidRPr="000E59A0">
        <w:rPr>
          <w:sz w:val="18"/>
          <w:szCs w:val="18"/>
          <w:lang w:val="en-US"/>
        </w:rPr>
        <w:t>) were classified as lonely in our model</w:t>
      </w:r>
      <w:r w:rsidR="000E4DBE" w:rsidRPr="000E59A0">
        <w:rPr>
          <w:sz w:val="18"/>
          <w:szCs w:val="18"/>
          <w:lang w:val="en-US"/>
        </w:rPr>
        <w:t xml:space="preserve">, </w:t>
      </w:r>
      <w:r w:rsidR="00015976" w:rsidRPr="000E59A0">
        <w:rPr>
          <w:sz w:val="18"/>
          <w:szCs w:val="18"/>
          <w:lang w:val="en-US"/>
        </w:rPr>
        <w:t xml:space="preserve">while there were </w:t>
      </w:r>
      <w:r w:rsidR="000E59A0">
        <w:rPr>
          <w:sz w:val="18"/>
          <w:szCs w:val="18"/>
          <w:lang w:val="en-US"/>
        </w:rPr>
        <w:t xml:space="preserve">only </w:t>
      </w:r>
      <w:r w:rsidR="00015976" w:rsidRPr="000E59A0">
        <w:rPr>
          <w:sz w:val="18"/>
          <w:szCs w:val="18"/>
          <w:lang w:val="en-US"/>
        </w:rPr>
        <w:t xml:space="preserve">121/476 (25%) classified as lonely in </w:t>
      </w:r>
      <w:proofErr w:type="spellStart"/>
      <w:r w:rsidR="00015976" w:rsidRPr="000E59A0">
        <w:rPr>
          <w:sz w:val="18"/>
          <w:szCs w:val="18"/>
          <w:lang w:val="en-US"/>
        </w:rPr>
        <w:t>Stek</w:t>
      </w:r>
      <w:proofErr w:type="spellEnd"/>
      <w:r w:rsidR="00015976" w:rsidRPr="000E59A0">
        <w:rPr>
          <w:sz w:val="18"/>
          <w:szCs w:val="18"/>
          <w:lang w:val="en-US"/>
        </w:rPr>
        <w:t xml:space="preserve"> et al;</w:t>
      </w:r>
      <w:r w:rsidR="000E4DBE" w:rsidRPr="000E59A0">
        <w:rPr>
          <w:sz w:val="18"/>
          <w:szCs w:val="18"/>
          <w:lang w:val="en-US"/>
        </w:rPr>
        <w:t xml:space="preserve"> SSD (</w:t>
      </w:r>
      <w:r w:rsidR="000A0A47">
        <w:rPr>
          <w:sz w:val="18"/>
          <w:szCs w:val="18"/>
          <w:lang w:val="en-US"/>
        </w:rPr>
        <w:t>depressive symptoms</w:t>
      </w:r>
      <w:r w:rsidR="000E4DBE" w:rsidRPr="000E59A0">
        <w:rPr>
          <w:sz w:val="18"/>
          <w:szCs w:val="18"/>
          <w:lang w:val="en-US"/>
        </w:rPr>
        <w:t>)</w:t>
      </w:r>
      <w:r w:rsidR="00015976" w:rsidRPr="000E59A0">
        <w:rPr>
          <w:sz w:val="18"/>
          <w:szCs w:val="18"/>
          <w:lang w:val="en-US"/>
        </w:rPr>
        <w:t xml:space="preserve"> was in our study</w:t>
      </w:r>
      <w:r w:rsidR="000E4DBE" w:rsidRPr="000E59A0">
        <w:rPr>
          <w:sz w:val="18"/>
          <w:szCs w:val="18"/>
          <w:lang w:val="en-US"/>
        </w:rPr>
        <w:t xml:space="preserve"> </w:t>
      </w:r>
      <w:r w:rsidR="00E57681">
        <w:rPr>
          <w:sz w:val="18"/>
          <w:szCs w:val="18"/>
          <w:lang w:val="en-US"/>
        </w:rPr>
        <w:t>defined</w:t>
      </w:r>
      <w:r w:rsidR="000E4DBE" w:rsidRPr="000E59A0">
        <w:rPr>
          <w:sz w:val="18"/>
          <w:szCs w:val="18"/>
          <w:lang w:val="en-US"/>
        </w:rPr>
        <w:t xml:space="preserve"> as GDS 3-5p</w:t>
      </w:r>
      <w:r w:rsidR="00015976" w:rsidRPr="000E59A0">
        <w:rPr>
          <w:sz w:val="18"/>
          <w:szCs w:val="18"/>
          <w:lang w:val="en-US"/>
        </w:rPr>
        <w:t>, while</w:t>
      </w:r>
      <w:r w:rsidR="000E4DBE" w:rsidRPr="000E59A0">
        <w:rPr>
          <w:sz w:val="18"/>
          <w:szCs w:val="18"/>
          <w:lang w:val="en-US"/>
        </w:rPr>
        <w:t xml:space="preserve"> depression (</w:t>
      </w:r>
      <w:r w:rsidR="000A0A47">
        <w:rPr>
          <w:sz w:val="18"/>
          <w:szCs w:val="18"/>
          <w:lang w:val="en-US"/>
        </w:rPr>
        <w:t>depressive symptoms</w:t>
      </w:r>
      <w:r w:rsidR="000E4DBE" w:rsidRPr="000E59A0">
        <w:rPr>
          <w:sz w:val="18"/>
          <w:szCs w:val="18"/>
          <w:lang w:val="en-US"/>
        </w:rPr>
        <w:t xml:space="preserve">) </w:t>
      </w:r>
      <w:r w:rsidR="00015976" w:rsidRPr="000E59A0">
        <w:rPr>
          <w:sz w:val="18"/>
          <w:szCs w:val="18"/>
          <w:lang w:val="en-US"/>
        </w:rPr>
        <w:t xml:space="preserve">was </w:t>
      </w:r>
      <w:r w:rsidR="00E57681">
        <w:rPr>
          <w:sz w:val="18"/>
          <w:szCs w:val="18"/>
          <w:lang w:val="en-US"/>
        </w:rPr>
        <w:t>defined</w:t>
      </w:r>
      <w:r w:rsidR="000E4DBE" w:rsidRPr="000E59A0">
        <w:rPr>
          <w:sz w:val="18"/>
          <w:szCs w:val="18"/>
          <w:lang w:val="en-US"/>
        </w:rPr>
        <w:t xml:space="preserve"> as </w:t>
      </w:r>
      <w:r w:rsidR="0034470A">
        <w:rPr>
          <w:sz w:val="18"/>
          <w:szCs w:val="18"/>
          <w:lang w:val="en-US"/>
        </w:rPr>
        <w:t xml:space="preserve">GDS </w:t>
      </w:r>
      <w:r w:rsidR="000E4DBE" w:rsidRPr="000E59A0">
        <w:rPr>
          <w:sz w:val="18"/>
          <w:szCs w:val="18"/>
          <w:lang w:val="en-US"/>
        </w:rPr>
        <w:t xml:space="preserve">≥4p in </w:t>
      </w:r>
      <w:proofErr w:type="spellStart"/>
      <w:r w:rsidR="000E4DBE" w:rsidRPr="000E59A0">
        <w:rPr>
          <w:sz w:val="18"/>
          <w:szCs w:val="18"/>
          <w:lang w:val="en-US"/>
        </w:rPr>
        <w:t>Stek</w:t>
      </w:r>
      <w:proofErr w:type="spellEnd"/>
      <w:r w:rsidR="000E4DBE" w:rsidRPr="000E59A0">
        <w:rPr>
          <w:sz w:val="18"/>
          <w:szCs w:val="18"/>
          <w:lang w:val="en-US"/>
        </w:rPr>
        <w:t xml:space="preserve"> et al</w:t>
      </w:r>
      <w:r w:rsidR="00015976" w:rsidRPr="000E59A0">
        <w:rPr>
          <w:sz w:val="18"/>
          <w:szCs w:val="18"/>
          <w:lang w:val="en-US"/>
        </w:rPr>
        <w:t xml:space="preserve">; extra covariates included </w:t>
      </w:r>
      <w:r w:rsidR="000E59A0" w:rsidRPr="000E59A0">
        <w:rPr>
          <w:sz w:val="18"/>
          <w:szCs w:val="18"/>
          <w:lang w:val="en-US"/>
        </w:rPr>
        <w:t xml:space="preserve">were dementia and I-ADL </w:t>
      </w:r>
      <w:r w:rsidR="00015976" w:rsidRPr="000E59A0">
        <w:rPr>
          <w:sz w:val="18"/>
          <w:szCs w:val="18"/>
          <w:lang w:val="en-US"/>
        </w:rPr>
        <w:t xml:space="preserve">in our </w:t>
      </w:r>
      <w:r w:rsidR="000E59A0">
        <w:rPr>
          <w:sz w:val="18"/>
          <w:szCs w:val="18"/>
          <w:lang w:val="en-US"/>
        </w:rPr>
        <w:t xml:space="preserve">regression </w:t>
      </w:r>
      <w:r w:rsidR="00015976" w:rsidRPr="000E59A0">
        <w:rPr>
          <w:sz w:val="18"/>
          <w:szCs w:val="18"/>
          <w:lang w:val="en-US"/>
        </w:rPr>
        <w:t xml:space="preserve">model 3 </w:t>
      </w:r>
      <w:r w:rsidR="000E59A0">
        <w:rPr>
          <w:sz w:val="18"/>
          <w:szCs w:val="18"/>
          <w:lang w:val="en-US"/>
        </w:rPr>
        <w:t>above</w:t>
      </w:r>
      <w:r w:rsidR="00015976" w:rsidRPr="000E59A0">
        <w:rPr>
          <w:sz w:val="18"/>
          <w:szCs w:val="18"/>
          <w:lang w:val="en-US"/>
        </w:rPr>
        <w:t xml:space="preserve">, while </w:t>
      </w:r>
      <w:proofErr w:type="spellStart"/>
      <w:r w:rsidR="00015976" w:rsidRPr="000E59A0">
        <w:rPr>
          <w:sz w:val="18"/>
          <w:szCs w:val="18"/>
          <w:lang w:val="en-US"/>
        </w:rPr>
        <w:t>Stek</w:t>
      </w:r>
      <w:proofErr w:type="spellEnd"/>
      <w:r w:rsidR="00015976" w:rsidRPr="000E59A0">
        <w:rPr>
          <w:sz w:val="18"/>
          <w:szCs w:val="18"/>
          <w:lang w:val="en-US"/>
        </w:rPr>
        <w:t xml:space="preserve"> et al included smoking and alcohol consumption</w:t>
      </w:r>
      <w:r w:rsidR="000E59A0">
        <w:rPr>
          <w:sz w:val="18"/>
          <w:szCs w:val="18"/>
          <w:lang w:val="en-US"/>
        </w:rPr>
        <w:t>.</w:t>
      </w:r>
    </w:p>
    <w:sectPr w:rsidR="003672EC" w:rsidSect="00E250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3B66"/>
    <w:multiLevelType w:val="hybridMultilevel"/>
    <w:tmpl w:val="F4F64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D24B6"/>
    <w:multiLevelType w:val="hybridMultilevel"/>
    <w:tmpl w:val="33B8A0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F5"/>
    <w:rsid w:val="00003FD7"/>
    <w:rsid w:val="00014979"/>
    <w:rsid w:val="00015976"/>
    <w:rsid w:val="00015AEF"/>
    <w:rsid w:val="00031D5A"/>
    <w:rsid w:val="0004150C"/>
    <w:rsid w:val="000444C7"/>
    <w:rsid w:val="00054D36"/>
    <w:rsid w:val="000570FD"/>
    <w:rsid w:val="000A0A47"/>
    <w:rsid w:val="000A5886"/>
    <w:rsid w:val="000B5B2B"/>
    <w:rsid w:val="000B6250"/>
    <w:rsid w:val="000E4DBE"/>
    <w:rsid w:val="000E59A0"/>
    <w:rsid w:val="000F2FB1"/>
    <w:rsid w:val="000F5AE2"/>
    <w:rsid w:val="001222D1"/>
    <w:rsid w:val="0012595C"/>
    <w:rsid w:val="00126BB7"/>
    <w:rsid w:val="001460AE"/>
    <w:rsid w:val="001812C6"/>
    <w:rsid w:val="00182722"/>
    <w:rsid w:val="001C1D35"/>
    <w:rsid w:val="001C3E0C"/>
    <w:rsid w:val="001D1FA6"/>
    <w:rsid w:val="001E6625"/>
    <w:rsid w:val="001F09F2"/>
    <w:rsid w:val="001F3509"/>
    <w:rsid w:val="00207EBB"/>
    <w:rsid w:val="0021027E"/>
    <w:rsid w:val="002163AA"/>
    <w:rsid w:val="0022034E"/>
    <w:rsid w:val="002226CA"/>
    <w:rsid w:val="00231965"/>
    <w:rsid w:val="00254E7D"/>
    <w:rsid w:val="002768E8"/>
    <w:rsid w:val="0029555F"/>
    <w:rsid w:val="002969D5"/>
    <w:rsid w:val="002A540A"/>
    <w:rsid w:val="002D06A2"/>
    <w:rsid w:val="002E6C10"/>
    <w:rsid w:val="002F029F"/>
    <w:rsid w:val="003337E3"/>
    <w:rsid w:val="0034470A"/>
    <w:rsid w:val="0035135E"/>
    <w:rsid w:val="003652C4"/>
    <w:rsid w:val="003672EC"/>
    <w:rsid w:val="00380E28"/>
    <w:rsid w:val="00392CEE"/>
    <w:rsid w:val="0039667C"/>
    <w:rsid w:val="003B007C"/>
    <w:rsid w:val="003B342D"/>
    <w:rsid w:val="003D18D5"/>
    <w:rsid w:val="003F0CC8"/>
    <w:rsid w:val="004372E6"/>
    <w:rsid w:val="00484AB3"/>
    <w:rsid w:val="00495403"/>
    <w:rsid w:val="004B1CC5"/>
    <w:rsid w:val="004D051F"/>
    <w:rsid w:val="004D2394"/>
    <w:rsid w:val="004E135C"/>
    <w:rsid w:val="004E5598"/>
    <w:rsid w:val="00513F27"/>
    <w:rsid w:val="00523A9E"/>
    <w:rsid w:val="0053189B"/>
    <w:rsid w:val="00541BBD"/>
    <w:rsid w:val="005604F4"/>
    <w:rsid w:val="005744F1"/>
    <w:rsid w:val="00576933"/>
    <w:rsid w:val="005863C4"/>
    <w:rsid w:val="005A5D56"/>
    <w:rsid w:val="005B4FAB"/>
    <w:rsid w:val="005B57F4"/>
    <w:rsid w:val="005D58CC"/>
    <w:rsid w:val="005D69B0"/>
    <w:rsid w:val="005F3B56"/>
    <w:rsid w:val="006568E3"/>
    <w:rsid w:val="00694EF0"/>
    <w:rsid w:val="006B7EE0"/>
    <w:rsid w:val="006D1FDF"/>
    <w:rsid w:val="00713BD4"/>
    <w:rsid w:val="007204BB"/>
    <w:rsid w:val="00731CED"/>
    <w:rsid w:val="00742500"/>
    <w:rsid w:val="0074308C"/>
    <w:rsid w:val="0076303A"/>
    <w:rsid w:val="00773A59"/>
    <w:rsid w:val="00797BE7"/>
    <w:rsid w:val="007D3151"/>
    <w:rsid w:val="00802135"/>
    <w:rsid w:val="0083200A"/>
    <w:rsid w:val="00842960"/>
    <w:rsid w:val="00850694"/>
    <w:rsid w:val="008549E2"/>
    <w:rsid w:val="008A69BF"/>
    <w:rsid w:val="008A6ECC"/>
    <w:rsid w:val="008D46A3"/>
    <w:rsid w:val="00905E37"/>
    <w:rsid w:val="009168FF"/>
    <w:rsid w:val="00931F78"/>
    <w:rsid w:val="00935866"/>
    <w:rsid w:val="00940299"/>
    <w:rsid w:val="00944308"/>
    <w:rsid w:val="009A51E8"/>
    <w:rsid w:val="009B5EB8"/>
    <w:rsid w:val="009E4CD7"/>
    <w:rsid w:val="009F34F1"/>
    <w:rsid w:val="009F6C8F"/>
    <w:rsid w:val="00A03B13"/>
    <w:rsid w:val="00A03E98"/>
    <w:rsid w:val="00A23E10"/>
    <w:rsid w:val="00A249A1"/>
    <w:rsid w:val="00A45ED1"/>
    <w:rsid w:val="00A53433"/>
    <w:rsid w:val="00A632ED"/>
    <w:rsid w:val="00A90257"/>
    <w:rsid w:val="00AB2A02"/>
    <w:rsid w:val="00AD02F5"/>
    <w:rsid w:val="00B16F67"/>
    <w:rsid w:val="00B3550B"/>
    <w:rsid w:val="00B66870"/>
    <w:rsid w:val="00B74353"/>
    <w:rsid w:val="00B83C8C"/>
    <w:rsid w:val="00B965C4"/>
    <w:rsid w:val="00BA647F"/>
    <w:rsid w:val="00BF7042"/>
    <w:rsid w:val="00C05BFD"/>
    <w:rsid w:val="00C51ACB"/>
    <w:rsid w:val="00C902B6"/>
    <w:rsid w:val="00CB66D9"/>
    <w:rsid w:val="00CC0ED7"/>
    <w:rsid w:val="00CC3488"/>
    <w:rsid w:val="00CC730E"/>
    <w:rsid w:val="00CC77F5"/>
    <w:rsid w:val="00CD010E"/>
    <w:rsid w:val="00CE45F6"/>
    <w:rsid w:val="00D16295"/>
    <w:rsid w:val="00D27753"/>
    <w:rsid w:val="00D56434"/>
    <w:rsid w:val="00D76ABA"/>
    <w:rsid w:val="00DB4E59"/>
    <w:rsid w:val="00DB51DD"/>
    <w:rsid w:val="00DC27CA"/>
    <w:rsid w:val="00DC3E8D"/>
    <w:rsid w:val="00DD055C"/>
    <w:rsid w:val="00DE0A55"/>
    <w:rsid w:val="00DE794E"/>
    <w:rsid w:val="00E06D5B"/>
    <w:rsid w:val="00E10B84"/>
    <w:rsid w:val="00E22569"/>
    <w:rsid w:val="00E250C6"/>
    <w:rsid w:val="00E254BD"/>
    <w:rsid w:val="00E57681"/>
    <w:rsid w:val="00E72F76"/>
    <w:rsid w:val="00E87B9E"/>
    <w:rsid w:val="00E93464"/>
    <w:rsid w:val="00EA0357"/>
    <w:rsid w:val="00EA363F"/>
    <w:rsid w:val="00EB5AB9"/>
    <w:rsid w:val="00ED624D"/>
    <w:rsid w:val="00EE1845"/>
    <w:rsid w:val="00EE6936"/>
    <w:rsid w:val="00EF7A14"/>
    <w:rsid w:val="00F258D4"/>
    <w:rsid w:val="00F26EF6"/>
    <w:rsid w:val="00F43D2A"/>
    <w:rsid w:val="00F4681F"/>
    <w:rsid w:val="00F54503"/>
    <w:rsid w:val="00F56996"/>
    <w:rsid w:val="00F570B2"/>
    <w:rsid w:val="00F6375B"/>
    <w:rsid w:val="00F93F9D"/>
    <w:rsid w:val="00F966EE"/>
    <w:rsid w:val="00F973CB"/>
    <w:rsid w:val="00FC6148"/>
    <w:rsid w:val="00FE359D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1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D3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D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trutnt-dekorfrg1">
    <w:name w:val="Light Grid Accent 1"/>
    <w:basedOn w:val="Normaltabell"/>
    <w:uiPriority w:val="62"/>
    <w:rsid w:val="007D315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7D3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1D1FA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4296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4296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296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4296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296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4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2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D3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D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trutnt-dekorfrg1">
    <w:name w:val="Light Grid Accent 1"/>
    <w:basedOn w:val="Normaltabell"/>
    <w:uiPriority w:val="62"/>
    <w:rsid w:val="007D315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7D3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1D1FA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4296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4296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296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4296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296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4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2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5DEAB989.dotm</Template>
  <TotalTime>165</TotalTime>
  <Pages>1</Pages>
  <Words>428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Ostergotland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Ludvigsson Mikael</dc:creator>
  <cp:lastModifiedBy>Ludvigsson Mikael</cp:lastModifiedBy>
  <cp:revision>14</cp:revision>
  <cp:lastPrinted>2018-08-11T05:41:00Z</cp:lastPrinted>
  <dcterms:created xsi:type="dcterms:W3CDTF">2018-08-19T04:34:00Z</dcterms:created>
  <dcterms:modified xsi:type="dcterms:W3CDTF">2019-08-03T05:07:00Z</dcterms:modified>
</cp:coreProperties>
</file>