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39" w:rsidRPr="00FA45DC" w:rsidRDefault="00C723E5" w:rsidP="0004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FA45DC">
        <w:rPr>
          <w:rFonts w:ascii="Arial" w:hAnsi="Arial" w:cs="Arial"/>
          <w:b/>
        </w:rPr>
        <w:t>Table</w:t>
      </w:r>
      <w:bookmarkStart w:id="0" w:name="_GoBack"/>
      <w:bookmarkEnd w:id="0"/>
      <w:r w:rsidRPr="00FA45DC">
        <w:rPr>
          <w:rFonts w:ascii="Arial" w:hAnsi="Arial" w:cs="Arial"/>
          <w:b/>
        </w:rPr>
        <w:t xml:space="preserve"> S1</w:t>
      </w:r>
      <w:r w:rsidR="007A1FFD" w:rsidRPr="00FA45DC">
        <w:rPr>
          <w:rFonts w:ascii="Arial" w:hAnsi="Arial" w:cs="Arial"/>
          <w:b/>
        </w:rPr>
        <w:t>.</w:t>
      </w:r>
      <w:r w:rsidR="0004461C" w:rsidRPr="00FA45DC">
        <w:rPr>
          <w:rFonts w:ascii="Arial" w:hAnsi="Arial" w:cs="Arial"/>
        </w:rPr>
        <w:t xml:space="preserve"> </w:t>
      </w:r>
      <w:r w:rsidR="0004461C" w:rsidRPr="00FA45DC">
        <w:rPr>
          <w:rFonts w:ascii="Arial" w:hAnsi="Arial" w:cs="Arial"/>
          <w:szCs w:val="20"/>
        </w:rPr>
        <w:t xml:space="preserve">CFIR Constructs with Short Definitions. </w:t>
      </w:r>
    </w:p>
    <w:p w:rsidR="00C32939" w:rsidRDefault="00C32939" w:rsidP="0004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  <w:vertAlign w:val="superscript"/>
        </w:rPr>
      </w:pPr>
    </w:p>
    <w:p w:rsidR="00AA5D2F" w:rsidRPr="00AA5D2F" w:rsidRDefault="00AA5D2F" w:rsidP="00AA5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vertAlign w:val="superscript"/>
        </w:rPr>
      </w:pPr>
    </w:p>
    <w:tbl>
      <w:tblPr>
        <w:tblStyle w:val="TableGrid"/>
        <w:tblW w:w="14045" w:type="dxa"/>
        <w:tblLook w:val="04A0" w:firstRow="1" w:lastRow="0" w:firstColumn="1" w:lastColumn="0" w:noHBand="0" w:noVBand="1"/>
      </w:tblPr>
      <w:tblGrid>
        <w:gridCol w:w="3402"/>
        <w:gridCol w:w="10643"/>
      </w:tblGrid>
      <w:tr w:rsidR="0004461C" w:rsidRPr="00AA3111" w:rsidTr="000C439C"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A3111">
              <w:rPr>
                <w:rFonts w:ascii="Arial" w:hAnsi="Arial" w:cs="Arial"/>
                <w:b/>
                <w:sz w:val="16"/>
                <w:szCs w:val="16"/>
              </w:rPr>
              <w:t>Topic</w:t>
            </w:r>
          </w:p>
        </w:tc>
        <w:tc>
          <w:tcPr>
            <w:tcW w:w="10643" w:type="dxa"/>
            <w:tcBorders>
              <w:left w:val="nil"/>
              <w:bottom w:val="single" w:sz="4" w:space="0" w:color="auto"/>
              <w:right w:val="nil"/>
            </w:tcBorders>
          </w:tcPr>
          <w:p w:rsidR="0004461C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3111">
              <w:rPr>
                <w:rFonts w:ascii="Arial" w:hAnsi="Arial" w:cs="Arial"/>
                <w:b/>
                <w:bCs/>
                <w:sz w:val="16"/>
                <w:szCs w:val="16"/>
              </w:rPr>
              <w:t>Short Description</w:t>
            </w:r>
          </w:p>
          <w:p w:rsidR="00FA45DC" w:rsidRPr="00AA3111" w:rsidRDefault="00FA45D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61C" w:rsidRPr="00AA3111" w:rsidTr="000C439C">
        <w:tc>
          <w:tcPr>
            <w:tcW w:w="14045" w:type="dxa"/>
            <w:gridSpan w:val="2"/>
            <w:tcBorders>
              <w:left w:val="nil"/>
              <w:bottom w:val="nil"/>
              <w:right w:val="nil"/>
            </w:tcBorders>
          </w:tcPr>
          <w:p w:rsidR="00AA5D2F" w:rsidRDefault="00AA5D2F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461C" w:rsidRPr="007C1BC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1BC1">
              <w:rPr>
                <w:rFonts w:ascii="Arial" w:hAnsi="Arial" w:cs="Arial"/>
                <w:b/>
                <w:sz w:val="16"/>
                <w:szCs w:val="16"/>
              </w:rPr>
              <w:t>I. INTERVENTION CHARACTERISTICS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A Intervention Source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Perception of key stakeholders about whether the intervention is externally or internally developed.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B Evidence Strength &amp; Quality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Stakeholders’ perceptions of the quality and validity of evidence supporting the belief that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intervention will have desired outcomes.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C Relative advantage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Stakeholders’ perception of the advantage of implementing the intervention versus an alternative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solution.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D Adaptability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degree to which an intervention can be adapted, tailored, refined, or reinvented to meet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needs.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E Trialability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ability to test the intervention on a small scale in the organization [8], and to be able to reverse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course (undo implementation) if warranted.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F Complexity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Perceived difficulty of implementation, reflected by duration, scope, radicalness, disruptiveness, centrality, and intricacy and number of steps required to implement.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G Design Quality and Packaging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Perceived excellence in how the intervention is bundled, presented, and assembled.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H Cost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Costs of the intervention and costs associated with implementing that intervention including investment, supply, and opportunity costs.</w:t>
            </w:r>
          </w:p>
        </w:tc>
      </w:tr>
      <w:tr w:rsidR="0004461C" w:rsidRPr="00AA3111" w:rsidTr="000C439C">
        <w:tc>
          <w:tcPr>
            <w:tcW w:w="1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D2F" w:rsidRDefault="00AA5D2F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461C" w:rsidRPr="007C1BC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1BC1">
              <w:rPr>
                <w:rFonts w:ascii="Arial" w:hAnsi="Arial" w:cs="Arial"/>
                <w:b/>
                <w:sz w:val="16"/>
                <w:szCs w:val="16"/>
              </w:rPr>
              <w:t>II. OUTER SETTING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A Patient Needs &amp; Resources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extent to which patient needs, as well as barriers and facilitators to meet those needs are accurately known and prioritized by the organization.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B Cosmopolitanism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degree to which an organization is networked with other external organizations.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C Peer Pressure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Mimetic or competitive pressure to implement an intervention; typically because most or other key peer or competing organizations have already implemented or in a bid for a competitive edge.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lastRenderedPageBreak/>
              <w:t xml:space="preserve">D External Policy &amp; Incentives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A broad construct that includes external strategies to spread interventions including policy and regulations (governmental or other central entity), external mandates, recommendations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guidelines, pay-for-performance, collaboratives, and public or benchmark reporting.</w:t>
            </w:r>
          </w:p>
        </w:tc>
      </w:tr>
      <w:tr w:rsidR="0004461C" w:rsidRPr="00AA3111" w:rsidTr="000C439C">
        <w:tc>
          <w:tcPr>
            <w:tcW w:w="1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61C" w:rsidRPr="007C1BC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1BC1">
              <w:rPr>
                <w:rFonts w:ascii="Arial" w:hAnsi="Arial" w:cs="Arial"/>
                <w:b/>
                <w:sz w:val="16"/>
                <w:szCs w:val="16"/>
              </w:rPr>
              <w:t>III. INNER SETTING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A Structural Characteristics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social architecture, age, maturity, and size of an organization.</w:t>
            </w:r>
          </w:p>
        </w:tc>
      </w:tr>
      <w:tr w:rsidR="0004461C" w:rsidRPr="00AA3111" w:rsidTr="000C43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B Networks &amp; Communications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nature and quality of webs of social networks and the nature and quality of formal and informal communications within an organization.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C Culture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Norms, values, and basic assumptions of a given organization.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D Implementation Climate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absorptive capacity for change, shared receptivity of involved individuals to an intervention and the extent to which use of that intervention will be rewarded, supported, and expected within their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organization.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1 Tension for Change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degree to which stakeholders perceive the current situation as intolerable or needing change.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2 Compatibility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degree of tangible fit between meaning and values attached to the intervention by involved individuals, how those align with individuals’ own norms, values, and perceived risks and needs,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and how the intervention fits with existing workflows and systems.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3 Relative Priority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Individuals’ shared perception of the importance of the implementation within the organization.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4 Organizational Incentives &amp; Rewards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Extrinsic incentives such as goal-sharing awards, performance reviews, promotions, and raises in salary and less tangible incentives such as increased stature or respect.</w:t>
            </w:r>
          </w:p>
        </w:tc>
      </w:tr>
      <w:tr w:rsidR="0004461C" w:rsidRPr="00AA3111" w:rsidTr="00AA5D2F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5 Goals and Feedback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degree to which goals are clearly communicated, acted upon, and fed back to staff and alignment of that feedback with goals.</w:t>
            </w:r>
          </w:p>
        </w:tc>
      </w:tr>
      <w:tr w:rsidR="0004461C" w:rsidRPr="00AA3111" w:rsidTr="00AA5D2F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6 Learning Climate 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A climate in which: a) leaders express their own fallibility and need for team members’ assistance and input; b) team members feel that they are essential, valued, and knowledgeable partners in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change process; c) individuals feel psychologically safe to try new methods; and d) there is</w:t>
            </w:r>
          </w:p>
          <w:p w:rsidR="00AA5D2F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sufficient time and space for reflective thinking and evaluation.</w:t>
            </w:r>
          </w:p>
          <w:p w:rsidR="00FA45DC" w:rsidRPr="00AA3111" w:rsidRDefault="00FA45D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2F" w:rsidRPr="00AA3111" w:rsidTr="00AA5D2F">
        <w:trPr>
          <w:trHeight w:val="65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D2F" w:rsidRPr="00AA3111" w:rsidRDefault="00AA5D2F" w:rsidP="00AA5D2F">
            <w:pPr>
              <w:tabs>
                <w:tab w:val="left" w:pos="369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b/>
                <w:sz w:val="16"/>
                <w:szCs w:val="16"/>
              </w:rPr>
              <w:t>Topic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D2F" w:rsidRDefault="00AA5D2F" w:rsidP="00AA5D2F">
            <w:pPr>
              <w:tabs>
                <w:tab w:val="left" w:pos="3690"/>
              </w:tabs>
              <w:spacing w:line="276" w:lineRule="auto"/>
              <w:ind w:left="-258" w:firstLine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S</w:t>
            </w:r>
            <w:r w:rsidRPr="00F1513A">
              <w:rPr>
                <w:rFonts w:ascii="Arial" w:hAnsi="Arial" w:cs="Arial"/>
                <w:b/>
                <w:sz w:val="16"/>
                <w:szCs w:val="16"/>
              </w:rPr>
              <w:t>hort Description</w:t>
            </w:r>
          </w:p>
          <w:p w:rsidR="00FA45DC" w:rsidRPr="00F1513A" w:rsidRDefault="00FA45DC" w:rsidP="00AA5D2F">
            <w:pPr>
              <w:tabs>
                <w:tab w:val="left" w:pos="3690"/>
              </w:tabs>
              <w:spacing w:line="276" w:lineRule="auto"/>
              <w:ind w:left="-258" w:firstLine="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461C" w:rsidRPr="00AA3111" w:rsidTr="00AA5D2F">
        <w:trPr>
          <w:trHeight w:val="65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D2F" w:rsidRDefault="00AA5D2F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E Readiness for Implementation </w:t>
            </w:r>
          </w:p>
        </w:tc>
        <w:tc>
          <w:tcPr>
            <w:tcW w:w="10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D2F" w:rsidRDefault="00AA5D2F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04461C" w:rsidRPr="00AA3111" w:rsidRDefault="00AA5D2F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Tangible and immediate indicators of organizational commitment to its decision to implement an intervention.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1 Leadership Engagement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Commitment, involvement, and accountability of leaders and managers with the implementation.</w:t>
            </w:r>
          </w:p>
        </w:tc>
      </w:tr>
      <w:tr w:rsidR="0004461C" w:rsidRPr="00AA3111" w:rsidTr="00AA5D2F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2 Available Resources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level of resources dedicated for implementation and on-going operations including money, training, education, physical space, and time.</w:t>
            </w:r>
          </w:p>
        </w:tc>
      </w:tr>
      <w:tr w:rsidR="0004461C" w:rsidRPr="00AA3111" w:rsidTr="00AA5D2F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AA5D2F">
            <w:p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3 Access to knowledge and </w:t>
            </w:r>
            <w:r w:rsidRPr="00F1513A">
              <w:rPr>
                <w:rFonts w:ascii="Arial" w:hAnsi="Arial" w:cs="Arial"/>
                <w:sz w:val="16"/>
                <w:szCs w:val="16"/>
              </w:rPr>
              <w:t xml:space="preserve">information 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Ease of access to digestible information and knowledge about the intervention and how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incorporate it into work tasks.</w:t>
            </w:r>
          </w:p>
        </w:tc>
      </w:tr>
      <w:tr w:rsidR="0004461C" w:rsidRPr="00AA3111" w:rsidTr="00AA5D2F">
        <w:trPr>
          <w:trHeight w:val="65"/>
        </w:trPr>
        <w:tc>
          <w:tcPr>
            <w:tcW w:w="1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D2F" w:rsidRDefault="00AA5D2F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461C" w:rsidRPr="007C1BC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1BC1">
              <w:rPr>
                <w:rFonts w:ascii="Arial" w:hAnsi="Arial" w:cs="Arial"/>
                <w:b/>
                <w:sz w:val="16"/>
                <w:szCs w:val="16"/>
              </w:rPr>
              <w:t>IV. CHARACTERISTICS OF INDIVIDUALS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A Knowledge &amp; Beliefs about the intervention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Individuals’ attitudes toward and value placed on the intervention as well as familiarity with facts,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truths, and principles related to the intervention.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B Self-efficacy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Individual belief in their own capabilities to execute courses of action to achieve implementation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goals.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C Individual Stage of Change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Characterization of the phase an individual is in, as he or she progresses toward skilled,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enthusiastic, and sustained use of the intervention.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D Individual Identification with</w:t>
            </w:r>
          </w:p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Organization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A broad construct related to how individuals perceive the organization and their relationship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degree of commitment with that organization.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E Other Personal Attributes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A broad construct to include other personal traits such as tolerance of ambiguity, intellectual ability,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motivation, values, competence, capacity, and learning style.</w:t>
            </w:r>
          </w:p>
        </w:tc>
      </w:tr>
      <w:tr w:rsidR="0004461C" w:rsidRPr="00AA3111" w:rsidTr="000C439C">
        <w:trPr>
          <w:trHeight w:val="65"/>
        </w:trPr>
        <w:tc>
          <w:tcPr>
            <w:tcW w:w="1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61C" w:rsidRPr="007C1BC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1BC1">
              <w:rPr>
                <w:rFonts w:ascii="Arial" w:hAnsi="Arial" w:cs="Arial"/>
                <w:b/>
                <w:sz w:val="16"/>
                <w:szCs w:val="16"/>
              </w:rPr>
              <w:t>V. PROCESS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A Planning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The degree to which a scheme or method of behavior and tasks for implementing an intervention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are developed in advance and the quality of those schemes or methods.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B Engaging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Attracting and involving appropriate individuals in the implementation and use of the intervention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through a combined strategy of social marketing, education, role modeling, training, and 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similar activities.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 xml:space="preserve">1 Opinion Leaders </w:t>
            </w:r>
          </w:p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Individuals in an organization who have formal or informal influence on the attitudes and beliefs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their colleagues with respect to implementing the intervention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2 Formally appointed internal</w:t>
            </w:r>
          </w:p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implementation leaders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Individuals from within the organization who have been formally appointed with responsibility 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implementing an intervention as coordinator, project manager, team leader, or other similar role.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3 Champions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“Individuals who dedicate themselves to supporting, marketing, and ‘driving through’ 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[implementation]” [101]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(p. 182), overcoming indifference or resistance that the intervention may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provoke in an organization.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ind w:left="317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4 External Change Agents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Individuals who are affiliated with an outside entity who formally influence or facilitate intervention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decisions in a desirable direction.</w:t>
            </w:r>
          </w:p>
        </w:tc>
      </w:tr>
      <w:tr w:rsidR="0004461C" w:rsidRPr="00AA3111" w:rsidTr="000C439C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C Executing</w:t>
            </w:r>
          </w:p>
        </w:tc>
        <w:tc>
          <w:tcPr>
            <w:tcW w:w="10643" w:type="dxa"/>
            <w:tcBorders>
              <w:top w:val="nil"/>
              <w:left w:val="nil"/>
              <w:bottom w:val="nil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Carrying out or accomplishing the implementation according to plan.</w:t>
            </w:r>
          </w:p>
        </w:tc>
      </w:tr>
      <w:tr w:rsidR="0004461C" w:rsidRPr="00AA3111" w:rsidTr="00993038">
        <w:trPr>
          <w:trHeight w:val="6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61C" w:rsidRPr="00AA3111" w:rsidRDefault="0004461C" w:rsidP="000C439C">
            <w:pPr>
              <w:tabs>
                <w:tab w:val="left" w:pos="328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D Reflecting &amp; Evaluating</w:t>
            </w:r>
          </w:p>
        </w:tc>
        <w:tc>
          <w:tcPr>
            <w:tcW w:w="10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61C" w:rsidRDefault="0004461C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A3111">
              <w:rPr>
                <w:rFonts w:ascii="Arial" w:hAnsi="Arial" w:cs="Arial"/>
                <w:sz w:val="16"/>
                <w:szCs w:val="16"/>
              </w:rPr>
              <w:t>Quantitative and qualitative feedback about the progress and quality of implementation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3111">
              <w:rPr>
                <w:rFonts w:ascii="Arial" w:hAnsi="Arial" w:cs="Arial"/>
                <w:sz w:val="16"/>
                <w:szCs w:val="16"/>
              </w:rPr>
              <w:t>accompanied with regular personal and team debriefing about progress and experience.</w:t>
            </w:r>
          </w:p>
          <w:p w:rsidR="00AD1381" w:rsidRPr="00AA3111" w:rsidRDefault="00AD1381" w:rsidP="000C43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45DC" w:rsidRPr="00AA3111" w:rsidTr="00993038">
        <w:trPr>
          <w:trHeight w:val="302"/>
        </w:trPr>
        <w:tc>
          <w:tcPr>
            <w:tcW w:w="14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038" w:rsidRDefault="00FA45DC" w:rsidP="008E73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993038">
              <w:rPr>
                <w:rFonts w:ascii="Arial" w:hAnsi="Arial" w:cs="Arial"/>
                <w:sz w:val="16"/>
                <w:szCs w:val="20"/>
              </w:rPr>
              <w:t>Damschroder, L.J., Aron, D.C., Keith, R.E. et al. Fostering implementation of health services research findings into practice: A consolidated framework for advancing implementation science. Implement Sci. 2009;4(1):1-15. doi:10.1186/1748-5908-4-50</w:t>
            </w:r>
          </w:p>
          <w:p w:rsidR="00993038" w:rsidRPr="00993038" w:rsidRDefault="00993038" w:rsidP="008E73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93038" w:rsidRPr="00AA3111" w:rsidTr="00993038">
        <w:trPr>
          <w:trHeight w:val="302"/>
        </w:trPr>
        <w:tc>
          <w:tcPr>
            <w:tcW w:w="1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038" w:rsidRPr="00FA45DC" w:rsidRDefault="00993038" w:rsidP="008E73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6"/>
                <w:szCs w:val="20"/>
              </w:rPr>
            </w:pPr>
            <w:r w:rsidRPr="006D04E8">
              <w:rPr>
                <w:rStyle w:val="superscript-reference"/>
                <w:rFonts w:ascii="Arial" w:hAnsi="Arial" w:cs="Arial"/>
                <w:i/>
                <w:sz w:val="16"/>
                <w:szCs w:val="16"/>
              </w:rPr>
              <w:t>Abbreviations: CFIR, Consolidated Framework for Implementation Research</w:t>
            </w:r>
          </w:p>
        </w:tc>
      </w:tr>
    </w:tbl>
    <w:p w:rsidR="0004461C" w:rsidRPr="00EA0A4A" w:rsidRDefault="0004461C" w:rsidP="00D22FEE">
      <w:pPr>
        <w:tabs>
          <w:tab w:val="left" w:pos="3288"/>
        </w:tabs>
        <w:rPr>
          <w:rFonts w:ascii="Arial" w:hAnsi="Arial" w:cs="Arial"/>
          <w:sz w:val="24"/>
          <w:szCs w:val="24"/>
        </w:rPr>
      </w:pPr>
    </w:p>
    <w:sectPr w:rsidR="0004461C" w:rsidRPr="00EA0A4A" w:rsidSect="008377AF">
      <w:pgSz w:w="16838" w:h="11906" w:orient="landscape" w:code="9"/>
      <w:pgMar w:top="156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1C"/>
    <w:rsid w:val="00037FB7"/>
    <w:rsid w:val="00041FAB"/>
    <w:rsid w:val="0004461C"/>
    <w:rsid w:val="00060AB2"/>
    <w:rsid w:val="00090707"/>
    <w:rsid w:val="000B365D"/>
    <w:rsid w:val="000F75AB"/>
    <w:rsid w:val="00111FA8"/>
    <w:rsid w:val="001211A3"/>
    <w:rsid w:val="00125829"/>
    <w:rsid w:val="00131D53"/>
    <w:rsid w:val="001A0F66"/>
    <w:rsid w:val="001B42D3"/>
    <w:rsid w:val="001E511C"/>
    <w:rsid w:val="00235AAB"/>
    <w:rsid w:val="002439E2"/>
    <w:rsid w:val="00273727"/>
    <w:rsid w:val="00276F52"/>
    <w:rsid w:val="002932EA"/>
    <w:rsid w:val="00293CBD"/>
    <w:rsid w:val="002A1E24"/>
    <w:rsid w:val="002A601C"/>
    <w:rsid w:val="002B47F9"/>
    <w:rsid w:val="002C531D"/>
    <w:rsid w:val="002D503B"/>
    <w:rsid w:val="002E7973"/>
    <w:rsid w:val="00321FDF"/>
    <w:rsid w:val="0032467D"/>
    <w:rsid w:val="00345BC3"/>
    <w:rsid w:val="00353A3A"/>
    <w:rsid w:val="00355D06"/>
    <w:rsid w:val="00383B6D"/>
    <w:rsid w:val="00396A97"/>
    <w:rsid w:val="003B7CC4"/>
    <w:rsid w:val="003C61F7"/>
    <w:rsid w:val="003D5F6F"/>
    <w:rsid w:val="003F5E9D"/>
    <w:rsid w:val="004163D8"/>
    <w:rsid w:val="00453BDE"/>
    <w:rsid w:val="00454CE5"/>
    <w:rsid w:val="004603FD"/>
    <w:rsid w:val="00467BEB"/>
    <w:rsid w:val="00496451"/>
    <w:rsid w:val="004A1B10"/>
    <w:rsid w:val="004A2191"/>
    <w:rsid w:val="004A3E4D"/>
    <w:rsid w:val="004B403A"/>
    <w:rsid w:val="004D6330"/>
    <w:rsid w:val="00503B46"/>
    <w:rsid w:val="005259E2"/>
    <w:rsid w:val="005B3F98"/>
    <w:rsid w:val="005C2EF4"/>
    <w:rsid w:val="005E3378"/>
    <w:rsid w:val="00655451"/>
    <w:rsid w:val="00671CDC"/>
    <w:rsid w:val="006A59BA"/>
    <w:rsid w:val="007712FE"/>
    <w:rsid w:val="00775B3B"/>
    <w:rsid w:val="00794478"/>
    <w:rsid w:val="007A1FFD"/>
    <w:rsid w:val="007A7940"/>
    <w:rsid w:val="007D3E60"/>
    <w:rsid w:val="00851604"/>
    <w:rsid w:val="00861DC2"/>
    <w:rsid w:val="00867745"/>
    <w:rsid w:val="0087771C"/>
    <w:rsid w:val="00893F2E"/>
    <w:rsid w:val="008E1A12"/>
    <w:rsid w:val="008E543F"/>
    <w:rsid w:val="008E7391"/>
    <w:rsid w:val="008F03CE"/>
    <w:rsid w:val="00953489"/>
    <w:rsid w:val="00960181"/>
    <w:rsid w:val="00987879"/>
    <w:rsid w:val="00993038"/>
    <w:rsid w:val="009A04ED"/>
    <w:rsid w:val="009B0EF4"/>
    <w:rsid w:val="009B56B4"/>
    <w:rsid w:val="009D0FF8"/>
    <w:rsid w:val="009F0603"/>
    <w:rsid w:val="00A275C7"/>
    <w:rsid w:val="00A3331D"/>
    <w:rsid w:val="00A345F3"/>
    <w:rsid w:val="00A76DD9"/>
    <w:rsid w:val="00A822F8"/>
    <w:rsid w:val="00AA5D2F"/>
    <w:rsid w:val="00AB7C06"/>
    <w:rsid w:val="00AC1B86"/>
    <w:rsid w:val="00AD1381"/>
    <w:rsid w:val="00AD5480"/>
    <w:rsid w:val="00AE3024"/>
    <w:rsid w:val="00AE4BC4"/>
    <w:rsid w:val="00B236D4"/>
    <w:rsid w:val="00B364AC"/>
    <w:rsid w:val="00B40164"/>
    <w:rsid w:val="00B522C8"/>
    <w:rsid w:val="00B6014C"/>
    <w:rsid w:val="00B8177E"/>
    <w:rsid w:val="00B825C3"/>
    <w:rsid w:val="00BC2FA9"/>
    <w:rsid w:val="00BF028E"/>
    <w:rsid w:val="00C32939"/>
    <w:rsid w:val="00C34238"/>
    <w:rsid w:val="00C373D9"/>
    <w:rsid w:val="00C43706"/>
    <w:rsid w:val="00C46B68"/>
    <w:rsid w:val="00C6087A"/>
    <w:rsid w:val="00C6718C"/>
    <w:rsid w:val="00C71818"/>
    <w:rsid w:val="00C723E5"/>
    <w:rsid w:val="00C77940"/>
    <w:rsid w:val="00CD3BE9"/>
    <w:rsid w:val="00CE1765"/>
    <w:rsid w:val="00D026C2"/>
    <w:rsid w:val="00D0276E"/>
    <w:rsid w:val="00D02E5F"/>
    <w:rsid w:val="00D044B6"/>
    <w:rsid w:val="00D22FEE"/>
    <w:rsid w:val="00D518FA"/>
    <w:rsid w:val="00D64603"/>
    <w:rsid w:val="00DA2551"/>
    <w:rsid w:val="00DA5B52"/>
    <w:rsid w:val="00DB674C"/>
    <w:rsid w:val="00DC4CCD"/>
    <w:rsid w:val="00E03615"/>
    <w:rsid w:val="00E05B42"/>
    <w:rsid w:val="00E11EEA"/>
    <w:rsid w:val="00E72E52"/>
    <w:rsid w:val="00EC66AA"/>
    <w:rsid w:val="00F2054B"/>
    <w:rsid w:val="00F229AF"/>
    <w:rsid w:val="00F24378"/>
    <w:rsid w:val="00F34EA5"/>
    <w:rsid w:val="00F55351"/>
    <w:rsid w:val="00F63BFC"/>
    <w:rsid w:val="00FA45DC"/>
    <w:rsid w:val="00FB234B"/>
    <w:rsid w:val="00FB3506"/>
    <w:rsid w:val="00FC3B3C"/>
    <w:rsid w:val="00FC5B6F"/>
    <w:rsid w:val="00FE0D69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5906"/>
  <w15:chartTrackingRefBased/>
  <w15:docId w15:val="{2F47B6A5-F354-4BB0-AA31-A09D122A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oed"/>
    <w:qFormat/>
    <w:rsid w:val="000446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script-reference">
    <w:name w:val="superscript-reference"/>
    <w:basedOn w:val="DefaultParagraphFont"/>
    <w:rsid w:val="0099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D33C-B3B2-4B0C-B11B-FA17EAC5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C.M. Groot Kormelinck</dc:creator>
  <cp:keywords/>
  <dc:description/>
  <cp:lastModifiedBy>C.M. Groot Kormelinck</cp:lastModifiedBy>
  <cp:revision>22</cp:revision>
  <dcterms:created xsi:type="dcterms:W3CDTF">2019-06-06T09:24:00Z</dcterms:created>
  <dcterms:modified xsi:type="dcterms:W3CDTF">2019-07-17T08:50:00Z</dcterms:modified>
</cp:coreProperties>
</file>