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28" w:rsidRPr="00367F28" w:rsidRDefault="00367F28" w:rsidP="00367F28">
      <w:pPr>
        <w:widowControl w:val="0"/>
        <w:spacing w:before="100" w:beforeAutospacing="1" w:after="100" w:afterAutospacing="1" w:line="276" w:lineRule="auto"/>
        <w:jc w:val="both"/>
        <w:rPr>
          <w:rFonts w:eastAsia="Calibri"/>
          <w:b/>
        </w:rPr>
      </w:pPr>
      <w:r w:rsidRPr="00367F28">
        <w:rPr>
          <w:rFonts w:eastAsia="Calibri"/>
          <w:b/>
        </w:rPr>
        <w:t xml:space="preserve">Appendix 1: Mean health and social care resource use </w:t>
      </w:r>
      <w:bookmarkStart w:id="0" w:name="_GoBack"/>
      <w:bookmarkEnd w:id="0"/>
      <w:r w:rsidRPr="00367F28">
        <w:rPr>
          <w:rFonts w:eastAsia="Calibri"/>
          <w:b/>
        </w:rPr>
        <w:t>and cost per resident at baseline and follow-up and mean total cost including intervention</w:t>
      </w:r>
    </w:p>
    <w:p w:rsidR="00367F28" w:rsidRPr="00367F28" w:rsidRDefault="00367F28" w:rsidP="00367F28">
      <w:pPr>
        <w:widowControl w:val="0"/>
        <w:spacing w:before="100" w:beforeAutospacing="1" w:after="100" w:afterAutospacing="1" w:line="276" w:lineRule="auto"/>
        <w:jc w:val="both"/>
        <w:rPr>
          <w:rFonts w:eastAsia="Calibri"/>
          <w:b/>
        </w:rPr>
      </w:pPr>
    </w:p>
    <w:p w:rsidR="00367F28" w:rsidRPr="00367F28" w:rsidRDefault="00367F28" w:rsidP="00367F28">
      <w:pPr>
        <w:widowControl w:val="0"/>
        <w:spacing w:before="100" w:beforeAutospacing="1" w:after="100" w:afterAutospacing="1" w:line="276" w:lineRule="auto"/>
        <w:jc w:val="both"/>
        <w:rPr>
          <w:rFonts w:eastAsia="Calibri"/>
          <w:b/>
        </w:rPr>
      </w:pPr>
    </w:p>
    <w:p w:rsidR="00367F28" w:rsidRPr="00367F28" w:rsidRDefault="00367F28" w:rsidP="00367F28">
      <w:pPr>
        <w:widowControl w:val="0"/>
        <w:spacing w:before="100" w:beforeAutospacing="1" w:after="100" w:afterAutospacing="1" w:line="276" w:lineRule="auto"/>
        <w:jc w:val="both"/>
        <w:rPr>
          <w:rFonts w:eastAsia="Calibri"/>
          <w:b/>
        </w:rPr>
      </w:pPr>
    </w:p>
    <w:p w:rsidR="00367F28" w:rsidRPr="00367F28" w:rsidRDefault="00367F28" w:rsidP="00367F28">
      <w:pPr>
        <w:widowControl w:val="0"/>
        <w:spacing w:before="100" w:beforeAutospacing="1" w:after="100" w:afterAutospacing="1" w:line="276" w:lineRule="auto"/>
        <w:jc w:val="both"/>
        <w:rPr>
          <w:rFonts w:eastAsia="Calibri"/>
          <w:b/>
        </w:rPr>
      </w:pPr>
    </w:p>
    <w:p w:rsidR="00367F28" w:rsidRPr="00367F28" w:rsidRDefault="00367F28" w:rsidP="00367F28">
      <w:pPr>
        <w:widowControl w:val="0"/>
        <w:spacing w:before="100" w:beforeAutospacing="1" w:after="100" w:afterAutospacing="1" w:line="276" w:lineRule="auto"/>
        <w:jc w:val="both"/>
        <w:rPr>
          <w:rFonts w:eastAsia="Calibri"/>
          <w:b/>
        </w:rPr>
      </w:pPr>
    </w:p>
    <w:p w:rsidR="00367F28" w:rsidRPr="00367F28" w:rsidRDefault="00367F28" w:rsidP="00367F28">
      <w:pPr>
        <w:widowControl w:val="0"/>
        <w:spacing w:before="100" w:beforeAutospacing="1" w:after="100" w:afterAutospacing="1" w:line="276" w:lineRule="auto"/>
        <w:jc w:val="both"/>
        <w:rPr>
          <w:rFonts w:eastAsia="Calibri"/>
          <w:b/>
        </w:rPr>
      </w:pPr>
    </w:p>
    <w:p w:rsidR="00367F28" w:rsidRPr="00367F28" w:rsidRDefault="00367F28" w:rsidP="00367F28">
      <w:pPr>
        <w:widowControl w:val="0"/>
        <w:spacing w:before="100" w:beforeAutospacing="1" w:after="100" w:afterAutospacing="1" w:line="276" w:lineRule="auto"/>
        <w:jc w:val="both"/>
        <w:rPr>
          <w:rFonts w:eastAsia="Calibri"/>
          <w:sz w:val="20"/>
          <w:szCs w:val="20"/>
        </w:rPr>
      </w:pPr>
    </w:p>
    <w:p w:rsidR="00367F28" w:rsidRPr="00367F28" w:rsidRDefault="00367F28" w:rsidP="00367F28">
      <w:pPr>
        <w:widowControl w:val="0"/>
        <w:spacing w:before="100" w:beforeAutospacing="1" w:after="100" w:afterAutospacing="1" w:line="276" w:lineRule="auto"/>
        <w:jc w:val="both"/>
        <w:rPr>
          <w:rFonts w:eastAsia="Calibri"/>
          <w:sz w:val="20"/>
          <w:szCs w:val="20"/>
        </w:rPr>
      </w:pPr>
    </w:p>
    <w:p w:rsidR="00367F28" w:rsidRPr="00367F28" w:rsidRDefault="00367F28" w:rsidP="00367F28">
      <w:pPr>
        <w:widowControl w:val="0"/>
        <w:spacing w:before="100" w:beforeAutospacing="1" w:after="100" w:afterAutospacing="1" w:line="276" w:lineRule="auto"/>
        <w:jc w:val="both"/>
        <w:rPr>
          <w:rFonts w:eastAsia="Calibri"/>
          <w:b/>
        </w:rPr>
      </w:pPr>
    </w:p>
    <w:p w:rsidR="00367F28" w:rsidRPr="00367F28" w:rsidRDefault="00367F28" w:rsidP="00367F28">
      <w:pPr>
        <w:widowControl w:val="0"/>
        <w:spacing w:before="100" w:beforeAutospacing="1" w:after="100" w:afterAutospacing="1" w:line="276" w:lineRule="auto"/>
        <w:rPr>
          <w:rFonts w:eastAsia="Calibri"/>
          <w:b/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2701"/>
        <w:tblW w:w="980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522"/>
        <w:gridCol w:w="1638"/>
        <w:gridCol w:w="450"/>
        <w:gridCol w:w="1620"/>
        <w:gridCol w:w="540"/>
        <w:gridCol w:w="2160"/>
      </w:tblGrid>
      <w:tr w:rsidR="00367F28" w:rsidRPr="00367F28" w:rsidTr="00367F28">
        <w:trPr>
          <w:trHeight w:val="416"/>
        </w:trPr>
        <w:tc>
          <w:tcPr>
            <w:tcW w:w="2875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367F28">
              <w:rPr>
                <w:b/>
                <w:sz w:val="20"/>
                <w:szCs w:val="20"/>
              </w:rPr>
              <w:t>Pre-intervention (N=28)</w:t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367F28">
              <w:rPr>
                <w:b/>
                <w:sz w:val="20"/>
                <w:szCs w:val="20"/>
              </w:rPr>
              <w:t>Post-intervention (N=26)</w:t>
            </w:r>
          </w:p>
        </w:tc>
        <w:tc>
          <w:tcPr>
            <w:tcW w:w="270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367F28">
              <w:rPr>
                <w:b/>
                <w:sz w:val="20"/>
                <w:szCs w:val="20"/>
              </w:rPr>
              <w:t>Difference</w:t>
            </w:r>
          </w:p>
        </w:tc>
      </w:tr>
      <w:tr w:rsidR="00367F28" w:rsidRPr="00367F28" w:rsidTr="00367F28">
        <w:trPr>
          <w:trHeight w:val="132"/>
        </w:trPr>
        <w:tc>
          <w:tcPr>
            <w:tcW w:w="2875" w:type="dxa"/>
            <w:tcBorders>
              <w:top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rPr>
                <w:b/>
                <w:sz w:val="20"/>
                <w:szCs w:val="20"/>
              </w:rPr>
            </w:pPr>
            <w:r w:rsidRPr="00367F28">
              <w:rPr>
                <w:b/>
                <w:sz w:val="20"/>
                <w:szCs w:val="20"/>
              </w:rPr>
              <w:t>Variables</w:t>
            </w:r>
          </w:p>
        </w:tc>
        <w:tc>
          <w:tcPr>
            <w:tcW w:w="522" w:type="dxa"/>
            <w:tcBorders>
              <w:top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367F28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638" w:type="dxa"/>
            <w:tcBorders>
              <w:top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367F28">
              <w:rPr>
                <w:b/>
                <w:sz w:val="20"/>
                <w:szCs w:val="20"/>
              </w:rPr>
              <w:t>Mean (SD)</w:t>
            </w:r>
          </w:p>
        </w:tc>
        <w:tc>
          <w:tcPr>
            <w:tcW w:w="450" w:type="dxa"/>
            <w:tcBorders>
              <w:top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367F28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367F28">
              <w:rPr>
                <w:b/>
                <w:sz w:val="20"/>
                <w:szCs w:val="20"/>
              </w:rPr>
              <w:t>Mean (SD)</w:t>
            </w:r>
          </w:p>
        </w:tc>
        <w:tc>
          <w:tcPr>
            <w:tcW w:w="540" w:type="dxa"/>
            <w:tcBorders>
              <w:top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367F28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367F28">
              <w:rPr>
                <w:b/>
                <w:sz w:val="20"/>
                <w:szCs w:val="20"/>
              </w:rPr>
              <w:t>Mean (95% CI)</w:t>
            </w:r>
          </w:p>
        </w:tc>
      </w:tr>
      <w:tr w:rsidR="00367F28" w:rsidRPr="00367F28" w:rsidTr="00367F28">
        <w:tc>
          <w:tcPr>
            <w:tcW w:w="2875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DEMQOL proxy utility value</w:t>
            </w:r>
          </w:p>
        </w:tc>
        <w:tc>
          <w:tcPr>
            <w:tcW w:w="522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 xml:space="preserve">27  </w:t>
            </w:r>
          </w:p>
        </w:tc>
        <w:tc>
          <w:tcPr>
            <w:tcW w:w="1638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0.816 (0.078)</w:t>
            </w:r>
          </w:p>
        </w:tc>
        <w:tc>
          <w:tcPr>
            <w:tcW w:w="45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 xml:space="preserve">0.838 (0.089) </w:t>
            </w:r>
          </w:p>
        </w:tc>
        <w:tc>
          <w:tcPr>
            <w:tcW w:w="54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0.019 (-0.028; 0.065)</w:t>
            </w:r>
          </w:p>
        </w:tc>
      </w:tr>
      <w:tr w:rsidR="00367F28" w:rsidRPr="00367F28" w:rsidTr="00367F28">
        <w:tc>
          <w:tcPr>
            <w:tcW w:w="2875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EQ-5D-5L proxy utility value</w:t>
            </w:r>
          </w:p>
        </w:tc>
        <w:tc>
          <w:tcPr>
            <w:tcW w:w="522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1638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0.348 (0.103)</w:t>
            </w:r>
          </w:p>
        </w:tc>
        <w:tc>
          <w:tcPr>
            <w:tcW w:w="45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0.466 (0.176)</w:t>
            </w:r>
          </w:p>
        </w:tc>
        <w:tc>
          <w:tcPr>
            <w:tcW w:w="54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26</w:t>
            </w:r>
          </w:p>
        </w:tc>
        <w:tc>
          <w:tcPr>
            <w:tcW w:w="216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0.119 (0.060; 0.178)</w:t>
            </w:r>
          </w:p>
        </w:tc>
      </w:tr>
      <w:tr w:rsidR="00367F28" w:rsidRPr="00367F28" w:rsidTr="00367F28">
        <w:tc>
          <w:tcPr>
            <w:tcW w:w="2875" w:type="dxa"/>
            <w:tcBorders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QUALID</w:t>
            </w:r>
          </w:p>
        </w:tc>
        <w:tc>
          <w:tcPr>
            <w:tcW w:w="522" w:type="dxa"/>
            <w:tcBorders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1638" w:type="dxa"/>
            <w:tcBorders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22.0 (7.4)</w:t>
            </w:r>
          </w:p>
        </w:tc>
        <w:tc>
          <w:tcPr>
            <w:tcW w:w="450" w:type="dxa"/>
            <w:tcBorders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22.5  (8.2)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0.7 (-2.7; 4.2)</w:t>
            </w:r>
          </w:p>
        </w:tc>
      </w:tr>
      <w:tr w:rsidR="00367F28" w:rsidRPr="00367F28" w:rsidTr="00367F28">
        <w:tc>
          <w:tcPr>
            <w:tcW w:w="2875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rPr>
                <w:b/>
                <w:sz w:val="20"/>
                <w:szCs w:val="20"/>
              </w:rPr>
            </w:pPr>
            <w:r w:rsidRPr="00367F28">
              <w:rPr>
                <w:b/>
                <w:sz w:val="20"/>
                <w:szCs w:val="20"/>
              </w:rPr>
              <w:t>Health and social care resource use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</w:tr>
      <w:tr w:rsidR="00367F28" w:rsidRPr="00367F28" w:rsidTr="00367F28">
        <w:tc>
          <w:tcPr>
            <w:tcW w:w="2875" w:type="dxa"/>
            <w:tcBorders>
              <w:top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Inpatient</w:t>
            </w:r>
          </w:p>
        </w:tc>
        <w:tc>
          <w:tcPr>
            <w:tcW w:w="522" w:type="dxa"/>
            <w:tcBorders>
              <w:top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tcBorders>
              <w:top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</w:tr>
      <w:tr w:rsidR="00367F28" w:rsidRPr="00367F28" w:rsidTr="00367F28">
        <w:tc>
          <w:tcPr>
            <w:tcW w:w="2875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Outpatient</w:t>
            </w:r>
          </w:p>
        </w:tc>
        <w:tc>
          <w:tcPr>
            <w:tcW w:w="522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38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</w:tr>
      <w:tr w:rsidR="00367F28" w:rsidRPr="00367F28" w:rsidTr="00367F28">
        <w:tc>
          <w:tcPr>
            <w:tcW w:w="2875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A&amp;E</w:t>
            </w:r>
          </w:p>
        </w:tc>
        <w:tc>
          <w:tcPr>
            <w:tcW w:w="522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</w:tr>
      <w:tr w:rsidR="00367F28" w:rsidRPr="00367F28" w:rsidTr="00367F28">
        <w:tc>
          <w:tcPr>
            <w:tcW w:w="2875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Paramedic</w:t>
            </w:r>
          </w:p>
        </w:tc>
        <w:tc>
          <w:tcPr>
            <w:tcW w:w="522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</w:tr>
      <w:tr w:rsidR="00367F28" w:rsidRPr="00367F28" w:rsidTr="00367F28">
        <w:tc>
          <w:tcPr>
            <w:tcW w:w="2875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GP</w:t>
            </w:r>
          </w:p>
        </w:tc>
        <w:tc>
          <w:tcPr>
            <w:tcW w:w="522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12</w:t>
            </w:r>
          </w:p>
        </w:tc>
        <w:tc>
          <w:tcPr>
            <w:tcW w:w="1638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1.8 (1.1)</w:t>
            </w:r>
          </w:p>
        </w:tc>
        <w:tc>
          <w:tcPr>
            <w:tcW w:w="45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1.9 (1.0)</w:t>
            </w:r>
          </w:p>
        </w:tc>
        <w:tc>
          <w:tcPr>
            <w:tcW w:w="54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</w:tr>
      <w:tr w:rsidR="00367F28" w:rsidRPr="00367F28" w:rsidTr="00367F28">
        <w:tc>
          <w:tcPr>
            <w:tcW w:w="2875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Community nurse</w:t>
            </w:r>
          </w:p>
        </w:tc>
        <w:tc>
          <w:tcPr>
            <w:tcW w:w="522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</w:tr>
      <w:tr w:rsidR="00367F28" w:rsidRPr="00367F28" w:rsidTr="00367F28">
        <w:tc>
          <w:tcPr>
            <w:tcW w:w="2875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Mental health nurse</w:t>
            </w:r>
          </w:p>
        </w:tc>
        <w:tc>
          <w:tcPr>
            <w:tcW w:w="522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3</w:t>
            </w:r>
          </w:p>
        </w:tc>
        <w:tc>
          <w:tcPr>
            <w:tcW w:w="1638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1.3 (0.6)</w:t>
            </w:r>
          </w:p>
        </w:tc>
        <w:tc>
          <w:tcPr>
            <w:tcW w:w="45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</w:tr>
      <w:tr w:rsidR="00367F28" w:rsidRPr="00367F28" w:rsidTr="00367F28">
        <w:tc>
          <w:tcPr>
            <w:tcW w:w="2875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Specialist nurse</w:t>
            </w:r>
          </w:p>
        </w:tc>
        <w:tc>
          <w:tcPr>
            <w:tcW w:w="522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1.0 (0.0)</w:t>
            </w:r>
          </w:p>
        </w:tc>
        <w:tc>
          <w:tcPr>
            <w:tcW w:w="54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</w:tr>
      <w:tr w:rsidR="00367F28" w:rsidRPr="00367F28" w:rsidTr="00367F28">
        <w:tc>
          <w:tcPr>
            <w:tcW w:w="2875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Community service</w:t>
            </w:r>
          </w:p>
        </w:tc>
        <w:tc>
          <w:tcPr>
            <w:tcW w:w="522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18</w:t>
            </w:r>
          </w:p>
        </w:tc>
        <w:tc>
          <w:tcPr>
            <w:tcW w:w="1638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1.0 (0.0)</w:t>
            </w:r>
          </w:p>
        </w:tc>
        <w:tc>
          <w:tcPr>
            <w:tcW w:w="45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1.1 (0.4)</w:t>
            </w:r>
          </w:p>
        </w:tc>
        <w:tc>
          <w:tcPr>
            <w:tcW w:w="54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</w:tr>
      <w:tr w:rsidR="00367F28" w:rsidRPr="00367F28" w:rsidTr="00367F28">
        <w:tc>
          <w:tcPr>
            <w:tcW w:w="2875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Other medical professionals</w:t>
            </w:r>
          </w:p>
        </w:tc>
        <w:tc>
          <w:tcPr>
            <w:tcW w:w="522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1.3 (0.5)</w:t>
            </w:r>
          </w:p>
        </w:tc>
        <w:tc>
          <w:tcPr>
            <w:tcW w:w="45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1.1 (0.4)</w:t>
            </w:r>
          </w:p>
        </w:tc>
        <w:tc>
          <w:tcPr>
            <w:tcW w:w="54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</w:tr>
      <w:tr w:rsidR="00367F28" w:rsidRPr="00367F28" w:rsidTr="00367F28">
        <w:trPr>
          <w:trHeight w:val="278"/>
        </w:trPr>
        <w:tc>
          <w:tcPr>
            <w:tcW w:w="2875" w:type="dxa"/>
            <w:tcBorders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Prescriptions</w:t>
            </w:r>
          </w:p>
        </w:tc>
        <w:tc>
          <w:tcPr>
            <w:tcW w:w="522" w:type="dxa"/>
            <w:tcBorders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28</w:t>
            </w:r>
          </w:p>
        </w:tc>
        <w:tc>
          <w:tcPr>
            <w:tcW w:w="1638" w:type="dxa"/>
            <w:tcBorders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6.3 (3.2)</w:t>
            </w:r>
          </w:p>
        </w:tc>
        <w:tc>
          <w:tcPr>
            <w:tcW w:w="450" w:type="dxa"/>
            <w:tcBorders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5.9 (2.7)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</w:tr>
      <w:tr w:rsidR="00367F28" w:rsidRPr="00367F28" w:rsidTr="00367F28">
        <w:tc>
          <w:tcPr>
            <w:tcW w:w="2875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rPr>
                <w:b/>
                <w:sz w:val="20"/>
                <w:szCs w:val="20"/>
              </w:rPr>
            </w:pPr>
            <w:r w:rsidRPr="00367F28">
              <w:rPr>
                <w:b/>
                <w:sz w:val="20"/>
                <w:szCs w:val="20"/>
              </w:rPr>
              <w:t>Mean health and social care resource use cost (95%CI)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b/>
                <w:sz w:val="20"/>
                <w:szCs w:val="20"/>
              </w:rPr>
            </w:pPr>
            <w:r w:rsidRPr="00367F2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638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 xml:space="preserve">£152.9 </w:t>
            </w:r>
          </w:p>
          <w:p w:rsidR="00367F28" w:rsidRPr="00367F28" w:rsidRDefault="00367F28" w:rsidP="00367F28">
            <w:pPr>
              <w:widowControl w:val="0"/>
              <w:spacing w:before="100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(£87.4, £218.3)</w:t>
            </w:r>
          </w:p>
        </w:tc>
        <w:tc>
          <w:tcPr>
            <w:tcW w:w="45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 xml:space="preserve">£212.9 </w:t>
            </w:r>
          </w:p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(£47.4, £378.3)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 xml:space="preserve">£48.7 </w:t>
            </w:r>
          </w:p>
          <w:p w:rsidR="00367F28" w:rsidRPr="00367F28" w:rsidRDefault="00367F28" w:rsidP="00367F28">
            <w:pPr>
              <w:widowControl w:val="0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(-£124.7,  £222.1)</w:t>
            </w:r>
          </w:p>
        </w:tc>
      </w:tr>
      <w:tr w:rsidR="00367F28" w:rsidRPr="00367F28" w:rsidTr="00367F28">
        <w:tc>
          <w:tcPr>
            <w:tcW w:w="2875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rPr>
                <w:b/>
                <w:sz w:val="20"/>
                <w:szCs w:val="20"/>
              </w:rPr>
            </w:pPr>
            <w:r w:rsidRPr="00367F28">
              <w:rPr>
                <w:b/>
                <w:sz w:val="20"/>
                <w:szCs w:val="20"/>
              </w:rPr>
              <w:t>Mean intervention implementation cost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£246</w:t>
            </w:r>
          </w:p>
        </w:tc>
      </w:tr>
      <w:tr w:rsidR="00367F28" w:rsidRPr="00367F28" w:rsidTr="00367F28">
        <w:tc>
          <w:tcPr>
            <w:tcW w:w="2875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rPr>
                <w:b/>
                <w:sz w:val="20"/>
                <w:szCs w:val="20"/>
              </w:rPr>
            </w:pPr>
            <w:r w:rsidRPr="00367F28">
              <w:rPr>
                <w:b/>
                <w:sz w:val="20"/>
                <w:szCs w:val="20"/>
              </w:rPr>
              <w:t>Mean total cost (95% CI)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</w:tcPr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 xml:space="preserve">£294.9 </w:t>
            </w:r>
          </w:p>
          <w:p w:rsidR="00367F28" w:rsidRPr="00367F28" w:rsidRDefault="00367F28" w:rsidP="00367F28">
            <w:pPr>
              <w:widowControl w:val="0"/>
              <w:spacing w:before="100"/>
              <w:jc w:val="right"/>
              <w:rPr>
                <w:sz w:val="20"/>
                <w:szCs w:val="20"/>
              </w:rPr>
            </w:pPr>
            <w:r w:rsidRPr="00367F28">
              <w:rPr>
                <w:sz w:val="20"/>
                <w:szCs w:val="20"/>
              </w:rPr>
              <w:t>(£121.5, £468.3)</w:t>
            </w:r>
          </w:p>
        </w:tc>
      </w:tr>
    </w:tbl>
    <w:p w:rsidR="00367F28" w:rsidRPr="00367F28" w:rsidRDefault="00367F28" w:rsidP="00367F28">
      <w:pPr>
        <w:widowControl w:val="0"/>
        <w:spacing w:before="100" w:beforeAutospacing="1" w:after="100" w:afterAutospacing="1" w:line="276" w:lineRule="auto"/>
        <w:jc w:val="both"/>
        <w:rPr>
          <w:rFonts w:eastAsia="Calibri"/>
        </w:rPr>
      </w:pPr>
    </w:p>
    <w:p w:rsidR="00710C0D" w:rsidRDefault="00367F28"/>
    <w:sectPr w:rsidR="00710C0D" w:rsidSect="002D094F">
      <w:headerReference w:type="default" r:id="rId6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28" w:rsidRDefault="00367F28" w:rsidP="00367F28">
      <w:pPr>
        <w:spacing w:after="0" w:line="240" w:lineRule="auto"/>
      </w:pPr>
      <w:r>
        <w:separator/>
      </w:r>
    </w:p>
  </w:endnote>
  <w:endnote w:type="continuationSeparator" w:id="0">
    <w:p w:rsidR="00367F28" w:rsidRDefault="00367F28" w:rsidP="0036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28" w:rsidRDefault="00367F28" w:rsidP="00367F28">
      <w:pPr>
        <w:spacing w:after="0" w:line="240" w:lineRule="auto"/>
      </w:pPr>
      <w:r>
        <w:separator/>
      </w:r>
    </w:p>
  </w:footnote>
  <w:footnote w:type="continuationSeparator" w:id="0">
    <w:p w:rsidR="00367F28" w:rsidRDefault="00367F28" w:rsidP="0036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28" w:rsidRDefault="00367F28" w:rsidP="00367F28">
    <w:pPr>
      <w:pStyle w:val="Header"/>
      <w:jc w:val="right"/>
    </w:pPr>
    <w:r>
      <w:t>Improving care for agitation in dementia at the end of life</w:t>
    </w:r>
  </w:p>
  <w:p w:rsidR="00367F28" w:rsidRDefault="00367F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28"/>
    <w:rsid w:val="000A2854"/>
    <w:rsid w:val="00206C7A"/>
    <w:rsid w:val="002C3E91"/>
    <w:rsid w:val="00367F28"/>
    <w:rsid w:val="003E5DD9"/>
    <w:rsid w:val="005E0EB6"/>
    <w:rsid w:val="00624D97"/>
    <w:rsid w:val="00682CE1"/>
    <w:rsid w:val="006E4C7C"/>
    <w:rsid w:val="007976F4"/>
    <w:rsid w:val="009D3E41"/>
    <w:rsid w:val="009E0044"/>
    <w:rsid w:val="00B03666"/>
    <w:rsid w:val="00B24981"/>
    <w:rsid w:val="00B36DE7"/>
    <w:rsid w:val="00BC37CF"/>
    <w:rsid w:val="00C17C62"/>
    <w:rsid w:val="00CC2597"/>
    <w:rsid w:val="00D15650"/>
    <w:rsid w:val="00F01822"/>
    <w:rsid w:val="00FB5F4B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33B3"/>
  <w15:chartTrackingRefBased/>
  <w15:docId w15:val="{4A7DB01F-5BA8-45D8-8F16-CC9F59FC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67F28"/>
    <w:pPr>
      <w:spacing w:after="0" w:line="240" w:lineRule="auto"/>
    </w:pPr>
    <w:rPr>
      <w:rFonts w:eastAsia="SimSun" w:cs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6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F2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7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F2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Sampson</dc:creator>
  <cp:keywords/>
  <dc:description/>
  <cp:lastModifiedBy>Liz Sampson</cp:lastModifiedBy>
  <cp:revision>1</cp:revision>
  <dcterms:created xsi:type="dcterms:W3CDTF">2020-05-22T14:24:00Z</dcterms:created>
  <dcterms:modified xsi:type="dcterms:W3CDTF">2020-05-22T14:26:00Z</dcterms:modified>
</cp:coreProperties>
</file>