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FC" w:rsidRDefault="003C7AFC" w:rsidP="003C7AFC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Loneliness and Its Concomitants among Older Adults during the COVID-19 Pandemic</w:t>
      </w:r>
    </w:p>
    <w:p w:rsidR="000F677D" w:rsidRDefault="003C7AFC" w:rsidP="003C7AFC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C7AFC">
        <w:rPr>
          <w:rFonts w:asciiTheme="majorBidi" w:hAnsiTheme="majorBidi" w:cstheme="majorBidi"/>
          <w:b/>
          <w:bCs/>
          <w:sz w:val="24"/>
          <w:szCs w:val="24"/>
        </w:rPr>
        <w:t>Supplementary file</w:t>
      </w:r>
    </w:p>
    <w:p w:rsidR="00BC4A7E" w:rsidRDefault="00BC4A7E" w:rsidP="003C7AFC">
      <w:pPr>
        <w:bidi w:val="0"/>
        <w:spacing w:after="0" w:line="480" w:lineRule="auto"/>
        <w:ind w:right="43" w:firstLine="567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3C7AFC" w:rsidRDefault="003C7AFC" w:rsidP="00BC4A7E">
      <w:pPr>
        <w:bidi w:val="0"/>
        <w:spacing w:after="0" w:line="480" w:lineRule="auto"/>
        <w:ind w:right="43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Table 1 </w:t>
      </w:r>
      <w:r>
        <w:rPr>
          <w:rFonts w:ascii="Times New Roman" w:hAnsi="Times New Roman" w:cs="Times New Roman"/>
          <w:sz w:val="24"/>
          <w:szCs w:val="24"/>
        </w:rPr>
        <w:t>shows that loneliness was higher among those with more me</w:t>
      </w:r>
      <w:r w:rsidR="00BC4A7E">
        <w:rPr>
          <w:rFonts w:ascii="Times New Roman" w:hAnsi="Times New Roman" w:cs="Times New Roman"/>
          <w:sz w:val="24"/>
          <w:szCs w:val="24"/>
        </w:rPr>
        <w:t xml:space="preserve">dical conditions, more negative views on aging, </w:t>
      </w:r>
      <w:r>
        <w:rPr>
          <w:rFonts w:ascii="Times New Roman" w:hAnsi="Times New Roman" w:cs="Times New Roman"/>
          <w:sz w:val="24"/>
          <w:szCs w:val="24"/>
        </w:rPr>
        <w:t xml:space="preserve">less positive </w:t>
      </w:r>
      <w:r w:rsidR="00BC4A7E">
        <w:rPr>
          <w:rFonts w:ascii="Times New Roman" w:hAnsi="Times New Roman" w:cs="Times New Roman"/>
          <w:sz w:val="24"/>
          <w:szCs w:val="24"/>
        </w:rPr>
        <w:t>views on</w:t>
      </w:r>
      <w:r>
        <w:rPr>
          <w:rFonts w:ascii="Times New Roman" w:hAnsi="Times New Roman" w:cs="Times New Roman"/>
          <w:sz w:val="24"/>
          <w:szCs w:val="24"/>
        </w:rPr>
        <w:t xml:space="preserve"> aging, higher psychological distress, more phone interactions, less face-to-face interactions, and less activity engagement. Loneliness was also higher among older respondents, those with a lower education level and less favorable financial status.</w:t>
      </w:r>
    </w:p>
    <w:p w:rsidR="003C7AFC" w:rsidRDefault="003C7AFC" w:rsidP="003C7AFC">
      <w:pPr>
        <w:bidi w:val="0"/>
        <w:spacing w:after="0" w:line="480" w:lineRule="auto"/>
        <w:ind w:right="43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C7AFC" w:rsidRPr="00647779" w:rsidRDefault="003C7AFC" w:rsidP="003C7AFC">
      <w:pPr>
        <w:bidi w:val="0"/>
        <w:spacing w:after="0" w:line="480" w:lineRule="auto"/>
        <w:ind w:right="43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AFC" w:rsidRDefault="003C7AFC" w:rsidP="003C7AFC">
      <w:pPr>
        <w:bidi w:val="0"/>
        <w:spacing w:line="480" w:lineRule="auto"/>
        <w:contextualSpacing/>
        <w:rPr>
          <w:rFonts w:asciiTheme="majorBidi" w:hAnsiTheme="majorBidi" w:cstheme="majorBidi"/>
        </w:rPr>
        <w:sectPr w:rsidR="003C7AFC" w:rsidSect="008878F9">
          <w:headerReference w:type="default" r:id="rId6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tblW w:w="14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745"/>
        <w:gridCol w:w="673"/>
        <w:gridCol w:w="991"/>
        <w:gridCol w:w="98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3C7AFC" w:rsidRPr="003C7AFC" w:rsidTr="00E65545">
        <w:trPr>
          <w:trHeight w:val="235"/>
          <w:jc w:val="center"/>
        </w:trPr>
        <w:tc>
          <w:tcPr>
            <w:tcW w:w="14603" w:type="dxa"/>
            <w:gridSpan w:val="14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lastRenderedPageBreak/>
              <w:t xml:space="preserve">Table 1. </w:t>
            </w:r>
            <w:r w:rsidRPr="003C7AFC">
              <w:rPr>
                <w:rFonts w:asciiTheme="majorBidi" w:hAnsiTheme="majorBidi" w:cstheme="majorBidi"/>
                <w:i/>
                <w:iCs/>
              </w:rPr>
              <w:t>Means, SD, and Correlations for the Study Variables</w:t>
            </w:r>
            <w:r w:rsidRPr="003C7AFC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  <w:i/>
                <w:iCs/>
              </w:rPr>
            </w:pPr>
            <w:r w:rsidRPr="003C7AFC">
              <w:rPr>
                <w:rFonts w:asciiTheme="majorBidi" w:hAnsiTheme="majorBidi" w:cstheme="majorBidi"/>
                <w:i/>
                <w:iCs/>
              </w:rPr>
              <w:t>M/%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  <w:i/>
                <w:iCs/>
              </w:rPr>
            </w:pPr>
            <w:r w:rsidRPr="003C7AFC">
              <w:rPr>
                <w:rFonts w:asciiTheme="majorBidi" w:hAnsiTheme="majorBidi" w:cstheme="majorBidi"/>
                <w:i/>
                <w:iCs/>
              </w:rPr>
              <w:t>SD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11</w:t>
            </w: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 Loneliness</w:t>
            </w:r>
            <w:r w:rsidRPr="003C7AFC">
              <w:rPr>
                <w:rFonts w:asciiTheme="majorBidi" w:hAnsiTheme="majorBidi" w:cstheme="majorBidi"/>
                <w:vertAlign w:val="superscript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1.17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1.12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spacing w:line="480" w:lineRule="auto"/>
              <w:contextualSpacing/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spacing w:line="480" w:lineRule="auto"/>
              <w:contextualSpacing/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spacing w:line="480" w:lineRule="auto"/>
              <w:contextualSpacing/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spacing w:line="480" w:lineRule="auto"/>
              <w:contextualSpacing/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spacing w:line="480" w:lineRule="auto"/>
              <w:contextualSpacing/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spacing w:line="480" w:lineRule="auto"/>
              <w:contextualSpacing/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spacing w:line="480" w:lineRule="auto"/>
              <w:contextualSpacing/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spacing w:line="480" w:lineRule="auto"/>
              <w:contextualSpacing/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spacing w:line="480" w:lineRule="auto"/>
              <w:contextualSpacing/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3C7AFC" w:rsidRPr="003C7AFC" w:rsidRDefault="003C7AFC" w:rsidP="003C7AFC">
            <w:pPr>
              <w:spacing w:line="480" w:lineRule="auto"/>
              <w:contextualSpacing/>
            </w:pP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2. COVID-19 exposure</w:t>
            </w:r>
            <w:r w:rsidRPr="003C7AFC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1.11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1.22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.10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3C7AFC" w:rsidRPr="003C7AFC" w:rsidTr="00E65545">
        <w:trPr>
          <w:trHeight w:val="208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3. Medical conditions</w:t>
            </w:r>
            <w:r w:rsidRPr="003C7AFC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1.17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1.07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.19**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.11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4. AAQ-Psychological loss</w:t>
            </w:r>
            <w:r w:rsidRPr="003C7AFC">
              <w:rPr>
                <w:rFonts w:asciiTheme="majorBidi" w:hAnsiTheme="majorBidi" w:cstheme="majorBidi"/>
                <w:vertAlign w:val="superscript"/>
              </w:rPr>
              <w:t>4</w:t>
            </w:r>
            <w:r w:rsidRPr="003C7AF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0.79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.36***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.08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.17**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5. AAQ-Physical change</w:t>
            </w:r>
            <w:r w:rsidRPr="003C7AFC">
              <w:rPr>
                <w:rFonts w:asciiTheme="majorBidi" w:hAnsiTheme="majorBidi" w:cstheme="majorBidi"/>
                <w:vertAlign w:val="superscript"/>
              </w:rPr>
              <w:t>5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2.64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0.78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-.25***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-.04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-.31***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-.43***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6. AAQ-Psychological growth</w:t>
            </w:r>
            <w:r w:rsidRPr="003C7AFC">
              <w:rPr>
                <w:rFonts w:asciiTheme="majorBidi" w:hAnsiTheme="majorBidi" w:cstheme="majorBidi"/>
                <w:vertAlign w:val="superscript"/>
              </w:rPr>
              <w:t>6</w:t>
            </w:r>
            <w:r w:rsidRPr="003C7AF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2.51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0.98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-.14*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.07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-.08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-.34***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.37***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7. Psychological distress</w:t>
            </w:r>
            <w:r w:rsidRPr="003C7AFC">
              <w:rPr>
                <w:rFonts w:ascii="MinionPro-Regular" w:hAnsi="MinionPro-Regular"/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1.94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2.46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.44***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.03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.10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.41***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-.28***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-.15*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8. Phone interactions</w:t>
            </w:r>
            <w:r w:rsidRPr="003C7AFC">
              <w:rPr>
                <w:rFonts w:ascii="MinionPro-Regular" w:hAnsi="MinionPro-Regular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2.50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1.59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.12*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.09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.01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.01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-.01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.05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9. Video interactions</w:t>
            </w:r>
            <w:r w:rsidRPr="003C7AFC">
              <w:rPr>
                <w:rFonts w:ascii="MinionPro-Regular" w:hAnsi="MinionPro-Regular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1.34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1.32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.02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.08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-.05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-.12*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.12*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.14*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-.06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.21***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10. Face-to-face interactions</w:t>
            </w:r>
            <w:r w:rsidRPr="003C7AFC">
              <w:rPr>
                <w:rFonts w:ascii="MinionPro-Regular" w:hAnsi="MinionPro-Regular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1.74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1.46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-.25***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-.01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-.13*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-.14*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.15*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.09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-.16**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-.20***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-.09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11. Activity engagement</w:t>
            </w:r>
            <w:r w:rsidRPr="003C7AFC">
              <w:rPr>
                <w:rFonts w:ascii="MinionPro-Regular" w:hAnsi="MinionPro-Regular"/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1.03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0.59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-.29***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-.05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-.15*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-.19**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.32***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.14*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-.31***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-.09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.12*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.12*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12. Age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75.73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8.06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.18**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.07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.33***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.14*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-.18**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-.17**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.10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.14*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-.03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-.33***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-.12*</w:t>
            </w:r>
          </w:p>
        </w:tc>
      </w:tr>
      <w:tr w:rsidR="003C7AFC" w:rsidRPr="003C7AFC" w:rsidTr="00E65545">
        <w:trPr>
          <w:trHeight w:val="251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13. Gender (women)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68.5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.05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-.08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-.20**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.02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.07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.003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.06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-.05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.03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.05</w:t>
            </w: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lastRenderedPageBreak/>
              <w:t>14. Education level</w:t>
            </w:r>
            <w:r w:rsidRPr="003C7AFC">
              <w:rPr>
                <w:rFonts w:asciiTheme="majorBidi" w:hAnsiTheme="majorBidi" w:cstheme="majorBidi"/>
                <w:vertAlign w:val="superscript"/>
              </w:rPr>
              <w:t>10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5.20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1.22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-.15*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-.08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-.11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-.20**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.24***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.08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-.29***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.08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.16**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.15*</w:t>
            </w: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15. Self-rated financial status</w:t>
            </w:r>
            <w:r w:rsidRPr="003C7AFC">
              <w:rPr>
                <w:rFonts w:asciiTheme="majorBidi" w:hAnsiTheme="majorBidi" w:cstheme="majorBidi"/>
                <w:vertAlign w:val="superscript"/>
              </w:rPr>
              <w:t>11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3.88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0.79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-.17**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-.02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.17**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-.19**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.30***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.05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-.29***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-.08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.05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.20***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.21***</w:t>
            </w: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16. Marital status (married)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66.1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-.06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-.01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-.14*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-.08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.03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-.06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-.02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-.01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.13*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.07</w:t>
            </w: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17. No. of children</w:t>
            </w:r>
          </w:p>
        </w:tc>
        <w:tc>
          <w:tcPr>
            <w:tcW w:w="745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2.98</w:t>
            </w:r>
          </w:p>
        </w:tc>
        <w:tc>
          <w:tcPr>
            <w:tcW w:w="673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1.33</w:t>
            </w:r>
          </w:p>
        </w:tc>
        <w:tc>
          <w:tcPr>
            <w:tcW w:w="991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-.07</w:t>
            </w:r>
          </w:p>
        </w:tc>
        <w:tc>
          <w:tcPr>
            <w:tcW w:w="98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.08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-.01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-.10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.10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.13*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-.04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.07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.09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.11</w:t>
            </w:r>
          </w:p>
        </w:tc>
        <w:tc>
          <w:tcPr>
            <w:tcW w:w="898" w:type="dxa"/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.13*</w:t>
            </w:r>
          </w:p>
        </w:tc>
      </w:tr>
      <w:tr w:rsidR="003C7AFC" w:rsidRPr="003C7AFC" w:rsidTr="00E65545">
        <w:trPr>
          <w:trHeight w:val="235"/>
          <w:jc w:val="center"/>
        </w:trPr>
        <w:tc>
          <w:tcPr>
            <w:tcW w:w="3124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18. Place of residence</w:t>
            </w:r>
            <w:r w:rsidRPr="003C7AFC">
              <w:rPr>
                <w:rFonts w:ascii="MinionPro-Regular" w:hAnsi="MinionPro-Regular"/>
                <w:color w:val="000000"/>
                <w:sz w:val="24"/>
                <w:szCs w:val="24"/>
                <w:vertAlign w:val="superscript"/>
              </w:rPr>
              <w:t xml:space="preserve">12 </w:t>
            </w:r>
            <w:r w:rsidRPr="003C7AFC">
              <w:rPr>
                <w:rFonts w:asciiTheme="majorBidi" w:hAnsiTheme="majorBidi" w:cstheme="majorBidi"/>
              </w:rPr>
              <w:t>(retirement home)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8.2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.05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.17**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.15**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-.01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-.03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-.06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.01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.09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-.15**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-.20***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C7AFC" w:rsidRPr="003C7AFC" w:rsidRDefault="003C7AFC" w:rsidP="003C7AFC">
            <w:pPr>
              <w:bidi w:val="0"/>
              <w:spacing w:line="480" w:lineRule="auto"/>
              <w:contextualSpacing/>
              <w:jc w:val="center"/>
              <w:rPr>
                <w:rFonts w:asciiTheme="majorBidi" w:hAnsiTheme="majorBidi" w:cstheme="majorBidi"/>
              </w:rPr>
            </w:pPr>
            <w:r w:rsidRPr="003C7AFC">
              <w:rPr>
                <w:rFonts w:asciiTheme="majorBidi" w:hAnsiTheme="majorBidi" w:cstheme="majorBidi"/>
              </w:rPr>
              <w:t>-.12*</w:t>
            </w:r>
          </w:p>
        </w:tc>
      </w:tr>
    </w:tbl>
    <w:p w:rsidR="00BF6707" w:rsidRDefault="00BF6707" w:rsidP="003C7AFC">
      <w:pPr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i/>
          <w:iCs/>
        </w:rPr>
        <w:sectPr w:rsidR="00BF6707" w:rsidSect="00BF6707">
          <w:pgSz w:w="16838" w:h="11906" w:orient="landscape"/>
          <w:pgMar w:top="1797" w:right="1440" w:bottom="1797" w:left="1440" w:header="709" w:footer="709" w:gutter="0"/>
          <w:cols w:space="708"/>
          <w:bidi/>
          <w:rtlGutter/>
          <w:docGrid w:linePitch="360"/>
        </w:sectPr>
      </w:pPr>
    </w:p>
    <w:p w:rsidR="003C7AFC" w:rsidRDefault="003C7AFC" w:rsidP="00272E2C">
      <w:pPr>
        <w:bidi w:val="0"/>
        <w:spacing w:after="0" w:line="480" w:lineRule="auto"/>
        <w:ind w:right="43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6707" w:rsidRPr="00647779" w:rsidRDefault="00BF6707" w:rsidP="00BF6707">
      <w:pPr>
        <w:bidi w:val="0"/>
        <w:spacing w:after="0" w:line="480" w:lineRule="auto"/>
        <w:ind w:right="43"/>
        <w:contextualSpacing/>
        <w:rPr>
          <w:rFonts w:ascii="Times New Roman" w:hAnsi="Times New Roman" w:cs="Times New Roman"/>
          <w:sz w:val="24"/>
          <w:szCs w:val="24"/>
        </w:rPr>
      </w:pPr>
      <w:r w:rsidRPr="003C7AFC">
        <w:rPr>
          <w:rFonts w:asciiTheme="majorBidi" w:hAnsiTheme="majorBidi" w:cstheme="majorBidi"/>
          <w:i/>
          <w:iCs/>
        </w:rPr>
        <w:t>Note</w:t>
      </w:r>
      <w:r w:rsidRPr="003C7AFC">
        <w:rPr>
          <w:rFonts w:asciiTheme="majorBidi" w:hAnsiTheme="majorBidi" w:cstheme="majorBidi"/>
        </w:rPr>
        <w:t xml:space="preserve">. </w:t>
      </w:r>
      <w:r w:rsidRPr="003C7AFC">
        <w:rPr>
          <w:rFonts w:asciiTheme="majorBidi" w:hAnsiTheme="majorBidi" w:cstheme="majorBidi"/>
          <w:i/>
          <w:iCs/>
        </w:rPr>
        <w:t>N</w:t>
      </w:r>
      <w:r w:rsidRPr="003C7AFC">
        <w:rPr>
          <w:rFonts w:asciiTheme="majorBidi" w:hAnsiTheme="majorBidi" w:cstheme="majorBidi"/>
        </w:rPr>
        <w:t xml:space="preserve"> ranged 274-295. </w:t>
      </w:r>
      <w:r w:rsidRPr="003C7AFC">
        <w:rPr>
          <w:rFonts w:asciiTheme="majorBidi" w:hAnsiTheme="majorBidi" w:cstheme="majorBidi"/>
          <w:vertAlign w:val="superscript"/>
        </w:rPr>
        <w:t>1</w:t>
      </w:r>
      <w:r w:rsidRPr="003C7AFC">
        <w:rPr>
          <w:rFonts w:asciiTheme="majorBidi" w:hAnsiTheme="majorBidi" w:cstheme="majorBidi"/>
        </w:rPr>
        <w:t xml:space="preserve">The average of three items </w:t>
      </w:r>
      <w:r>
        <w:rPr>
          <w:rFonts w:asciiTheme="majorBidi" w:hAnsiTheme="majorBidi" w:cstheme="majorBidi"/>
        </w:rPr>
        <w:t xml:space="preserve">referring to recent weeks </w:t>
      </w:r>
      <w:r w:rsidRPr="003C7AFC">
        <w:rPr>
          <w:rFonts w:asciiTheme="majorBidi" w:hAnsiTheme="majorBidi" w:cstheme="majorBidi"/>
        </w:rPr>
        <w:t>rated on a 5-point scale (</w:t>
      </w:r>
      <w:proofErr w:type="gramStart"/>
      <w:r w:rsidRPr="003C7AFC">
        <w:rPr>
          <w:rFonts w:asciiTheme="majorBidi" w:hAnsiTheme="majorBidi" w:cstheme="majorBidi"/>
        </w:rPr>
        <w:t>0=</w:t>
      </w:r>
      <w:proofErr w:type="gramEnd"/>
      <w:r w:rsidRPr="003C7AFC">
        <w:rPr>
          <w:rFonts w:asciiTheme="majorBidi" w:hAnsiTheme="majorBidi" w:cstheme="majorBidi"/>
          <w:i/>
          <w:iCs/>
        </w:rPr>
        <w:t xml:space="preserve">not at all </w:t>
      </w:r>
      <w:r w:rsidRPr="003C7AFC">
        <w:rPr>
          <w:rFonts w:asciiTheme="majorBidi" w:hAnsiTheme="majorBidi" w:cstheme="majorBidi"/>
        </w:rPr>
        <w:t>to 4=</w:t>
      </w:r>
      <w:r w:rsidRPr="003C7AFC">
        <w:rPr>
          <w:rFonts w:asciiTheme="majorBidi" w:hAnsiTheme="majorBidi" w:cstheme="majorBidi"/>
          <w:i/>
          <w:iCs/>
        </w:rPr>
        <w:t>almost always</w:t>
      </w:r>
      <w:r w:rsidRPr="003C7AFC">
        <w:rPr>
          <w:rFonts w:asciiTheme="majorBidi" w:hAnsiTheme="majorBidi" w:cstheme="majorBidi"/>
        </w:rPr>
        <w:t xml:space="preserve">). </w:t>
      </w:r>
      <w:r w:rsidRPr="003C7AFC">
        <w:rPr>
          <w:rFonts w:asciiTheme="majorBidi" w:hAnsiTheme="majorBidi" w:cstheme="majorBidi"/>
          <w:vertAlign w:val="superscript"/>
        </w:rPr>
        <w:t>2</w:t>
      </w:r>
      <w:r w:rsidRPr="003C7AFC">
        <w:rPr>
          <w:rFonts w:asciiTheme="majorBidi" w:hAnsiTheme="majorBidi" w:cstheme="majorBidi"/>
        </w:rPr>
        <w:t xml:space="preserve">The sum of exposure to six COVID-19 related events (e.g., being in isolation, having family members in isolation). </w:t>
      </w:r>
      <w:r w:rsidRPr="003C7AFC">
        <w:rPr>
          <w:rFonts w:asciiTheme="majorBidi" w:hAnsiTheme="majorBidi" w:cstheme="majorBidi"/>
          <w:vertAlign w:val="superscript"/>
        </w:rPr>
        <w:t>3</w:t>
      </w:r>
      <w:r w:rsidRPr="003C7AFC">
        <w:rPr>
          <w:rFonts w:asciiTheme="majorBidi" w:hAnsiTheme="majorBidi" w:cstheme="majorBidi"/>
          <w:color w:val="000000" w:themeColor="text1"/>
        </w:rPr>
        <w:t>The sum of chronic medical conditions suspected to increase the risk of death due to COVID-19 complications: cardiovascular disease, diabetes, chronic respiratory disease, hypertension, and cancer</w:t>
      </w:r>
      <w:r w:rsidRPr="003C7AFC">
        <w:rPr>
          <w:rFonts w:asciiTheme="majorBidi" w:hAnsiTheme="majorBidi" w:cstheme="majorBidi"/>
          <w:color w:val="000000"/>
        </w:rPr>
        <w:t xml:space="preserve">. </w:t>
      </w:r>
      <w:r w:rsidRPr="003C7AFC">
        <w:rPr>
          <w:rFonts w:asciiTheme="majorBidi" w:hAnsiTheme="majorBidi" w:cstheme="majorBidi"/>
          <w:color w:val="000000"/>
          <w:vertAlign w:val="superscript"/>
        </w:rPr>
        <w:t>4</w:t>
      </w:r>
      <w:r w:rsidRPr="003C7AFC">
        <w:rPr>
          <w:rFonts w:asciiTheme="majorBidi" w:hAnsiTheme="majorBidi" w:cstheme="majorBidi"/>
          <w:color w:val="000000"/>
        </w:rPr>
        <w:t>The average of four items rated on a 5-point scale (0=</w:t>
      </w:r>
      <w:r w:rsidRPr="003C7AFC">
        <w:rPr>
          <w:rFonts w:asciiTheme="majorBidi" w:hAnsiTheme="majorBidi" w:cstheme="majorBidi"/>
          <w:i/>
          <w:iCs/>
          <w:color w:val="000000"/>
        </w:rPr>
        <w:t xml:space="preserve">completely disagree </w:t>
      </w:r>
      <w:r w:rsidRPr="003C7AFC">
        <w:rPr>
          <w:rFonts w:asciiTheme="majorBidi" w:hAnsiTheme="majorBidi" w:cstheme="majorBidi"/>
          <w:color w:val="000000"/>
        </w:rPr>
        <w:t>to 4=</w:t>
      </w:r>
      <w:r w:rsidRPr="003C7AFC">
        <w:rPr>
          <w:rFonts w:asciiTheme="majorBidi" w:hAnsiTheme="majorBidi" w:cstheme="majorBidi"/>
          <w:i/>
          <w:iCs/>
          <w:color w:val="000000"/>
        </w:rPr>
        <w:t xml:space="preserve">completely </w:t>
      </w:r>
      <w:r w:rsidRPr="003C7AFC">
        <w:rPr>
          <w:rFonts w:asciiTheme="majorBidi" w:hAnsiTheme="majorBidi" w:cstheme="majorBidi"/>
          <w:color w:val="000000"/>
        </w:rPr>
        <w:t xml:space="preserve">agree) referring to primarily seeing old age as a negative experience involving psychological and social losses (e.g., “Old age is a depressing time of life”). </w:t>
      </w:r>
      <w:r w:rsidRPr="003C7AFC">
        <w:rPr>
          <w:rFonts w:asciiTheme="majorBidi" w:hAnsiTheme="majorBidi" w:cstheme="majorBidi"/>
          <w:color w:val="000000"/>
          <w:vertAlign w:val="superscript"/>
        </w:rPr>
        <w:t>5</w:t>
      </w:r>
      <w:r w:rsidRPr="003C7AFC">
        <w:rPr>
          <w:rFonts w:asciiTheme="majorBidi" w:hAnsiTheme="majorBidi" w:cstheme="majorBidi"/>
          <w:color w:val="000000"/>
        </w:rPr>
        <w:t>The average of four items rated on a 5-point scale (</w:t>
      </w:r>
      <w:proofErr w:type="gramStart"/>
      <w:r w:rsidRPr="003C7AFC">
        <w:rPr>
          <w:rFonts w:asciiTheme="majorBidi" w:hAnsiTheme="majorBidi" w:cstheme="majorBidi"/>
          <w:color w:val="000000"/>
        </w:rPr>
        <w:t>0=</w:t>
      </w:r>
      <w:proofErr w:type="gramEnd"/>
      <w:r w:rsidRPr="003C7AFC">
        <w:rPr>
          <w:rFonts w:asciiTheme="majorBidi" w:hAnsiTheme="majorBidi" w:cstheme="majorBidi"/>
          <w:i/>
          <w:iCs/>
          <w:color w:val="000000"/>
        </w:rPr>
        <w:t xml:space="preserve">completely disagree </w:t>
      </w:r>
      <w:r w:rsidRPr="003C7AFC">
        <w:rPr>
          <w:rFonts w:asciiTheme="majorBidi" w:hAnsiTheme="majorBidi" w:cstheme="majorBidi"/>
          <w:color w:val="000000"/>
        </w:rPr>
        <w:t>to 4=</w:t>
      </w:r>
      <w:r w:rsidRPr="003C7AFC">
        <w:rPr>
          <w:rFonts w:asciiTheme="majorBidi" w:hAnsiTheme="majorBidi" w:cstheme="majorBidi"/>
          <w:i/>
          <w:iCs/>
          <w:color w:val="000000"/>
        </w:rPr>
        <w:t xml:space="preserve">completely </w:t>
      </w:r>
      <w:r w:rsidRPr="003C7AFC">
        <w:rPr>
          <w:rFonts w:asciiTheme="majorBidi" w:hAnsiTheme="majorBidi" w:cstheme="majorBidi"/>
          <w:color w:val="000000"/>
        </w:rPr>
        <w:t>agree) referring to being focused on health, exercise and the experience of aging (e.g., “</w:t>
      </w:r>
      <w:r w:rsidRPr="003C7AFC">
        <w:rPr>
          <w:rFonts w:asciiTheme="majorBidi" w:hAnsiTheme="majorBidi" w:cstheme="majorBidi"/>
        </w:rPr>
        <w:t>My health is better than I expected for my age</w:t>
      </w:r>
      <w:r w:rsidRPr="003C7AFC">
        <w:rPr>
          <w:rFonts w:asciiTheme="majorBidi" w:hAnsiTheme="majorBidi" w:cstheme="majorBidi"/>
          <w:color w:val="000000"/>
        </w:rPr>
        <w:t xml:space="preserve">”). </w:t>
      </w:r>
      <w:r w:rsidRPr="003C7AFC">
        <w:rPr>
          <w:rFonts w:asciiTheme="majorBidi" w:hAnsiTheme="majorBidi" w:cstheme="majorBidi"/>
          <w:color w:val="000000"/>
          <w:vertAlign w:val="superscript"/>
        </w:rPr>
        <w:t>6</w:t>
      </w:r>
      <w:r w:rsidRPr="003C7AFC">
        <w:rPr>
          <w:rFonts w:asciiTheme="majorBidi" w:hAnsiTheme="majorBidi" w:cstheme="majorBidi"/>
          <w:color w:val="000000"/>
        </w:rPr>
        <w:t>The average of four items rated on a 5-point scale (</w:t>
      </w:r>
      <w:proofErr w:type="gramStart"/>
      <w:r w:rsidRPr="003C7AFC">
        <w:rPr>
          <w:rFonts w:asciiTheme="majorBidi" w:hAnsiTheme="majorBidi" w:cstheme="majorBidi"/>
          <w:color w:val="000000"/>
        </w:rPr>
        <w:t>0=</w:t>
      </w:r>
      <w:proofErr w:type="gramEnd"/>
      <w:r w:rsidRPr="003C7AFC">
        <w:rPr>
          <w:rFonts w:asciiTheme="majorBidi" w:hAnsiTheme="majorBidi" w:cstheme="majorBidi"/>
          <w:i/>
          <w:iCs/>
          <w:color w:val="000000"/>
        </w:rPr>
        <w:t xml:space="preserve">completely disagree </w:t>
      </w:r>
      <w:r w:rsidRPr="003C7AFC">
        <w:rPr>
          <w:rFonts w:asciiTheme="majorBidi" w:hAnsiTheme="majorBidi" w:cstheme="majorBidi"/>
          <w:color w:val="000000"/>
        </w:rPr>
        <w:t>to 4=</w:t>
      </w:r>
      <w:r w:rsidRPr="003C7AFC">
        <w:rPr>
          <w:rFonts w:asciiTheme="majorBidi" w:hAnsiTheme="majorBidi" w:cstheme="majorBidi"/>
          <w:i/>
          <w:iCs/>
          <w:color w:val="000000"/>
        </w:rPr>
        <w:t xml:space="preserve">completely </w:t>
      </w:r>
      <w:r w:rsidRPr="003C7AFC">
        <w:rPr>
          <w:rFonts w:asciiTheme="majorBidi" w:hAnsiTheme="majorBidi" w:cstheme="majorBidi"/>
          <w:color w:val="000000"/>
        </w:rPr>
        <w:t xml:space="preserve">agree) referring to positive gains that may have been a surprise about aging (e.g., “There are many pleasant things about growing older”). </w:t>
      </w:r>
      <w:r w:rsidRPr="003C7AFC">
        <w:rPr>
          <w:rFonts w:asciiTheme="majorBidi" w:hAnsiTheme="majorBidi" w:cstheme="majorBidi"/>
          <w:color w:val="000000"/>
          <w:vertAlign w:val="superscript"/>
        </w:rPr>
        <w:t>7</w:t>
      </w:r>
      <w:r w:rsidRPr="003C7AFC">
        <w:rPr>
          <w:rFonts w:asciiTheme="majorBidi" w:hAnsiTheme="majorBidi" w:cstheme="majorBidi"/>
          <w:color w:val="000000" w:themeColor="text1"/>
        </w:rPr>
        <w:t>The sum of</w:t>
      </w:r>
      <w:r>
        <w:rPr>
          <w:rFonts w:asciiTheme="majorBidi" w:hAnsiTheme="majorBidi" w:cstheme="majorBidi"/>
          <w:color w:val="000000" w:themeColor="text1"/>
        </w:rPr>
        <w:t xml:space="preserve"> four</w:t>
      </w:r>
      <w:r w:rsidRPr="003C7AFC">
        <w:rPr>
          <w:rFonts w:asciiTheme="majorBidi" w:hAnsiTheme="majorBidi" w:cstheme="majorBidi"/>
          <w:color w:val="000000" w:themeColor="text1"/>
        </w:rPr>
        <w:t xml:space="preserve"> </w:t>
      </w:r>
      <w:r w:rsidRPr="003C7AFC">
        <w:rPr>
          <w:rFonts w:asciiTheme="majorBidi" w:hAnsiTheme="majorBidi" w:cstheme="majorBidi"/>
        </w:rPr>
        <w:t>items rated on a 4-point scale (</w:t>
      </w:r>
      <w:proofErr w:type="gramStart"/>
      <w:r w:rsidRPr="003C7AFC">
        <w:rPr>
          <w:rFonts w:asciiTheme="majorBidi" w:hAnsiTheme="majorBidi" w:cstheme="majorBidi"/>
        </w:rPr>
        <w:t>0=</w:t>
      </w:r>
      <w:proofErr w:type="gramEnd"/>
      <w:r w:rsidRPr="003C7AFC">
        <w:rPr>
          <w:rFonts w:asciiTheme="majorBidi" w:hAnsiTheme="majorBidi" w:cstheme="majorBidi"/>
          <w:i/>
          <w:iCs/>
        </w:rPr>
        <w:t xml:space="preserve">not at all </w:t>
      </w:r>
      <w:r w:rsidRPr="003C7AFC">
        <w:rPr>
          <w:rFonts w:asciiTheme="majorBidi" w:hAnsiTheme="majorBidi" w:cstheme="majorBidi"/>
        </w:rPr>
        <w:t>to 3=</w:t>
      </w:r>
      <w:r w:rsidRPr="003C7AFC">
        <w:rPr>
          <w:rFonts w:asciiTheme="majorBidi" w:hAnsiTheme="majorBidi" w:cstheme="majorBidi"/>
          <w:i/>
          <w:iCs/>
        </w:rPr>
        <w:t>almost every day</w:t>
      </w:r>
      <w:r w:rsidRPr="003C7AFC">
        <w:rPr>
          <w:rFonts w:asciiTheme="majorBidi" w:hAnsiTheme="majorBidi" w:cstheme="majorBidi"/>
        </w:rPr>
        <w:t>) referring to anxiety and depressive symptoms in the last two weeks.</w:t>
      </w:r>
      <w:r w:rsidRPr="003C7AFC">
        <w:rPr>
          <w:rFonts w:asciiTheme="majorBidi" w:hAnsiTheme="majorBidi" w:cstheme="majorBidi"/>
          <w:color w:val="000000"/>
          <w:vertAlign w:val="superscript"/>
        </w:rPr>
        <w:t xml:space="preserve"> 8</w:t>
      </w:r>
      <w:r w:rsidRPr="003C7AFC">
        <w:rPr>
          <w:rFonts w:asciiTheme="majorBidi" w:hAnsiTheme="majorBidi" w:cstheme="majorBidi"/>
          <w:color w:val="000000" w:themeColor="text1"/>
        </w:rPr>
        <w:t xml:space="preserve">The sum of </w:t>
      </w:r>
      <w:r w:rsidRPr="003C7AFC">
        <w:rPr>
          <w:rFonts w:asciiTheme="majorBidi" w:hAnsiTheme="majorBidi" w:cstheme="majorBidi"/>
        </w:rPr>
        <w:t>the number of contact persons (i.e., children, grandchildren, other family relatives, friends, and others) the participant had interacted with in recent weeks via phone, video or face-to-face encounters</w:t>
      </w:r>
      <w:r w:rsidRPr="003C7AFC">
        <w:rPr>
          <w:rFonts w:asciiTheme="majorBidi" w:hAnsiTheme="majorBidi" w:cstheme="majorBidi"/>
          <w:color w:val="000000" w:themeColor="text1"/>
        </w:rPr>
        <w:t xml:space="preserve"> (possible range 0-5 for each interaction medium). </w:t>
      </w:r>
      <w:r w:rsidRPr="003C7AFC">
        <w:rPr>
          <w:rFonts w:asciiTheme="majorBidi" w:hAnsiTheme="majorBidi" w:cstheme="majorBidi"/>
          <w:color w:val="000000"/>
          <w:vertAlign w:val="superscript"/>
        </w:rPr>
        <w:t>9</w:t>
      </w:r>
      <w:r w:rsidRPr="003C7AFC">
        <w:rPr>
          <w:rFonts w:asciiTheme="majorBidi" w:hAnsiTheme="majorBidi" w:cstheme="majorBidi"/>
          <w:color w:val="000000" w:themeColor="text1"/>
        </w:rPr>
        <w:t xml:space="preserve">The average of </w:t>
      </w:r>
      <w:r>
        <w:rPr>
          <w:rFonts w:asciiTheme="majorBidi" w:hAnsiTheme="majorBidi" w:cstheme="majorBidi"/>
          <w:color w:val="000000" w:themeColor="text1"/>
        </w:rPr>
        <w:t>four</w:t>
      </w:r>
      <w:r w:rsidRPr="003C7AFC">
        <w:rPr>
          <w:rFonts w:asciiTheme="majorBidi" w:hAnsiTheme="majorBidi" w:cstheme="majorBidi"/>
          <w:color w:val="000000" w:themeColor="text1"/>
        </w:rPr>
        <w:t xml:space="preserve"> items rated on a 3-point scale (</w:t>
      </w:r>
      <w:proofErr w:type="gramStart"/>
      <w:r w:rsidRPr="003C7AFC">
        <w:rPr>
          <w:rFonts w:asciiTheme="majorBidi" w:hAnsiTheme="majorBidi" w:cstheme="majorBidi"/>
          <w:color w:val="000000" w:themeColor="text1"/>
        </w:rPr>
        <w:t>0=</w:t>
      </w:r>
      <w:proofErr w:type="gramEnd"/>
      <w:r w:rsidRPr="003C7AFC">
        <w:rPr>
          <w:rFonts w:asciiTheme="majorBidi" w:hAnsiTheme="majorBidi" w:cstheme="majorBidi"/>
          <w:i/>
          <w:iCs/>
          <w:color w:val="000000" w:themeColor="text1"/>
        </w:rPr>
        <w:t>not engaging or engaging but engagement does not help</w:t>
      </w:r>
      <w:r w:rsidRPr="003C7AFC">
        <w:rPr>
          <w:rFonts w:asciiTheme="majorBidi" w:hAnsiTheme="majorBidi" w:cstheme="majorBidi"/>
          <w:color w:val="000000" w:themeColor="text1"/>
        </w:rPr>
        <w:t>; 1=</w:t>
      </w:r>
      <w:r w:rsidRPr="003C7AFC">
        <w:rPr>
          <w:rFonts w:asciiTheme="majorBidi" w:hAnsiTheme="majorBidi" w:cstheme="majorBidi"/>
          <w:i/>
          <w:iCs/>
          <w:color w:val="000000" w:themeColor="text1"/>
        </w:rPr>
        <w:t>engaging helps to some extent</w:t>
      </w:r>
      <w:r w:rsidRPr="003C7AFC">
        <w:rPr>
          <w:rFonts w:asciiTheme="majorBidi" w:hAnsiTheme="majorBidi" w:cstheme="majorBidi"/>
          <w:color w:val="000000" w:themeColor="text1"/>
        </w:rPr>
        <w:t>; 2=</w:t>
      </w:r>
      <w:r w:rsidRPr="003C7AFC">
        <w:rPr>
          <w:rFonts w:asciiTheme="majorBidi" w:hAnsiTheme="majorBidi" w:cstheme="majorBidi"/>
          <w:i/>
          <w:iCs/>
          <w:color w:val="000000" w:themeColor="text1"/>
        </w:rPr>
        <w:t>engaging greatly helps</w:t>
      </w:r>
      <w:r w:rsidRPr="003C7AFC">
        <w:rPr>
          <w:rFonts w:asciiTheme="majorBidi" w:hAnsiTheme="majorBidi" w:cstheme="majorBidi"/>
        </w:rPr>
        <w:t xml:space="preserve">) referring to activities in the prior weeks: physical activity, leisure activities (e.g., reading, listening to music), daily planning, and executing their plans for the day. </w:t>
      </w:r>
      <w:r w:rsidRPr="003C7AFC">
        <w:rPr>
          <w:rFonts w:asciiTheme="majorBidi" w:hAnsiTheme="majorBidi" w:cstheme="majorBidi"/>
          <w:color w:val="000000"/>
          <w:vertAlign w:val="superscript"/>
        </w:rPr>
        <w:t>10</w:t>
      </w:r>
      <w:r w:rsidRPr="003C7AFC">
        <w:rPr>
          <w:rFonts w:asciiTheme="majorBidi" w:hAnsiTheme="majorBidi" w:cstheme="majorBidi"/>
          <w:color w:val="000000"/>
        </w:rPr>
        <w:t xml:space="preserve">Rated from </w:t>
      </w:r>
      <w:proofErr w:type="gramStart"/>
      <w:r w:rsidRPr="003C7AFC">
        <w:rPr>
          <w:rFonts w:asciiTheme="majorBidi" w:hAnsiTheme="majorBidi" w:cstheme="majorBidi"/>
          <w:color w:val="000000"/>
        </w:rPr>
        <w:t>1</w:t>
      </w:r>
      <w:proofErr w:type="gramEnd"/>
      <w:r w:rsidRPr="003C7AFC">
        <w:rPr>
          <w:rFonts w:asciiTheme="majorBidi" w:hAnsiTheme="majorBidi" w:cstheme="majorBidi"/>
          <w:color w:val="000000"/>
        </w:rPr>
        <w:t>, “</w:t>
      </w:r>
      <w:r w:rsidRPr="003C7AFC">
        <w:rPr>
          <w:rFonts w:asciiTheme="majorBidi" w:hAnsiTheme="majorBidi" w:cstheme="majorBidi"/>
          <w:i/>
          <w:iCs/>
          <w:color w:val="000000"/>
        </w:rPr>
        <w:t>without formal education</w:t>
      </w:r>
      <w:r w:rsidRPr="003C7AFC">
        <w:rPr>
          <w:rFonts w:asciiTheme="majorBidi" w:hAnsiTheme="majorBidi" w:cstheme="majorBidi"/>
          <w:color w:val="000000"/>
        </w:rPr>
        <w:t>” to 6, “</w:t>
      </w:r>
      <w:r w:rsidRPr="003C7AFC">
        <w:rPr>
          <w:rFonts w:asciiTheme="majorBidi" w:hAnsiTheme="majorBidi" w:cstheme="majorBidi"/>
          <w:i/>
          <w:iCs/>
          <w:color w:val="000000"/>
        </w:rPr>
        <w:t>formal university degree</w:t>
      </w:r>
      <w:r w:rsidRPr="003C7AFC">
        <w:rPr>
          <w:rFonts w:asciiTheme="majorBidi" w:hAnsiTheme="majorBidi" w:cstheme="majorBidi"/>
        </w:rPr>
        <w:t xml:space="preserve">. </w:t>
      </w:r>
      <w:r w:rsidRPr="003C7AFC">
        <w:rPr>
          <w:rFonts w:asciiTheme="majorBidi" w:hAnsiTheme="majorBidi" w:cstheme="majorBidi"/>
          <w:vertAlign w:val="superscript"/>
        </w:rPr>
        <w:t>11</w:t>
      </w:r>
      <w:r w:rsidRPr="003C7AFC">
        <w:rPr>
          <w:rFonts w:asciiTheme="majorBidi" w:hAnsiTheme="majorBidi" w:cstheme="majorBidi"/>
        </w:rPr>
        <w:t>R</w:t>
      </w:r>
      <w:r w:rsidRPr="003C7AFC">
        <w:rPr>
          <w:rFonts w:asciiTheme="majorBidi" w:hAnsiTheme="majorBidi" w:cstheme="majorBidi"/>
          <w:color w:val="000000"/>
        </w:rPr>
        <w:t xml:space="preserve">ated from </w:t>
      </w:r>
      <w:proofErr w:type="gramStart"/>
      <w:r w:rsidRPr="003C7AFC">
        <w:rPr>
          <w:rFonts w:asciiTheme="majorBidi" w:hAnsiTheme="majorBidi" w:cstheme="majorBidi"/>
          <w:color w:val="000000"/>
        </w:rPr>
        <w:t>1</w:t>
      </w:r>
      <w:proofErr w:type="gramEnd"/>
      <w:r w:rsidRPr="003C7AFC">
        <w:rPr>
          <w:rFonts w:asciiTheme="majorBidi" w:hAnsiTheme="majorBidi" w:cstheme="majorBidi"/>
          <w:color w:val="000000"/>
        </w:rPr>
        <w:t>, “</w:t>
      </w:r>
      <w:r w:rsidRPr="003C7AFC">
        <w:rPr>
          <w:rFonts w:asciiTheme="majorBidi" w:hAnsiTheme="majorBidi" w:cstheme="majorBidi"/>
          <w:i/>
          <w:iCs/>
          <w:color w:val="000000"/>
        </w:rPr>
        <w:t>not good at all</w:t>
      </w:r>
      <w:r w:rsidRPr="003C7AFC">
        <w:rPr>
          <w:rFonts w:asciiTheme="majorBidi" w:hAnsiTheme="majorBidi" w:cstheme="majorBidi"/>
          <w:color w:val="000000"/>
        </w:rPr>
        <w:t>” to 5, “</w:t>
      </w:r>
      <w:r w:rsidRPr="003C7AFC">
        <w:rPr>
          <w:rFonts w:asciiTheme="majorBidi" w:hAnsiTheme="majorBidi" w:cstheme="majorBidi"/>
          <w:i/>
          <w:iCs/>
          <w:color w:val="000000"/>
        </w:rPr>
        <w:t>very good".</w:t>
      </w:r>
      <w:r w:rsidRPr="003C7AFC">
        <w:rPr>
          <w:rFonts w:asciiTheme="majorBidi" w:hAnsiTheme="majorBidi" w:cstheme="majorBidi"/>
        </w:rPr>
        <w:t xml:space="preserve"> </w:t>
      </w:r>
      <w:r w:rsidRPr="003C7AFC">
        <w:rPr>
          <w:rFonts w:asciiTheme="majorBidi" w:hAnsiTheme="majorBidi" w:cstheme="majorBidi"/>
          <w:color w:val="000000"/>
          <w:vertAlign w:val="superscript"/>
        </w:rPr>
        <w:t>12</w:t>
      </w:r>
      <w:r w:rsidRPr="003C7AFC">
        <w:rPr>
          <w:rFonts w:asciiTheme="majorBidi" w:hAnsiTheme="majorBidi" w:cstheme="majorBidi"/>
          <w:color w:val="000000"/>
        </w:rPr>
        <w:t xml:space="preserve">Rated as </w:t>
      </w:r>
      <w:proofErr w:type="gramStart"/>
      <w:r w:rsidRPr="003C7AFC">
        <w:rPr>
          <w:rFonts w:asciiTheme="majorBidi" w:hAnsiTheme="majorBidi" w:cstheme="majorBidi"/>
          <w:color w:val="000000"/>
        </w:rPr>
        <w:t>0=</w:t>
      </w:r>
      <w:proofErr w:type="gramEnd"/>
      <w:r w:rsidRPr="003C7AFC">
        <w:rPr>
          <w:rFonts w:asciiTheme="majorBidi" w:hAnsiTheme="majorBidi" w:cstheme="majorBidi"/>
          <w:color w:val="000000"/>
        </w:rPr>
        <w:t>community dwelling; 1=retirement home. AAQ</w:t>
      </w:r>
      <w:r w:rsidRPr="003C7AFC">
        <w:rPr>
          <w:rFonts w:asciiTheme="majorBidi" w:hAnsiTheme="majorBidi" w:cstheme="majorBidi"/>
        </w:rPr>
        <w:t xml:space="preserve">= </w:t>
      </w:r>
      <w:r w:rsidRPr="003C7AFC">
        <w:rPr>
          <w:rFonts w:asciiTheme="majorBidi" w:hAnsiTheme="majorBidi" w:cstheme="majorBidi"/>
          <w:color w:val="000000"/>
        </w:rPr>
        <w:t xml:space="preserve">Attitudes to Aging Questionnaire. </w:t>
      </w:r>
      <w:r w:rsidRPr="003C7AFC">
        <w:rPr>
          <w:rFonts w:asciiTheme="majorBidi" w:hAnsiTheme="majorBidi" w:cstheme="majorBidi"/>
        </w:rPr>
        <w:t>*</w:t>
      </w:r>
      <w:r w:rsidRPr="003C7AFC">
        <w:rPr>
          <w:rFonts w:asciiTheme="majorBidi" w:hAnsiTheme="majorBidi" w:cstheme="majorBidi"/>
          <w:i/>
          <w:iCs/>
        </w:rPr>
        <w:t>p</w:t>
      </w:r>
      <w:r w:rsidRPr="003C7AFC">
        <w:rPr>
          <w:rFonts w:asciiTheme="majorBidi" w:hAnsiTheme="majorBidi" w:cstheme="majorBidi"/>
        </w:rPr>
        <w:t>&lt;.05, **</w:t>
      </w:r>
      <w:r w:rsidRPr="003C7AFC">
        <w:rPr>
          <w:rFonts w:asciiTheme="majorBidi" w:hAnsiTheme="majorBidi" w:cstheme="majorBidi"/>
          <w:i/>
          <w:iCs/>
        </w:rPr>
        <w:t>p</w:t>
      </w:r>
      <w:r w:rsidRPr="003C7AFC">
        <w:rPr>
          <w:rFonts w:asciiTheme="majorBidi" w:hAnsiTheme="majorBidi" w:cstheme="majorBidi"/>
        </w:rPr>
        <w:t>&lt;.01, ***</w:t>
      </w:r>
      <w:r w:rsidRPr="003C7AFC">
        <w:rPr>
          <w:rFonts w:asciiTheme="majorBidi" w:hAnsiTheme="majorBidi" w:cstheme="majorBidi"/>
          <w:i/>
          <w:iCs/>
        </w:rPr>
        <w:t>p</w:t>
      </w:r>
      <w:r>
        <w:rPr>
          <w:rFonts w:asciiTheme="majorBidi" w:hAnsiTheme="majorBidi" w:cstheme="majorBidi"/>
        </w:rPr>
        <w:t>&lt;.001.</w:t>
      </w:r>
    </w:p>
    <w:sectPr w:rsidR="00BF6707" w:rsidRPr="00647779" w:rsidSect="008878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4D" w:rsidRDefault="00BE4A4D" w:rsidP="00BC4A7E">
      <w:pPr>
        <w:spacing w:after="0" w:line="240" w:lineRule="auto"/>
      </w:pPr>
      <w:r>
        <w:separator/>
      </w:r>
    </w:p>
  </w:endnote>
  <w:endnote w:type="continuationSeparator" w:id="0">
    <w:p w:rsidR="00BE4A4D" w:rsidRDefault="00BE4A4D" w:rsidP="00BC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4D" w:rsidRDefault="00BE4A4D" w:rsidP="00BC4A7E">
      <w:pPr>
        <w:spacing w:after="0" w:line="240" w:lineRule="auto"/>
      </w:pPr>
      <w:r>
        <w:separator/>
      </w:r>
    </w:p>
  </w:footnote>
  <w:footnote w:type="continuationSeparator" w:id="0">
    <w:p w:rsidR="00BE4A4D" w:rsidRDefault="00BE4A4D" w:rsidP="00BC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15714853"/>
      <w:docPartObj>
        <w:docPartGallery w:val="Page Numbers (Top of Page)"/>
        <w:docPartUnique/>
      </w:docPartObj>
    </w:sdtPr>
    <w:sdtEndPr/>
    <w:sdtContent>
      <w:p w:rsidR="00BC4A7E" w:rsidRDefault="00BC4A7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70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BC4A7E" w:rsidRDefault="00BC4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FC"/>
    <w:rsid w:val="00001E52"/>
    <w:rsid w:val="000037DD"/>
    <w:rsid w:val="000044B2"/>
    <w:rsid w:val="0002009E"/>
    <w:rsid w:val="00025359"/>
    <w:rsid w:val="000320AD"/>
    <w:rsid w:val="000407D8"/>
    <w:rsid w:val="00057732"/>
    <w:rsid w:val="00072521"/>
    <w:rsid w:val="000A4371"/>
    <w:rsid w:val="000C5A9D"/>
    <w:rsid w:val="000D2991"/>
    <w:rsid w:val="000F677D"/>
    <w:rsid w:val="00106076"/>
    <w:rsid w:val="0011089A"/>
    <w:rsid w:val="00113FBC"/>
    <w:rsid w:val="00130073"/>
    <w:rsid w:val="00137404"/>
    <w:rsid w:val="0014130F"/>
    <w:rsid w:val="00142E19"/>
    <w:rsid w:val="001532D1"/>
    <w:rsid w:val="00154215"/>
    <w:rsid w:val="00157625"/>
    <w:rsid w:val="00164F40"/>
    <w:rsid w:val="00167039"/>
    <w:rsid w:val="00175AFC"/>
    <w:rsid w:val="00194F54"/>
    <w:rsid w:val="001B1BA9"/>
    <w:rsid w:val="001E31D4"/>
    <w:rsid w:val="00201550"/>
    <w:rsid w:val="00215740"/>
    <w:rsid w:val="00225803"/>
    <w:rsid w:val="00240E50"/>
    <w:rsid w:val="002538F9"/>
    <w:rsid w:val="00255A0B"/>
    <w:rsid w:val="002673B7"/>
    <w:rsid w:val="00272E2C"/>
    <w:rsid w:val="002A10E8"/>
    <w:rsid w:val="002C1A72"/>
    <w:rsid w:val="002E058D"/>
    <w:rsid w:val="002F42DD"/>
    <w:rsid w:val="002F54AB"/>
    <w:rsid w:val="00311843"/>
    <w:rsid w:val="00311955"/>
    <w:rsid w:val="00327648"/>
    <w:rsid w:val="003409C1"/>
    <w:rsid w:val="003508BA"/>
    <w:rsid w:val="003876D9"/>
    <w:rsid w:val="00387BFD"/>
    <w:rsid w:val="003B3400"/>
    <w:rsid w:val="003C7AFC"/>
    <w:rsid w:val="003D1465"/>
    <w:rsid w:val="003E2187"/>
    <w:rsid w:val="00402FE4"/>
    <w:rsid w:val="00403615"/>
    <w:rsid w:val="00405425"/>
    <w:rsid w:val="0041359A"/>
    <w:rsid w:val="00417667"/>
    <w:rsid w:val="00421A78"/>
    <w:rsid w:val="004259ED"/>
    <w:rsid w:val="004433BA"/>
    <w:rsid w:val="00450E18"/>
    <w:rsid w:val="00454152"/>
    <w:rsid w:val="00460F7D"/>
    <w:rsid w:val="00461E18"/>
    <w:rsid w:val="00462F4E"/>
    <w:rsid w:val="00463353"/>
    <w:rsid w:val="004872F3"/>
    <w:rsid w:val="004A7DF3"/>
    <w:rsid w:val="004B73F8"/>
    <w:rsid w:val="004F48F4"/>
    <w:rsid w:val="00502EC9"/>
    <w:rsid w:val="00512BBD"/>
    <w:rsid w:val="005215E4"/>
    <w:rsid w:val="0053141C"/>
    <w:rsid w:val="005359D5"/>
    <w:rsid w:val="00544948"/>
    <w:rsid w:val="00574CBC"/>
    <w:rsid w:val="00597942"/>
    <w:rsid w:val="005C0308"/>
    <w:rsid w:val="0060573D"/>
    <w:rsid w:val="00607277"/>
    <w:rsid w:val="006405C3"/>
    <w:rsid w:val="00652A8A"/>
    <w:rsid w:val="00655204"/>
    <w:rsid w:val="00660D67"/>
    <w:rsid w:val="006610E7"/>
    <w:rsid w:val="00664D58"/>
    <w:rsid w:val="00670EF5"/>
    <w:rsid w:val="0068627D"/>
    <w:rsid w:val="00690170"/>
    <w:rsid w:val="00694494"/>
    <w:rsid w:val="0069664D"/>
    <w:rsid w:val="006B36CD"/>
    <w:rsid w:val="006B509D"/>
    <w:rsid w:val="006D59D7"/>
    <w:rsid w:val="006F42FE"/>
    <w:rsid w:val="00701E0C"/>
    <w:rsid w:val="00704849"/>
    <w:rsid w:val="00712A41"/>
    <w:rsid w:val="00713BD4"/>
    <w:rsid w:val="007219D4"/>
    <w:rsid w:val="00730331"/>
    <w:rsid w:val="00732B66"/>
    <w:rsid w:val="00770A87"/>
    <w:rsid w:val="00772884"/>
    <w:rsid w:val="0078705C"/>
    <w:rsid w:val="007B557C"/>
    <w:rsid w:val="007C2304"/>
    <w:rsid w:val="007C4555"/>
    <w:rsid w:val="007C577C"/>
    <w:rsid w:val="007C5AD7"/>
    <w:rsid w:val="007E09BB"/>
    <w:rsid w:val="008167C2"/>
    <w:rsid w:val="00835732"/>
    <w:rsid w:val="00847DFF"/>
    <w:rsid w:val="0085088E"/>
    <w:rsid w:val="00851D28"/>
    <w:rsid w:val="00860E08"/>
    <w:rsid w:val="008730DD"/>
    <w:rsid w:val="00875B7B"/>
    <w:rsid w:val="008878F9"/>
    <w:rsid w:val="008A1435"/>
    <w:rsid w:val="008B23EF"/>
    <w:rsid w:val="008B6B69"/>
    <w:rsid w:val="008B7D5E"/>
    <w:rsid w:val="008E5A70"/>
    <w:rsid w:val="008F7809"/>
    <w:rsid w:val="00902AC5"/>
    <w:rsid w:val="009038E0"/>
    <w:rsid w:val="00940F6A"/>
    <w:rsid w:val="00943196"/>
    <w:rsid w:val="0094375C"/>
    <w:rsid w:val="009523CB"/>
    <w:rsid w:val="009851E4"/>
    <w:rsid w:val="009A695A"/>
    <w:rsid w:val="009D4C43"/>
    <w:rsid w:val="009E1E28"/>
    <w:rsid w:val="009E57E9"/>
    <w:rsid w:val="00A0436A"/>
    <w:rsid w:val="00A06163"/>
    <w:rsid w:val="00A07145"/>
    <w:rsid w:val="00A4292B"/>
    <w:rsid w:val="00A51234"/>
    <w:rsid w:val="00A7118E"/>
    <w:rsid w:val="00A71BAA"/>
    <w:rsid w:val="00A85F1E"/>
    <w:rsid w:val="00AA58BE"/>
    <w:rsid w:val="00AB2872"/>
    <w:rsid w:val="00AE149B"/>
    <w:rsid w:val="00AF0FA7"/>
    <w:rsid w:val="00AF2A49"/>
    <w:rsid w:val="00B01211"/>
    <w:rsid w:val="00B01EF0"/>
    <w:rsid w:val="00B01FF5"/>
    <w:rsid w:val="00B0441A"/>
    <w:rsid w:val="00B10808"/>
    <w:rsid w:val="00B13A31"/>
    <w:rsid w:val="00B2263F"/>
    <w:rsid w:val="00B36C04"/>
    <w:rsid w:val="00B5565F"/>
    <w:rsid w:val="00B635D5"/>
    <w:rsid w:val="00B74BEA"/>
    <w:rsid w:val="00B83FFE"/>
    <w:rsid w:val="00B93C13"/>
    <w:rsid w:val="00B96A05"/>
    <w:rsid w:val="00BA6FCC"/>
    <w:rsid w:val="00BB6876"/>
    <w:rsid w:val="00BB7CE0"/>
    <w:rsid w:val="00BC4A7E"/>
    <w:rsid w:val="00BC6576"/>
    <w:rsid w:val="00BC7E21"/>
    <w:rsid w:val="00BD1364"/>
    <w:rsid w:val="00BE4A4D"/>
    <w:rsid w:val="00BE58D9"/>
    <w:rsid w:val="00BF6707"/>
    <w:rsid w:val="00C06133"/>
    <w:rsid w:val="00C0756A"/>
    <w:rsid w:val="00C235DB"/>
    <w:rsid w:val="00C35D1C"/>
    <w:rsid w:val="00C910A5"/>
    <w:rsid w:val="00C91B61"/>
    <w:rsid w:val="00C93FDB"/>
    <w:rsid w:val="00CB06C1"/>
    <w:rsid w:val="00CC32A2"/>
    <w:rsid w:val="00CC3474"/>
    <w:rsid w:val="00CE0418"/>
    <w:rsid w:val="00CE270D"/>
    <w:rsid w:val="00CF22B4"/>
    <w:rsid w:val="00D002ED"/>
    <w:rsid w:val="00D11AB5"/>
    <w:rsid w:val="00D374FD"/>
    <w:rsid w:val="00D51DEA"/>
    <w:rsid w:val="00D57AE7"/>
    <w:rsid w:val="00D6431A"/>
    <w:rsid w:val="00D77618"/>
    <w:rsid w:val="00D95F34"/>
    <w:rsid w:val="00DA5C5A"/>
    <w:rsid w:val="00DB3476"/>
    <w:rsid w:val="00DB620F"/>
    <w:rsid w:val="00DE0DFC"/>
    <w:rsid w:val="00E11505"/>
    <w:rsid w:val="00E140D5"/>
    <w:rsid w:val="00E16D85"/>
    <w:rsid w:val="00E20554"/>
    <w:rsid w:val="00E30F1B"/>
    <w:rsid w:val="00E5265D"/>
    <w:rsid w:val="00E7514B"/>
    <w:rsid w:val="00E8512A"/>
    <w:rsid w:val="00E905A6"/>
    <w:rsid w:val="00E94980"/>
    <w:rsid w:val="00EA1C92"/>
    <w:rsid w:val="00EA1E7E"/>
    <w:rsid w:val="00EB03B8"/>
    <w:rsid w:val="00EF4923"/>
    <w:rsid w:val="00F011B0"/>
    <w:rsid w:val="00F16BF1"/>
    <w:rsid w:val="00F209AA"/>
    <w:rsid w:val="00F234C8"/>
    <w:rsid w:val="00F415DF"/>
    <w:rsid w:val="00F47F3B"/>
    <w:rsid w:val="00F517CF"/>
    <w:rsid w:val="00F536CF"/>
    <w:rsid w:val="00F54449"/>
    <w:rsid w:val="00F672C2"/>
    <w:rsid w:val="00F81551"/>
    <w:rsid w:val="00F85958"/>
    <w:rsid w:val="00FB5A4E"/>
    <w:rsid w:val="00FC61D5"/>
    <w:rsid w:val="00FC6F88"/>
    <w:rsid w:val="00FD5866"/>
    <w:rsid w:val="00FD6961"/>
    <w:rsid w:val="00FD7ACE"/>
    <w:rsid w:val="00FE63CB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73EE1-E3F3-492C-8950-D54A65F8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A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A7E"/>
  </w:style>
  <w:style w:type="paragraph" w:styleId="Footer">
    <w:name w:val="footer"/>
    <w:basedOn w:val="Normal"/>
    <w:link w:val="FooterChar"/>
    <w:uiPriority w:val="99"/>
    <w:unhideWhenUsed/>
    <w:rsid w:val="00BC4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698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Shrira</dc:creator>
  <cp:keywords/>
  <dc:description/>
  <cp:lastModifiedBy>Amit Shrira</cp:lastModifiedBy>
  <cp:revision>4</cp:revision>
  <dcterms:created xsi:type="dcterms:W3CDTF">2020-08-28T08:33:00Z</dcterms:created>
  <dcterms:modified xsi:type="dcterms:W3CDTF">2020-09-24T12:34:00Z</dcterms:modified>
</cp:coreProperties>
</file>