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4CFD2" w14:textId="0F2E6B67" w:rsidR="006502CC" w:rsidRPr="00D46289" w:rsidRDefault="004E1E60" w:rsidP="00D46289">
      <w:pPr>
        <w:spacing w:after="0"/>
        <w:ind w:left="-426"/>
        <w:rPr>
          <w:b/>
        </w:rPr>
      </w:pPr>
      <w:r>
        <w:rPr>
          <w:b/>
        </w:rPr>
        <w:t>Supplementary</w:t>
      </w:r>
      <w:r w:rsidR="00A24CCB">
        <w:rPr>
          <w:b/>
        </w:rPr>
        <w:t xml:space="preserve"> t</w:t>
      </w:r>
      <w:r w:rsidR="000210F9" w:rsidRPr="00D46289">
        <w:rPr>
          <w:b/>
        </w:rPr>
        <w:t xml:space="preserve">able </w:t>
      </w:r>
      <w:r>
        <w:rPr>
          <w:b/>
        </w:rPr>
        <w:t>A</w:t>
      </w:r>
      <w:r w:rsidR="000210F9" w:rsidRPr="00D46289">
        <w:rPr>
          <w:b/>
        </w:rPr>
        <w:t xml:space="preserve">. </w:t>
      </w:r>
      <w:r w:rsidR="006502CC" w:rsidRPr="00D46289">
        <w:rPr>
          <w:b/>
        </w:rPr>
        <w:t>Standards for Reporting Qualitative Research (SRQR)</w:t>
      </w:r>
      <w:r w:rsidR="005D69E0" w:rsidRPr="00D46289">
        <w:rPr>
          <w:b/>
        </w:rPr>
        <w:fldChar w:fldCharType="begin">
          <w:fldData xml:space="preserve">PEVuZE5vdGU+PENpdGU+PEF1dGhvcj5PJmFwb3M7QnJpZW48L0F1dGhvcj48WWVhcj4yMDE0PC9Z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</w:fldData>
        </w:fldChar>
      </w:r>
      <w:r w:rsidR="005D69E0" w:rsidRPr="00D46289">
        <w:rPr>
          <w:b/>
        </w:rPr>
        <w:instrText xml:space="preserve"> ADDIN EN.CITE </w:instrText>
      </w:r>
      <w:r w:rsidR="005D69E0" w:rsidRPr="00D46289">
        <w:rPr>
          <w:b/>
        </w:rPr>
        <w:fldChar w:fldCharType="begin">
          <w:fldData xml:space="preserve">PEVuZE5vdGU+PENpdGU+PEF1dGhvcj5PJmFwb3M7QnJpZW48L0F1dGhvcj48WWVhcj4yMDE0PC9Z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</w:fldData>
        </w:fldChar>
      </w:r>
      <w:r w:rsidR="005D69E0" w:rsidRPr="00D46289">
        <w:rPr>
          <w:b/>
        </w:rPr>
        <w:instrText xml:space="preserve"> ADDIN EN.CITE.DATA </w:instrText>
      </w:r>
      <w:r w:rsidR="005D69E0" w:rsidRPr="00D46289">
        <w:rPr>
          <w:b/>
        </w:rPr>
      </w:r>
      <w:r w:rsidR="005D69E0" w:rsidRPr="00D46289">
        <w:rPr>
          <w:b/>
        </w:rPr>
        <w:fldChar w:fldCharType="end"/>
      </w:r>
      <w:r w:rsidR="005D69E0" w:rsidRPr="00D46289">
        <w:rPr>
          <w:b/>
        </w:rPr>
      </w:r>
      <w:r w:rsidR="005D69E0" w:rsidRPr="00D46289">
        <w:rPr>
          <w:b/>
        </w:rPr>
        <w:fldChar w:fldCharType="separate"/>
      </w:r>
      <w:r w:rsidR="005D69E0" w:rsidRPr="00D46289">
        <w:rPr>
          <w:b/>
          <w:noProof/>
          <w:vertAlign w:val="superscript"/>
        </w:rPr>
        <w:t>1</w:t>
      </w:r>
      <w:r w:rsidR="005D69E0" w:rsidRPr="00D46289">
        <w:rPr>
          <w:b/>
        </w:rPr>
        <w:fldChar w:fldCharType="end"/>
      </w:r>
      <w:r w:rsidR="00C20D5E">
        <w:rPr>
          <w:b/>
        </w:rPr>
        <w:t xml:space="preserve"> Checklist</w:t>
      </w:r>
    </w:p>
    <w:p w14:paraId="6F358B92" w14:textId="77777777" w:rsidR="006502CC" w:rsidRDefault="006502CC"/>
    <w:tbl>
      <w:tblPr>
        <w:tblStyle w:val="GridTable2-Accent1"/>
        <w:tblW w:w="1516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394"/>
        <w:gridCol w:w="8533"/>
        <w:gridCol w:w="1248"/>
      </w:tblGrid>
      <w:tr w:rsidR="006502CC" w14:paraId="3DBB5467" w14:textId="77777777" w:rsidTr="000210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4384989" w14:textId="77777777" w:rsidR="006502CC" w:rsidRDefault="006502CC">
            <w:r>
              <w:t>No</w:t>
            </w:r>
          </w:p>
        </w:tc>
        <w:tc>
          <w:tcPr>
            <w:tcW w:w="43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E6A0362" w14:textId="77777777" w:rsidR="006502CC" w:rsidRDefault="006502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Topic</w:t>
            </w:r>
          </w:p>
        </w:tc>
        <w:tc>
          <w:tcPr>
            <w:tcW w:w="85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4108EC2" w14:textId="77777777" w:rsidR="006502CC" w:rsidRDefault="006502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Item</w:t>
            </w:r>
          </w:p>
        </w:tc>
        <w:tc>
          <w:tcPr>
            <w:tcW w:w="124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A417F3E" w14:textId="77777777" w:rsidR="006502CC" w:rsidRDefault="006502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Reported on Page No</w:t>
            </w:r>
          </w:p>
        </w:tc>
      </w:tr>
      <w:tr w:rsidR="006502CC" w14:paraId="667DA331" w14:textId="77777777" w:rsidTr="00021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56A1B607" w14:textId="77777777" w:rsidR="006502CC" w:rsidRDefault="006502CC"/>
        </w:tc>
        <w:tc>
          <w:tcPr>
            <w:tcW w:w="4394" w:type="dxa"/>
          </w:tcPr>
          <w:p w14:paraId="14D116BE" w14:textId="77777777" w:rsidR="006502CC" w:rsidRPr="00D46289" w:rsidRDefault="000210F9" w:rsidP="000210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46289">
              <w:rPr>
                <w:b/>
              </w:rPr>
              <w:t>Title and abstract</w:t>
            </w:r>
          </w:p>
        </w:tc>
        <w:tc>
          <w:tcPr>
            <w:tcW w:w="8533" w:type="dxa"/>
          </w:tcPr>
          <w:p w14:paraId="34623597" w14:textId="77777777" w:rsidR="006502CC" w:rsidRPr="005D69E0" w:rsidRDefault="006502CC" w:rsidP="005D69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1"/>
                <w:szCs w:val="21"/>
                <w:lang w:eastAsia="en-AU"/>
              </w:rPr>
            </w:pPr>
          </w:p>
        </w:tc>
        <w:tc>
          <w:tcPr>
            <w:tcW w:w="1248" w:type="dxa"/>
          </w:tcPr>
          <w:p w14:paraId="36AEAF08" w14:textId="77777777" w:rsidR="006502CC" w:rsidRDefault="006502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502CC" w14:paraId="04718C6B" w14:textId="77777777" w:rsidTr="000210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7CEA6E1B" w14:textId="77777777" w:rsidR="006502CC" w:rsidRDefault="005D69E0">
            <w:r>
              <w:t>S1</w:t>
            </w:r>
          </w:p>
        </w:tc>
        <w:tc>
          <w:tcPr>
            <w:tcW w:w="4394" w:type="dxa"/>
          </w:tcPr>
          <w:p w14:paraId="488F03CF" w14:textId="77777777" w:rsidR="006502CC" w:rsidRDefault="005D69E0" w:rsidP="005D69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Title</w:t>
            </w:r>
          </w:p>
        </w:tc>
        <w:tc>
          <w:tcPr>
            <w:tcW w:w="8533" w:type="dxa"/>
          </w:tcPr>
          <w:p w14:paraId="3191FBBC" w14:textId="77777777" w:rsidR="006502CC" w:rsidRDefault="005D69E0" w:rsidP="005D69E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5D69E0">
              <w:rPr>
                <w:lang w:eastAsia="en-AU"/>
              </w:rPr>
              <w:t>Concise description of the nature and</w:t>
            </w:r>
            <w:r>
              <w:rPr>
                <w:lang w:eastAsia="en-AU"/>
              </w:rPr>
              <w:t xml:space="preserve"> topic of the study Identify</w:t>
            </w:r>
            <w:r w:rsidR="000210F9">
              <w:rPr>
                <w:lang w:eastAsia="en-AU"/>
              </w:rPr>
              <w:t xml:space="preserve"> </w:t>
            </w:r>
            <w:r>
              <w:rPr>
                <w:lang w:eastAsia="en-AU"/>
              </w:rPr>
              <w:t>in</w:t>
            </w:r>
            <w:r w:rsidR="000210F9">
              <w:rPr>
                <w:lang w:eastAsia="en-AU"/>
              </w:rPr>
              <w:t xml:space="preserve"> </w:t>
            </w:r>
            <w:r w:rsidRPr="005D69E0">
              <w:rPr>
                <w:lang w:eastAsia="en-AU"/>
              </w:rPr>
              <w:t>the study as qualitative or indicating the approach (e.g., ethnography, grounded theory) or data collection methods (e.g., interview, focus group) is recommended</w:t>
            </w:r>
          </w:p>
        </w:tc>
        <w:tc>
          <w:tcPr>
            <w:tcW w:w="1248" w:type="dxa"/>
          </w:tcPr>
          <w:p w14:paraId="4873257A" w14:textId="3495F5B2" w:rsidR="006502CC" w:rsidRDefault="00937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</w:tr>
      <w:tr w:rsidR="006502CC" w14:paraId="5D7DD3E2" w14:textId="77777777" w:rsidTr="00021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14:paraId="1324A935" w14:textId="77777777" w:rsidR="006502CC" w:rsidRDefault="005D69E0">
            <w:r>
              <w:t>S2</w:t>
            </w:r>
          </w:p>
        </w:tc>
        <w:tc>
          <w:tcPr>
            <w:tcW w:w="4394" w:type="dxa"/>
            <w:shd w:val="clear" w:color="auto" w:fill="auto"/>
          </w:tcPr>
          <w:p w14:paraId="007C22E9" w14:textId="77777777" w:rsidR="006502CC" w:rsidRDefault="005D69E0" w:rsidP="005D69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Abstract</w:t>
            </w:r>
          </w:p>
        </w:tc>
        <w:tc>
          <w:tcPr>
            <w:tcW w:w="8533" w:type="dxa"/>
            <w:shd w:val="clear" w:color="auto" w:fill="auto"/>
          </w:tcPr>
          <w:p w14:paraId="3553F127" w14:textId="77777777" w:rsidR="006502CC" w:rsidRPr="005D69E0" w:rsidRDefault="005D69E0" w:rsidP="005D69E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5D69E0">
              <w:rPr>
                <w:lang w:eastAsia="en-AU"/>
              </w:rPr>
              <w:t>Summary of key elements of the study using the abstract format of the intended publication; typically includes background, purpose, methods, results, and conclusions</w:t>
            </w:r>
          </w:p>
        </w:tc>
        <w:tc>
          <w:tcPr>
            <w:tcW w:w="1248" w:type="dxa"/>
            <w:shd w:val="clear" w:color="auto" w:fill="auto"/>
          </w:tcPr>
          <w:p w14:paraId="70573AF6" w14:textId="7DDE6940" w:rsidR="006502CC" w:rsidRDefault="002D6C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</w:tr>
      <w:tr w:rsidR="006502CC" w14:paraId="51D4D0EC" w14:textId="77777777" w:rsidTr="000210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DEEAF6" w:themeFill="accent1" w:themeFillTint="33"/>
          </w:tcPr>
          <w:p w14:paraId="3F366589" w14:textId="77777777" w:rsidR="006502CC" w:rsidRDefault="006502CC"/>
        </w:tc>
        <w:tc>
          <w:tcPr>
            <w:tcW w:w="4394" w:type="dxa"/>
            <w:shd w:val="clear" w:color="auto" w:fill="DEEAF6" w:themeFill="accent1" w:themeFillTint="33"/>
          </w:tcPr>
          <w:p w14:paraId="24E209D8" w14:textId="77777777" w:rsidR="006502CC" w:rsidRPr="00D46289" w:rsidRDefault="005D69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46289">
              <w:rPr>
                <w:b/>
              </w:rPr>
              <w:t>Introduction</w:t>
            </w:r>
          </w:p>
        </w:tc>
        <w:tc>
          <w:tcPr>
            <w:tcW w:w="8533" w:type="dxa"/>
            <w:shd w:val="clear" w:color="auto" w:fill="DEEAF6" w:themeFill="accent1" w:themeFillTint="33"/>
          </w:tcPr>
          <w:p w14:paraId="0EA06B7A" w14:textId="77777777" w:rsidR="006502CC" w:rsidRDefault="006502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8" w:type="dxa"/>
            <w:shd w:val="clear" w:color="auto" w:fill="DEEAF6" w:themeFill="accent1" w:themeFillTint="33"/>
          </w:tcPr>
          <w:p w14:paraId="3B47F027" w14:textId="77777777" w:rsidR="006502CC" w:rsidRDefault="006502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46289" w14:paraId="07F97C15" w14:textId="77777777" w:rsidTr="00021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14:paraId="6C5FD5E2" w14:textId="77777777" w:rsidR="006502CC" w:rsidRDefault="005D69E0">
            <w:r>
              <w:t>S3</w:t>
            </w:r>
          </w:p>
        </w:tc>
        <w:tc>
          <w:tcPr>
            <w:tcW w:w="4394" w:type="dxa"/>
            <w:shd w:val="clear" w:color="auto" w:fill="auto"/>
          </w:tcPr>
          <w:p w14:paraId="339D2B60" w14:textId="77777777" w:rsidR="006502CC" w:rsidRDefault="005D69E0" w:rsidP="005D69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Problem Formulation</w:t>
            </w:r>
          </w:p>
        </w:tc>
        <w:tc>
          <w:tcPr>
            <w:tcW w:w="8533" w:type="dxa"/>
            <w:shd w:val="clear" w:color="auto" w:fill="auto"/>
          </w:tcPr>
          <w:p w14:paraId="2F95C77C" w14:textId="77777777" w:rsidR="006502CC" w:rsidRPr="005D69E0" w:rsidRDefault="005D69E0" w:rsidP="005D69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5D69E0">
              <w:rPr>
                <w:lang w:eastAsia="en-AU"/>
              </w:rPr>
              <w:t>Description and significance of the problem/phenomenon studied; review of relevant theory and empirical work; problem statement</w:t>
            </w:r>
          </w:p>
        </w:tc>
        <w:tc>
          <w:tcPr>
            <w:tcW w:w="1248" w:type="dxa"/>
            <w:shd w:val="clear" w:color="auto" w:fill="auto"/>
          </w:tcPr>
          <w:p w14:paraId="2012B013" w14:textId="5BE39BF8" w:rsidR="006502CC" w:rsidRDefault="002D6C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3-4</w:t>
            </w:r>
          </w:p>
        </w:tc>
      </w:tr>
      <w:tr w:rsidR="006502CC" w14:paraId="00004B2F" w14:textId="77777777" w:rsidTr="000210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14:paraId="0919E76E" w14:textId="77777777" w:rsidR="006502CC" w:rsidRDefault="005D69E0">
            <w:r>
              <w:t>S4</w:t>
            </w:r>
          </w:p>
        </w:tc>
        <w:tc>
          <w:tcPr>
            <w:tcW w:w="4394" w:type="dxa"/>
            <w:shd w:val="clear" w:color="auto" w:fill="auto"/>
          </w:tcPr>
          <w:p w14:paraId="41D02A79" w14:textId="77777777" w:rsidR="006502CC" w:rsidRDefault="005D69E0" w:rsidP="005D69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Purpose or research question</w:t>
            </w:r>
          </w:p>
        </w:tc>
        <w:tc>
          <w:tcPr>
            <w:tcW w:w="8533" w:type="dxa"/>
            <w:shd w:val="clear" w:color="auto" w:fill="auto"/>
          </w:tcPr>
          <w:p w14:paraId="69FA30AE" w14:textId="77777777" w:rsidR="006502CC" w:rsidRDefault="005D69E0" w:rsidP="005D69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hd w:val="clear" w:color="auto" w:fill="FFFFFF"/>
              </w:rPr>
              <w:t>Purpose of the study and specific objectives or questions</w:t>
            </w:r>
          </w:p>
        </w:tc>
        <w:tc>
          <w:tcPr>
            <w:tcW w:w="1248" w:type="dxa"/>
            <w:shd w:val="clear" w:color="auto" w:fill="auto"/>
          </w:tcPr>
          <w:p w14:paraId="3E2A836A" w14:textId="5365F3D2" w:rsidR="006502CC" w:rsidRDefault="00053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</w:tr>
      <w:tr w:rsidR="006502CC" w14:paraId="496E197B" w14:textId="77777777" w:rsidTr="00021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2650FD1A" w14:textId="77777777" w:rsidR="006502CC" w:rsidRDefault="006502CC"/>
        </w:tc>
        <w:tc>
          <w:tcPr>
            <w:tcW w:w="4394" w:type="dxa"/>
          </w:tcPr>
          <w:p w14:paraId="0C0A9CAD" w14:textId="77777777" w:rsidR="006502CC" w:rsidRPr="00D46289" w:rsidRDefault="003F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46289">
              <w:rPr>
                <w:b/>
              </w:rPr>
              <w:t>Methods</w:t>
            </w:r>
          </w:p>
        </w:tc>
        <w:tc>
          <w:tcPr>
            <w:tcW w:w="8533" w:type="dxa"/>
          </w:tcPr>
          <w:p w14:paraId="0E294C07" w14:textId="77777777" w:rsidR="006502CC" w:rsidRDefault="006502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8" w:type="dxa"/>
          </w:tcPr>
          <w:p w14:paraId="61565E57" w14:textId="77777777" w:rsidR="006502CC" w:rsidRDefault="006502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D69E0" w14:paraId="0A225987" w14:textId="77777777" w:rsidTr="000210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14:paraId="1FD4506A" w14:textId="77777777" w:rsidR="005D69E0" w:rsidRDefault="003F5F5A">
            <w:r>
              <w:t>S5</w:t>
            </w:r>
          </w:p>
        </w:tc>
        <w:tc>
          <w:tcPr>
            <w:tcW w:w="4394" w:type="dxa"/>
            <w:shd w:val="clear" w:color="auto" w:fill="auto"/>
          </w:tcPr>
          <w:p w14:paraId="2F1DA5FC" w14:textId="77777777" w:rsidR="005D69E0" w:rsidRDefault="00DE2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Qualitative approach and research paradigm</w:t>
            </w:r>
          </w:p>
        </w:tc>
        <w:tc>
          <w:tcPr>
            <w:tcW w:w="8533" w:type="dxa"/>
            <w:shd w:val="clear" w:color="auto" w:fill="auto"/>
          </w:tcPr>
          <w:p w14:paraId="1F758639" w14:textId="77777777" w:rsidR="005D69E0" w:rsidRDefault="00DE2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Qualitative approach (e.g., ethnography, grounded theory, case study, phenomenology, narrative research) and guiding theory if appropriate; identifying the research paradigm (e.g., postpositivist, constructivist/ interpretivist) is also recommended; rationale</w:t>
            </w:r>
          </w:p>
        </w:tc>
        <w:tc>
          <w:tcPr>
            <w:tcW w:w="1248" w:type="dxa"/>
            <w:shd w:val="clear" w:color="auto" w:fill="auto"/>
          </w:tcPr>
          <w:p w14:paraId="7AAAEBBB" w14:textId="192F4B28" w:rsidR="005D69E0" w:rsidRDefault="00053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</w:tr>
      <w:tr w:rsidR="005D69E0" w14:paraId="4C58C7E9" w14:textId="77777777" w:rsidTr="00021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14:paraId="62D1356E" w14:textId="77777777" w:rsidR="005D69E0" w:rsidRDefault="003F5F5A">
            <w:r>
              <w:t>S6</w:t>
            </w:r>
          </w:p>
        </w:tc>
        <w:tc>
          <w:tcPr>
            <w:tcW w:w="4394" w:type="dxa"/>
            <w:shd w:val="clear" w:color="auto" w:fill="auto"/>
          </w:tcPr>
          <w:p w14:paraId="0EFBAF4E" w14:textId="77777777" w:rsidR="005D69E0" w:rsidRDefault="00DE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Researcher characteristics and reflexivity</w:t>
            </w:r>
          </w:p>
        </w:tc>
        <w:tc>
          <w:tcPr>
            <w:tcW w:w="8533" w:type="dxa"/>
            <w:shd w:val="clear" w:color="auto" w:fill="auto"/>
          </w:tcPr>
          <w:p w14:paraId="6880FDDA" w14:textId="77777777" w:rsidR="005D69E0" w:rsidRDefault="00DE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Researchers’ characteristics that may influence the research, including personal attributes, qualifications/experience, relationship with participants, assumptions, and/or presuppositions; potential or actual interaction between researchers’ characteristics and the research questions, approach, methods, results, and/or transferability</w:t>
            </w:r>
          </w:p>
        </w:tc>
        <w:tc>
          <w:tcPr>
            <w:tcW w:w="1248" w:type="dxa"/>
            <w:shd w:val="clear" w:color="auto" w:fill="auto"/>
          </w:tcPr>
          <w:p w14:paraId="37978F14" w14:textId="5EC7343F" w:rsidR="005D69E0" w:rsidRDefault="00053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</w:tr>
      <w:tr w:rsidR="005D69E0" w14:paraId="00701B52" w14:textId="77777777" w:rsidTr="000210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14:paraId="04FA00BA" w14:textId="77777777" w:rsidR="005D69E0" w:rsidRDefault="003F5F5A">
            <w:r>
              <w:t>S7</w:t>
            </w:r>
          </w:p>
        </w:tc>
        <w:tc>
          <w:tcPr>
            <w:tcW w:w="4394" w:type="dxa"/>
            <w:shd w:val="clear" w:color="auto" w:fill="auto"/>
          </w:tcPr>
          <w:p w14:paraId="05FA9333" w14:textId="77777777" w:rsidR="005D69E0" w:rsidRDefault="00DE2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Context</w:t>
            </w:r>
          </w:p>
        </w:tc>
        <w:tc>
          <w:tcPr>
            <w:tcW w:w="8533" w:type="dxa"/>
            <w:shd w:val="clear" w:color="auto" w:fill="auto"/>
          </w:tcPr>
          <w:p w14:paraId="78EDC4C5" w14:textId="77777777" w:rsidR="005D69E0" w:rsidRDefault="00DE2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Setting/site and salient contextual factors; rationale</w:t>
            </w:r>
          </w:p>
        </w:tc>
        <w:tc>
          <w:tcPr>
            <w:tcW w:w="1248" w:type="dxa"/>
            <w:shd w:val="clear" w:color="auto" w:fill="auto"/>
          </w:tcPr>
          <w:p w14:paraId="54A2B113" w14:textId="0D6794F0" w:rsidR="005D69E0" w:rsidRDefault="00053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5D69E0" w14:paraId="1114B6BF" w14:textId="77777777" w:rsidTr="00021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14:paraId="67D4BE1A" w14:textId="77777777" w:rsidR="005D69E0" w:rsidRDefault="003F5F5A">
            <w:r>
              <w:t>S8</w:t>
            </w:r>
          </w:p>
        </w:tc>
        <w:tc>
          <w:tcPr>
            <w:tcW w:w="4394" w:type="dxa"/>
            <w:shd w:val="clear" w:color="auto" w:fill="auto"/>
          </w:tcPr>
          <w:p w14:paraId="678DD6D1" w14:textId="77777777" w:rsidR="005D69E0" w:rsidRDefault="00DE2890" w:rsidP="00DE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Sampling strategy</w:t>
            </w:r>
          </w:p>
        </w:tc>
        <w:tc>
          <w:tcPr>
            <w:tcW w:w="8533" w:type="dxa"/>
            <w:shd w:val="clear" w:color="auto" w:fill="auto"/>
          </w:tcPr>
          <w:p w14:paraId="47770065" w14:textId="77777777" w:rsidR="005D69E0" w:rsidRDefault="00DE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How and why research participants, documents, or events were selected; criteria for deciding when no further sampling was necessary (e.g., sampling saturation); rationale</w:t>
            </w:r>
          </w:p>
        </w:tc>
        <w:tc>
          <w:tcPr>
            <w:tcW w:w="1248" w:type="dxa"/>
            <w:shd w:val="clear" w:color="auto" w:fill="auto"/>
          </w:tcPr>
          <w:p w14:paraId="3B56EED2" w14:textId="776379CD" w:rsidR="005D69E0" w:rsidRDefault="00053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4-5</w:t>
            </w:r>
          </w:p>
        </w:tc>
      </w:tr>
      <w:tr w:rsidR="005D69E0" w14:paraId="3B52D543" w14:textId="77777777" w:rsidTr="000210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14:paraId="62B389A9" w14:textId="77777777" w:rsidR="005D69E0" w:rsidRDefault="003F5F5A">
            <w:r>
              <w:t>S9</w:t>
            </w:r>
          </w:p>
        </w:tc>
        <w:tc>
          <w:tcPr>
            <w:tcW w:w="4394" w:type="dxa"/>
            <w:shd w:val="clear" w:color="auto" w:fill="auto"/>
          </w:tcPr>
          <w:p w14:paraId="1CB51527" w14:textId="77777777" w:rsidR="005D69E0" w:rsidRDefault="00DE2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Ethical issues pertaining to human subjects</w:t>
            </w:r>
          </w:p>
        </w:tc>
        <w:tc>
          <w:tcPr>
            <w:tcW w:w="8533" w:type="dxa"/>
            <w:shd w:val="clear" w:color="auto" w:fill="auto"/>
          </w:tcPr>
          <w:p w14:paraId="69F93D33" w14:textId="77777777" w:rsidR="005D69E0" w:rsidRDefault="00DE2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Documentation of approval by an appropriate ethics review board and participant consent, or explanation for lack thereof; other confidentiality and data security issues</w:t>
            </w:r>
          </w:p>
        </w:tc>
        <w:tc>
          <w:tcPr>
            <w:tcW w:w="1248" w:type="dxa"/>
            <w:shd w:val="clear" w:color="auto" w:fill="auto"/>
          </w:tcPr>
          <w:p w14:paraId="19ADCB09" w14:textId="7D90437A" w:rsidR="005D69E0" w:rsidRDefault="003F78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</w:tr>
      <w:tr w:rsidR="005D69E0" w14:paraId="7C32E9D0" w14:textId="77777777" w:rsidTr="00021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14:paraId="73CC3FA2" w14:textId="77777777" w:rsidR="005D69E0" w:rsidRDefault="003F5F5A">
            <w:r>
              <w:t>S10</w:t>
            </w:r>
          </w:p>
        </w:tc>
        <w:tc>
          <w:tcPr>
            <w:tcW w:w="4394" w:type="dxa"/>
            <w:shd w:val="clear" w:color="auto" w:fill="auto"/>
          </w:tcPr>
          <w:p w14:paraId="7DB210F3" w14:textId="77777777" w:rsidR="005D69E0" w:rsidRDefault="00DE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Data collection methods</w:t>
            </w:r>
          </w:p>
        </w:tc>
        <w:tc>
          <w:tcPr>
            <w:tcW w:w="8533" w:type="dxa"/>
            <w:shd w:val="clear" w:color="auto" w:fill="auto"/>
          </w:tcPr>
          <w:p w14:paraId="33413815" w14:textId="77777777" w:rsidR="005D69E0" w:rsidRDefault="00DE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(as appropriate) start and stop dates of data collection and analysis, iterative process, triangulation of sources/methods, and modification of procedures in response to evolving study findings; rationale</w:t>
            </w:r>
          </w:p>
        </w:tc>
        <w:tc>
          <w:tcPr>
            <w:tcW w:w="1248" w:type="dxa"/>
            <w:shd w:val="clear" w:color="auto" w:fill="auto"/>
          </w:tcPr>
          <w:p w14:paraId="68115691" w14:textId="34FE55B8" w:rsidR="005D69E0" w:rsidRDefault="003F78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4-5</w:t>
            </w:r>
          </w:p>
        </w:tc>
      </w:tr>
      <w:tr w:rsidR="005D69E0" w14:paraId="3C416150" w14:textId="77777777" w:rsidTr="000210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14:paraId="4840DB68" w14:textId="77777777" w:rsidR="005D69E0" w:rsidRDefault="003F5F5A">
            <w:r>
              <w:lastRenderedPageBreak/>
              <w:t>S11</w:t>
            </w:r>
          </w:p>
        </w:tc>
        <w:tc>
          <w:tcPr>
            <w:tcW w:w="4394" w:type="dxa"/>
            <w:shd w:val="clear" w:color="auto" w:fill="auto"/>
          </w:tcPr>
          <w:p w14:paraId="7B2DEE95" w14:textId="77777777" w:rsidR="005D69E0" w:rsidRDefault="00DE2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Data collection instruments and technologies</w:t>
            </w:r>
          </w:p>
        </w:tc>
        <w:tc>
          <w:tcPr>
            <w:tcW w:w="8533" w:type="dxa"/>
            <w:shd w:val="clear" w:color="auto" w:fill="auto"/>
          </w:tcPr>
          <w:p w14:paraId="2C26C71C" w14:textId="77777777" w:rsidR="005D69E0" w:rsidRDefault="00DE2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 of instruments (e.g., interview guides, questionnaires) and devices (e.g., audio recorders) used for data collection; if/how the instrument(s) changed over the course of the study</w:t>
            </w:r>
            <w:r w:rsidR="002C114D">
              <w:t>;</w:t>
            </w:r>
            <w:r>
              <w:t xml:space="preserve"> Number and relevant characteristics of participants,</w:t>
            </w:r>
          </w:p>
        </w:tc>
        <w:tc>
          <w:tcPr>
            <w:tcW w:w="1248" w:type="dxa"/>
            <w:shd w:val="clear" w:color="auto" w:fill="auto"/>
          </w:tcPr>
          <w:p w14:paraId="66B1561C" w14:textId="113A1553" w:rsidR="005D69E0" w:rsidRDefault="00053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5-6</w:t>
            </w:r>
          </w:p>
        </w:tc>
      </w:tr>
      <w:tr w:rsidR="005D69E0" w14:paraId="1D6CF5B0" w14:textId="77777777" w:rsidTr="00021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14:paraId="333F1E8B" w14:textId="77777777" w:rsidR="005D69E0" w:rsidRDefault="003F5F5A">
            <w:r>
              <w:t>S12</w:t>
            </w:r>
          </w:p>
        </w:tc>
        <w:tc>
          <w:tcPr>
            <w:tcW w:w="4394" w:type="dxa"/>
            <w:shd w:val="clear" w:color="auto" w:fill="auto"/>
          </w:tcPr>
          <w:p w14:paraId="1783843A" w14:textId="77777777" w:rsidR="005D69E0" w:rsidRDefault="00DE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Units of study</w:t>
            </w:r>
          </w:p>
        </w:tc>
        <w:tc>
          <w:tcPr>
            <w:tcW w:w="8533" w:type="dxa"/>
            <w:shd w:val="clear" w:color="auto" w:fill="auto"/>
          </w:tcPr>
          <w:p w14:paraId="2B7474B8" w14:textId="77777777" w:rsidR="005D69E0" w:rsidRDefault="00DE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Number and relevant characteristics of participants, documents, or events included in the study; level of participation (could be reported in results)</w:t>
            </w:r>
          </w:p>
        </w:tc>
        <w:tc>
          <w:tcPr>
            <w:tcW w:w="1248" w:type="dxa"/>
            <w:shd w:val="clear" w:color="auto" w:fill="auto"/>
          </w:tcPr>
          <w:p w14:paraId="2DAE93E8" w14:textId="7F781E5C" w:rsidR="005D69E0" w:rsidRDefault="00053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</w:t>
            </w:r>
            <w:r w:rsidR="001D1587">
              <w:t xml:space="preserve"> </w:t>
            </w:r>
          </w:p>
        </w:tc>
      </w:tr>
      <w:tr w:rsidR="005D69E0" w14:paraId="311B09DE" w14:textId="77777777" w:rsidTr="000210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14:paraId="781A2292" w14:textId="77777777" w:rsidR="005D69E0" w:rsidRDefault="003F5F5A">
            <w:r>
              <w:t>S13</w:t>
            </w:r>
          </w:p>
        </w:tc>
        <w:tc>
          <w:tcPr>
            <w:tcW w:w="4394" w:type="dxa"/>
            <w:shd w:val="clear" w:color="auto" w:fill="auto"/>
          </w:tcPr>
          <w:p w14:paraId="1DAD3FBD" w14:textId="77777777" w:rsidR="005D69E0" w:rsidRDefault="00DE2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Data processing</w:t>
            </w:r>
          </w:p>
        </w:tc>
        <w:tc>
          <w:tcPr>
            <w:tcW w:w="8533" w:type="dxa"/>
            <w:shd w:val="clear" w:color="auto" w:fill="auto"/>
          </w:tcPr>
          <w:p w14:paraId="1A730383" w14:textId="77777777" w:rsidR="005D69E0" w:rsidRDefault="00DE2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Methods for processing data prior to and during analysis, including transcription, data entry, data management and security, verification of data integrity, data coding, and anonymization/deidentification of excerpts</w:t>
            </w:r>
          </w:p>
        </w:tc>
        <w:tc>
          <w:tcPr>
            <w:tcW w:w="1248" w:type="dxa"/>
            <w:shd w:val="clear" w:color="auto" w:fill="auto"/>
          </w:tcPr>
          <w:p w14:paraId="495A87DD" w14:textId="41354A6E" w:rsidR="005D69E0" w:rsidRDefault="003F78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  <w:r w:rsidR="00053A81">
              <w:t>-6</w:t>
            </w:r>
          </w:p>
        </w:tc>
      </w:tr>
      <w:tr w:rsidR="005D69E0" w14:paraId="4BA34919" w14:textId="77777777" w:rsidTr="00021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14:paraId="755668A8" w14:textId="77777777" w:rsidR="005D69E0" w:rsidRDefault="003F5F5A">
            <w:r>
              <w:t>S14</w:t>
            </w:r>
          </w:p>
        </w:tc>
        <w:tc>
          <w:tcPr>
            <w:tcW w:w="4394" w:type="dxa"/>
            <w:shd w:val="clear" w:color="auto" w:fill="auto"/>
          </w:tcPr>
          <w:p w14:paraId="0EF9DB29" w14:textId="77777777" w:rsidR="005D69E0" w:rsidRDefault="00DE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Data analysis</w:t>
            </w:r>
          </w:p>
        </w:tc>
        <w:tc>
          <w:tcPr>
            <w:tcW w:w="8533" w:type="dxa"/>
            <w:shd w:val="clear" w:color="auto" w:fill="auto"/>
          </w:tcPr>
          <w:p w14:paraId="22597D8D" w14:textId="77777777" w:rsidR="005D69E0" w:rsidRDefault="00DE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Process by which inferences, themes, etc., were identified and developed, including the researchers involved in data analysis; usually references a specific paradigm or approach; rationale</w:t>
            </w:r>
          </w:p>
        </w:tc>
        <w:tc>
          <w:tcPr>
            <w:tcW w:w="1248" w:type="dxa"/>
            <w:shd w:val="clear" w:color="auto" w:fill="auto"/>
          </w:tcPr>
          <w:p w14:paraId="5E3252E7" w14:textId="0D3E63ED" w:rsidR="005D69E0" w:rsidRDefault="003F78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  <w:r w:rsidR="00053A81">
              <w:t>-6</w:t>
            </w:r>
          </w:p>
        </w:tc>
      </w:tr>
      <w:tr w:rsidR="005D69E0" w14:paraId="72CBEA6F" w14:textId="77777777" w:rsidTr="000210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14:paraId="52383479" w14:textId="77777777" w:rsidR="005D69E0" w:rsidRDefault="003F5F5A">
            <w:r>
              <w:t>S15</w:t>
            </w:r>
          </w:p>
        </w:tc>
        <w:tc>
          <w:tcPr>
            <w:tcW w:w="4394" w:type="dxa"/>
            <w:shd w:val="clear" w:color="auto" w:fill="auto"/>
          </w:tcPr>
          <w:p w14:paraId="5141F17A" w14:textId="77777777" w:rsidR="005D69E0" w:rsidRDefault="00DE2890" w:rsidP="00DE2890">
            <w:pPr>
              <w:ind w:right="-1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Techniques to enhance trustworthiness</w:t>
            </w:r>
          </w:p>
        </w:tc>
        <w:tc>
          <w:tcPr>
            <w:tcW w:w="8533" w:type="dxa"/>
            <w:shd w:val="clear" w:color="auto" w:fill="auto"/>
          </w:tcPr>
          <w:p w14:paraId="69D9C842" w14:textId="77777777" w:rsidR="005D69E0" w:rsidRDefault="00DE2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Techniques to enhance trustworthiness and credibility of data analysis (e.g., member checking, audit trail, triangulation); rationale</w:t>
            </w:r>
          </w:p>
        </w:tc>
        <w:tc>
          <w:tcPr>
            <w:tcW w:w="1248" w:type="dxa"/>
            <w:shd w:val="clear" w:color="auto" w:fill="auto"/>
          </w:tcPr>
          <w:p w14:paraId="62E47E3E" w14:textId="7913EA58" w:rsidR="005D69E0" w:rsidRDefault="003F78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  <w:r w:rsidR="001D1587">
              <w:t xml:space="preserve"> </w:t>
            </w:r>
            <w:r w:rsidR="00053A81">
              <w:t>-6</w:t>
            </w:r>
          </w:p>
        </w:tc>
      </w:tr>
      <w:tr w:rsidR="005D69E0" w14:paraId="1828CC4A" w14:textId="77777777" w:rsidTr="00021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13EDA355" w14:textId="77777777" w:rsidR="005D69E0" w:rsidRDefault="005D69E0"/>
        </w:tc>
        <w:tc>
          <w:tcPr>
            <w:tcW w:w="4394" w:type="dxa"/>
          </w:tcPr>
          <w:p w14:paraId="1E9FA2DC" w14:textId="77777777" w:rsidR="005D69E0" w:rsidRPr="00D46289" w:rsidRDefault="00DE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46289">
              <w:rPr>
                <w:b/>
              </w:rPr>
              <w:t>Results/findings</w:t>
            </w:r>
          </w:p>
        </w:tc>
        <w:tc>
          <w:tcPr>
            <w:tcW w:w="8533" w:type="dxa"/>
          </w:tcPr>
          <w:p w14:paraId="6D37A77D" w14:textId="77777777" w:rsidR="005D69E0" w:rsidRDefault="005D69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8" w:type="dxa"/>
          </w:tcPr>
          <w:p w14:paraId="0B2150E3" w14:textId="77777777" w:rsidR="005D69E0" w:rsidRDefault="005D69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D69E0" w14:paraId="1A319D96" w14:textId="77777777" w:rsidTr="000210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FFFFFF" w:themeFill="background1"/>
          </w:tcPr>
          <w:p w14:paraId="7031F2B8" w14:textId="77777777" w:rsidR="005D69E0" w:rsidRDefault="00DE2890">
            <w:r>
              <w:t>S16</w:t>
            </w:r>
          </w:p>
        </w:tc>
        <w:tc>
          <w:tcPr>
            <w:tcW w:w="4394" w:type="dxa"/>
            <w:shd w:val="clear" w:color="auto" w:fill="FFFFFF" w:themeFill="background1"/>
          </w:tcPr>
          <w:p w14:paraId="473973C1" w14:textId="77777777" w:rsidR="005D69E0" w:rsidRDefault="00DE2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Synthesis and interpretation</w:t>
            </w:r>
          </w:p>
        </w:tc>
        <w:tc>
          <w:tcPr>
            <w:tcW w:w="8533" w:type="dxa"/>
            <w:shd w:val="clear" w:color="auto" w:fill="FFFFFF" w:themeFill="background1"/>
          </w:tcPr>
          <w:p w14:paraId="021A9726" w14:textId="77777777" w:rsidR="005D69E0" w:rsidRDefault="00DE2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Main findings (e.g., interpretations, inferences, and themes); might include development of a theory or model, or integration with prior research or theory</w:t>
            </w:r>
          </w:p>
        </w:tc>
        <w:tc>
          <w:tcPr>
            <w:tcW w:w="1248" w:type="dxa"/>
            <w:shd w:val="clear" w:color="auto" w:fill="FFFFFF" w:themeFill="background1"/>
          </w:tcPr>
          <w:p w14:paraId="51252CB9" w14:textId="690B80BE" w:rsidR="005D69E0" w:rsidRDefault="00053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  <w:r w:rsidR="003F7835">
              <w:t>-</w:t>
            </w:r>
            <w:r>
              <w:t>21</w:t>
            </w:r>
          </w:p>
        </w:tc>
      </w:tr>
      <w:tr w:rsidR="005D69E0" w14:paraId="75600106" w14:textId="77777777" w:rsidTr="00021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FFFFFF" w:themeFill="background1"/>
          </w:tcPr>
          <w:p w14:paraId="7C774EF1" w14:textId="77777777" w:rsidR="005D69E0" w:rsidRDefault="00DE2890">
            <w:r>
              <w:t>S17</w:t>
            </w:r>
          </w:p>
        </w:tc>
        <w:tc>
          <w:tcPr>
            <w:tcW w:w="4394" w:type="dxa"/>
            <w:shd w:val="clear" w:color="auto" w:fill="FFFFFF" w:themeFill="background1"/>
          </w:tcPr>
          <w:p w14:paraId="081C7063" w14:textId="77777777" w:rsidR="005D69E0" w:rsidRDefault="00DE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Links to empirical data</w:t>
            </w:r>
          </w:p>
        </w:tc>
        <w:tc>
          <w:tcPr>
            <w:tcW w:w="8533" w:type="dxa"/>
            <w:shd w:val="clear" w:color="auto" w:fill="FFFFFF" w:themeFill="background1"/>
          </w:tcPr>
          <w:p w14:paraId="46102AC1" w14:textId="77777777" w:rsidR="005D69E0" w:rsidRDefault="00DE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Evidence (e.g., quotes, field notes, text excerpts, photographs) to substantiate analytic findings</w:t>
            </w:r>
          </w:p>
        </w:tc>
        <w:tc>
          <w:tcPr>
            <w:tcW w:w="1248" w:type="dxa"/>
            <w:shd w:val="clear" w:color="auto" w:fill="FFFFFF" w:themeFill="background1"/>
          </w:tcPr>
          <w:p w14:paraId="75450F11" w14:textId="59F5769E" w:rsidR="005D69E0" w:rsidRDefault="00053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  <w:r w:rsidR="003F7835">
              <w:t>-</w:t>
            </w:r>
            <w:r>
              <w:t>21</w:t>
            </w:r>
          </w:p>
        </w:tc>
      </w:tr>
      <w:tr w:rsidR="005D69E0" w14:paraId="6CB1EF35" w14:textId="77777777" w:rsidTr="000210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DEEAF6" w:themeFill="accent1" w:themeFillTint="33"/>
          </w:tcPr>
          <w:p w14:paraId="7F143B23" w14:textId="77777777" w:rsidR="005D69E0" w:rsidRDefault="005D69E0"/>
        </w:tc>
        <w:tc>
          <w:tcPr>
            <w:tcW w:w="4394" w:type="dxa"/>
            <w:shd w:val="clear" w:color="auto" w:fill="DEEAF6" w:themeFill="accent1" w:themeFillTint="33"/>
          </w:tcPr>
          <w:p w14:paraId="462DA693" w14:textId="77777777" w:rsidR="005D69E0" w:rsidRPr="00D46289" w:rsidRDefault="00DE2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46289">
              <w:rPr>
                <w:b/>
              </w:rPr>
              <w:t>Discussion</w:t>
            </w:r>
          </w:p>
        </w:tc>
        <w:tc>
          <w:tcPr>
            <w:tcW w:w="8533" w:type="dxa"/>
            <w:shd w:val="clear" w:color="auto" w:fill="DEEAF6" w:themeFill="accent1" w:themeFillTint="33"/>
          </w:tcPr>
          <w:p w14:paraId="605C2ECA" w14:textId="77777777" w:rsidR="005D69E0" w:rsidRDefault="005D69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8" w:type="dxa"/>
            <w:shd w:val="clear" w:color="auto" w:fill="DEEAF6" w:themeFill="accent1" w:themeFillTint="33"/>
          </w:tcPr>
          <w:p w14:paraId="4B7BEFF9" w14:textId="77777777" w:rsidR="005D69E0" w:rsidRDefault="005D69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D69E0" w14:paraId="0707FEA0" w14:textId="77777777" w:rsidTr="00021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14:paraId="0132B699" w14:textId="77777777" w:rsidR="005D69E0" w:rsidRDefault="00DE2890">
            <w:r>
              <w:t>S18</w:t>
            </w:r>
          </w:p>
        </w:tc>
        <w:tc>
          <w:tcPr>
            <w:tcW w:w="4394" w:type="dxa"/>
            <w:shd w:val="clear" w:color="auto" w:fill="auto"/>
          </w:tcPr>
          <w:p w14:paraId="1193C641" w14:textId="77777777" w:rsidR="005D69E0" w:rsidRDefault="00DE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Integration with prior work, implications, transferability, and contribution(s) to the field</w:t>
            </w:r>
          </w:p>
        </w:tc>
        <w:tc>
          <w:tcPr>
            <w:tcW w:w="8533" w:type="dxa"/>
            <w:shd w:val="clear" w:color="auto" w:fill="auto"/>
          </w:tcPr>
          <w:p w14:paraId="6D2967B4" w14:textId="77777777" w:rsidR="005D69E0" w:rsidRDefault="00DE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Short summary of main findings; explanation of how findings and conclusions connect to, support, elaborate on, or challenge conclusions of earlier scholarship; discussion of scope of application/ generalizability; identification of unique contribution(s) to scholarship in a discipline or field</w:t>
            </w:r>
          </w:p>
        </w:tc>
        <w:tc>
          <w:tcPr>
            <w:tcW w:w="1248" w:type="dxa"/>
            <w:shd w:val="clear" w:color="auto" w:fill="auto"/>
          </w:tcPr>
          <w:p w14:paraId="687C63A7" w14:textId="03FE91BC" w:rsidR="005D69E0" w:rsidRDefault="00053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22-23</w:t>
            </w:r>
          </w:p>
        </w:tc>
      </w:tr>
      <w:tr w:rsidR="005D69E0" w14:paraId="3EC25D85" w14:textId="77777777" w:rsidTr="000210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58BFE464" w14:textId="77777777" w:rsidR="005D69E0" w:rsidRDefault="00DE2890">
            <w:r>
              <w:t>S19</w:t>
            </w:r>
          </w:p>
        </w:tc>
        <w:tc>
          <w:tcPr>
            <w:tcW w:w="4394" w:type="dxa"/>
          </w:tcPr>
          <w:p w14:paraId="54A9A6DF" w14:textId="77777777" w:rsidR="005D69E0" w:rsidRDefault="00DE2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Limitations</w:t>
            </w:r>
          </w:p>
        </w:tc>
        <w:tc>
          <w:tcPr>
            <w:tcW w:w="8533" w:type="dxa"/>
          </w:tcPr>
          <w:p w14:paraId="0B738AFD" w14:textId="77777777" w:rsidR="005D69E0" w:rsidRDefault="00DE2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Trustworthiness and limitations of findings</w:t>
            </w:r>
          </w:p>
        </w:tc>
        <w:tc>
          <w:tcPr>
            <w:tcW w:w="1248" w:type="dxa"/>
          </w:tcPr>
          <w:p w14:paraId="6AA7B472" w14:textId="3926162C" w:rsidR="005D69E0" w:rsidRDefault="00053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</w:t>
            </w:r>
          </w:p>
        </w:tc>
      </w:tr>
      <w:tr w:rsidR="005D69E0" w14:paraId="0251723D" w14:textId="77777777" w:rsidTr="00021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418A8491" w14:textId="77777777" w:rsidR="005D69E0" w:rsidRDefault="005D69E0"/>
        </w:tc>
        <w:tc>
          <w:tcPr>
            <w:tcW w:w="4394" w:type="dxa"/>
          </w:tcPr>
          <w:p w14:paraId="7A0C92ED" w14:textId="77777777" w:rsidR="005D69E0" w:rsidRPr="00D46289" w:rsidRDefault="00DE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46289">
              <w:rPr>
                <w:b/>
              </w:rPr>
              <w:t>Other</w:t>
            </w:r>
          </w:p>
        </w:tc>
        <w:tc>
          <w:tcPr>
            <w:tcW w:w="8533" w:type="dxa"/>
          </w:tcPr>
          <w:p w14:paraId="4F6D8FA6" w14:textId="77777777" w:rsidR="005D69E0" w:rsidRDefault="005D69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8" w:type="dxa"/>
          </w:tcPr>
          <w:p w14:paraId="392CAF64" w14:textId="77777777" w:rsidR="005D69E0" w:rsidRDefault="005D69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D69E0" w14:paraId="1B2E10A4" w14:textId="77777777" w:rsidTr="000210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14:paraId="099838A6" w14:textId="77777777" w:rsidR="005D69E0" w:rsidRDefault="00DE2890">
            <w:r>
              <w:t>S20</w:t>
            </w:r>
          </w:p>
        </w:tc>
        <w:tc>
          <w:tcPr>
            <w:tcW w:w="4394" w:type="dxa"/>
            <w:shd w:val="clear" w:color="auto" w:fill="auto"/>
          </w:tcPr>
          <w:p w14:paraId="2FC1EB69" w14:textId="77777777" w:rsidR="005D69E0" w:rsidRDefault="00DE2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Conflicts of interest</w:t>
            </w:r>
          </w:p>
        </w:tc>
        <w:tc>
          <w:tcPr>
            <w:tcW w:w="8533" w:type="dxa"/>
            <w:shd w:val="clear" w:color="auto" w:fill="auto"/>
          </w:tcPr>
          <w:p w14:paraId="3D70E0F8" w14:textId="77777777" w:rsidR="005D69E0" w:rsidRDefault="00DE2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Potential sources of influence or perceived influence on study conduct and conclusions; how these were managed</w:t>
            </w:r>
          </w:p>
        </w:tc>
        <w:tc>
          <w:tcPr>
            <w:tcW w:w="1248" w:type="dxa"/>
            <w:shd w:val="clear" w:color="auto" w:fill="auto"/>
          </w:tcPr>
          <w:p w14:paraId="2E735FC7" w14:textId="4CB3B6B4" w:rsidR="005D69E0" w:rsidRDefault="00053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</w:t>
            </w:r>
          </w:p>
        </w:tc>
      </w:tr>
      <w:tr w:rsidR="005D69E0" w14:paraId="02423090" w14:textId="77777777" w:rsidTr="00021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14:paraId="514111A9" w14:textId="77777777" w:rsidR="005D69E0" w:rsidRDefault="00DE2890">
            <w:r>
              <w:t>S21</w:t>
            </w:r>
          </w:p>
        </w:tc>
        <w:tc>
          <w:tcPr>
            <w:tcW w:w="4394" w:type="dxa"/>
            <w:shd w:val="clear" w:color="auto" w:fill="auto"/>
          </w:tcPr>
          <w:p w14:paraId="484F4F12" w14:textId="77777777" w:rsidR="005D69E0" w:rsidRDefault="00DE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Funding</w:t>
            </w:r>
          </w:p>
        </w:tc>
        <w:tc>
          <w:tcPr>
            <w:tcW w:w="8533" w:type="dxa"/>
            <w:shd w:val="clear" w:color="auto" w:fill="auto"/>
          </w:tcPr>
          <w:p w14:paraId="259934BD" w14:textId="77777777" w:rsidR="005D69E0" w:rsidRDefault="00DE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Sources of funding and other support; role of funders in data collection, interpretation, and reporting</w:t>
            </w:r>
          </w:p>
        </w:tc>
        <w:tc>
          <w:tcPr>
            <w:tcW w:w="1248" w:type="dxa"/>
            <w:shd w:val="clear" w:color="auto" w:fill="auto"/>
          </w:tcPr>
          <w:p w14:paraId="01891047" w14:textId="1AADAD06" w:rsidR="005D69E0" w:rsidRDefault="00053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</w:t>
            </w:r>
          </w:p>
        </w:tc>
      </w:tr>
    </w:tbl>
    <w:p w14:paraId="0259A8FF" w14:textId="77777777" w:rsidR="005D69E0" w:rsidRPr="005D69E0" w:rsidRDefault="005D69E0" w:rsidP="00854724">
      <w:pPr>
        <w:pStyle w:val="EndNoteBibliography"/>
      </w:pPr>
      <w:r>
        <w:fldChar w:fldCharType="begin"/>
      </w:r>
      <w:r>
        <w:instrText xml:space="preserve"> ADDIN EN.REFLIST </w:instrText>
      </w:r>
      <w:r>
        <w:fldChar w:fldCharType="separate"/>
      </w:r>
      <w:r w:rsidRPr="005D69E0">
        <w:t>1. O'Brien BC, Harris IB, Beckman TJ, et al. Standards for reporting qualitative research: a synthesis of recommendations. Acad Med 2014;</w:t>
      </w:r>
      <w:r w:rsidRPr="005D69E0">
        <w:rPr>
          <w:b/>
        </w:rPr>
        <w:t>89</w:t>
      </w:r>
      <w:r w:rsidRPr="005D69E0">
        <w:t>(9):1245-51.</w:t>
      </w:r>
    </w:p>
    <w:p w14:paraId="44B4E646" w14:textId="77777777" w:rsidR="006502CC" w:rsidRDefault="005D69E0" w:rsidP="006502CC">
      <w:r>
        <w:fldChar w:fldCharType="end"/>
      </w:r>
    </w:p>
    <w:sectPr w:rsidR="006502CC" w:rsidSect="005D69E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BMJ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e5x50adf8apfzbetdrl5s9tcffpdsrsepx2r&quot;&gt;Mouna Sawan Copy&lt;record-ids&gt;&lt;item&gt;1315&lt;/item&gt;&lt;/record-ids&gt;&lt;/item&gt;&lt;/Libraries&gt;"/>
  </w:docVars>
  <w:rsids>
    <w:rsidRoot w:val="006502CC"/>
    <w:rsid w:val="000210F9"/>
    <w:rsid w:val="00053A81"/>
    <w:rsid w:val="001D1587"/>
    <w:rsid w:val="00225344"/>
    <w:rsid w:val="002C114D"/>
    <w:rsid w:val="002D6C59"/>
    <w:rsid w:val="002D7CFE"/>
    <w:rsid w:val="003D6408"/>
    <w:rsid w:val="003F5F5A"/>
    <w:rsid w:val="003F7835"/>
    <w:rsid w:val="004E1E60"/>
    <w:rsid w:val="00565B5F"/>
    <w:rsid w:val="005D69E0"/>
    <w:rsid w:val="006502CC"/>
    <w:rsid w:val="007031D4"/>
    <w:rsid w:val="007774B6"/>
    <w:rsid w:val="00854724"/>
    <w:rsid w:val="008E0E12"/>
    <w:rsid w:val="0092748C"/>
    <w:rsid w:val="009376B5"/>
    <w:rsid w:val="00946F5B"/>
    <w:rsid w:val="00A24CCB"/>
    <w:rsid w:val="00A35459"/>
    <w:rsid w:val="00BE6DD9"/>
    <w:rsid w:val="00BE723A"/>
    <w:rsid w:val="00C20D5E"/>
    <w:rsid w:val="00CA6B8A"/>
    <w:rsid w:val="00D34C48"/>
    <w:rsid w:val="00D46289"/>
    <w:rsid w:val="00DE2890"/>
    <w:rsid w:val="00F01363"/>
    <w:rsid w:val="00F8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3CAED"/>
  <w15:chartTrackingRefBased/>
  <w15:docId w15:val="{E6E258AE-1C5A-4CE0-B7DF-C299E0B23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02CC"/>
    <w:rPr>
      <w:color w:val="0000FF"/>
      <w:u w:val="single"/>
    </w:rPr>
  </w:style>
  <w:style w:type="table" w:styleId="TableGrid">
    <w:name w:val="Table Grid"/>
    <w:basedOn w:val="TableNormal"/>
    <w:uiPriority w:val="39"/>
    <w:rsid w:val="00650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5D69E0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5D69E0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5D69E0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5D69E0"/>
    <w:rPr>
      <w:rFonts w:ascii="Calibri" w:hAnsi="Calibri"/>
      <w:noProof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9E0"/>
    <w:rPr>
      <w:rFonts w:ascii="Segoe UI" w:hAnsi="Segoe UI" w:cs="Segoe UI"/>
      <w:sz w:val="18"/>
      <w:szCs w:val="18"/>
    </w:rPr>
  </w:style>
  <w:style w:type="table" w:styleId="GridTable2-Accent1">
    <w:name w:val="Grid Table 2 Accent 1"/>
    <w:basedOn w:val="TableNormal"/>
    <w:uiPriority w:val="47"/>
    <w:rsid w:val="005D69E0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NoSpacing">
    <w:name w:val="No Spacing"/>
    <w:uiPriority w:val="1"/>
    <w:qFormat/>
    <w:rsid w:val="005D69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8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Sydney</Company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Mouna Sawan</dc:creator>
  <cp:keywords/>
  <dc:description/>
  <cp:lastModifiedBy>Mouna Sawan</cp:lastModifiedBy>
  <cp:revision>7</cp:revision>
  <dcterms:created xsi:type="dcterms:W3CDTF">2020-05-27T01:36:00Z</dcterms:created>
  <dcterms:modified xsi:type="dcterms:W3CDTF">2020-08-24T00:51:00Z</dcterms:modified>
</cp:coreProperties>
</file>