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DCF2F" w14:textId="77777777" w:rsidR="00AF3296" w:rsidRPr="00804484" w:rsidRDefault="00AF3296" w:rsidP="00AF3296">
      <w:pPr>
        <w:rPr>
          <w:rFonts w:ascii="Times New Roman" w:hAnsi="Times New Roman" w:cs="Times New Roman"/>
          <w:b/>
          <w:bCs/>
          <w:caps/>
        </w:rPr>
      </w:pPr>
      <w:r w:rsidRPr="00804484">
        <w:rPr>
          <w:rFonts w:ascii="Times New Roman" w:hAnsi="Times New Roman" w:cs="Times New Roman"/>
          <w:b/>
          <w:bCs/>
          <w:caps/>
        </w:rPr>
        <w:t>Supplementary Files</w:t>
      </w:r>
    </w:p>
    <w:p w14:paraId="4DD1FD3D" w14:textId="77777777" w:rsidR="00AF3296" w:rsidRPr="00804484" w:rsidRDefault="00AF3296" w:rsidP="00AF3296">
      <w:pPr>
        <w:spacing w:after="0"/>
        <w:rPr>
          <w:rFonts w:ascii="Times New Roman" w:hAnsi="Times New Roman" w:cs="Times New Roman"/>
        </w:rPr>
      </w:pPr>
      <w:r w:rsidRPr="00804484">
        <w:rPr>
          <w:rFonts w:ascii="Times New Roman" w:hAnsi="Times New Roman" w:cs="Times New Roman"/>
        </w:rPr>
        <w:t>Table S1. Codes and Registry of Senior Australians datasets used to identify individuals with mental health condition.</w:t>
      </w:r>
    </w:p>
    <w:tbl>
      <w:tblPr>
        <w:tblW w:w="92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126"/>
        <w:gridCol w:w="2713"/>
      </w:tblGrid>
      <w:tr w:rsidR="00AF3296" w:rsidRPr="006A58DB" w14:paraId="5B0D7B60" w14:textId="77777777" w:rsidTr="00195148">
        <w:trPr>
          <w:trHeight w:val="270"/>
          <w:tblHeader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CEBB9" w14:textId="77777777" w:rsidR="00AF3296" w:rsidRPr="006A58DB" w:rsidRDefault="00AF3296" w:rsidP="00EA0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A58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Description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BD487" w14:textId="77777777" w:rsidR="00AF3296" w:rsidRPr="006A58DB" w:rsidRDefault="00AF3296" w:rsidP="00EA0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A58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Codes</w:t>
            </w: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4FAFD" w14:textId="77777777" w:rsidR="00AF3296" w:rsidRPr="006A58DB" w:rsidRDefault="00AF3296" w:rsidP="00EA0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A58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Dataset</w:t>
            </w:r>
          </w:p>
        </w:tc>
      </w:tr>
      <w:tr w:rsidR="00AF3296" w:rsidRPr="006A58DB" w14:paraId="6883AE8F" w14:textId="77777777" w:rsidTr="00195148">
        <w:trPr>
          <w:trHeight w:val="260"/>
        </w:trPr>
        <w:tc>
          <w:tcPr>
            <w:tcW w:w="4395" w:type="dxa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2E5F2" w14:textId="77777777" w:rsidR="00AF3296" w:rsidRPr="006A58DB" w:rsidRDefault="00AF3296" w:rsidP="00EA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A58D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Anxiety</w:t>
            </w:r>
          </w:p>
        </w:tc>
        <w:tc>
          <w:tcPr>
            <w:tcW w:w="2126" w:type="dxa"/>
            <w:tcBorders>
              <w:top w:val="dotted" w:sz="4" w:space="0" w:color="auto"/>
            </w:tcBorders>
          </w:tcPr>
          <w:p w14:paraId="347C471D" w14:textId="77777777" w:rsidR="00AF3296" w:rsidRPr="006A58DB" w:rsidRDefault="00AF3296" w:rsidP="00EA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A58DB">
              <w:rPr>
                <w:rFonts w:ascii="Times New Roman" w:eastAsia="HelveticaNeueLTStd-Roman" w:hAnsi="Times New Roman" w:cs="Times New Roman"/>
                <w:sz w:val="20"/>
                <w:szCs w:val="20"/>
              </w:rPr>
              <w:t>N05BA01–N05BA12, N05BE01</w:t>
            </w:r>
          </w:p>
        </w:tc>
        <w:tc>
          <w:tcPr>
            <w:tcW w:w="2713" w:type="dxa"/>
            <w:vMerge w:val="restart"/>
            <w:tcBorders>
              <w:top w:val="dotted" w:sz="4" w:space="0" w:color="auto"/>
            </w:tcBorders>
          </w:tcPr>
          <w:p w14:paraId="1EC0E0FB" w14:textId="77777777" w:rsidR="00AF3296" w:rsidRPr="006A58DB" w:rsidRDefault="00AF3296" w:rsidP="00EA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A58D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Pharmaceutical Benefits Scheme (Rx-Risk-V) (Pratt et al., 2018)</w:t>
            </w:r>
          </w:p>
        </w:tc>
      </w:tr>
      <w:tr w:rsidR="00AF3296" w:rsidRPr="006A58DB" w14:paraId="65B14C27" w14:textId="77777777" w:rsidTr="00195148">
        <w:trPr>
          <w:trHeight w:val="27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C98B1" w14:textId="77777777" w:rsidR="00AF3296" w:rsidRPr="006A58DB" w:rsidRDefault="00AF3296" w:rsidP="00EA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A58D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Depression</w:t>
            </w:r>
          </w:p>
        </w:tc>
        <w:tc>
          <w:tcPr>
            <w:tcW w:w="2126" w:type="dxa"/>
          </w:tcPr>
          <w:p w14:paraId="2A0A71A1" w14:textId="77777777" w:rsidR="00AF3296" w:rsidRPr="006A58DB" w:rsidRDefault="00AF3296" w:rsidP="00EA0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elveticaNeueLTStd-Roman" w:hAnsi="Times New Roman" w:cs="Times New Roman"/>
                <w:sz w:val="20"/>
                <w:szCs w:val="20"/>
              </w:rPr>
            </w:pPr>
            <w:r w:rsidRPr="006A58DB">
              <w:rPr>
                <w:rFonts w:ascii="Times New Roman" w:eastAsia="HelveticaNeueLTStd-Roman" w:hAnsi="Times New Roman" w:cs="Times New Roman"/>
                <w:sz w:val="20"/>
                <w:szCs w:val="20"/>
              </w:rPr>
              <w:t>N06AA01–N06AG02, N06AX03–N06AX11,</w:t>
            </w:r>
          </w:p>
          <w:p w14:paraId="6DB5F139" w14:textId="77777777" w:rsidR="00AF3296" w:rsidRPr="006A58DB" w:rsidRDefault="00AF3296" w:rsidP="00EA080E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GB"/>
              </w:rPr>
            </w:pPr>
            <w:r w:rsidRPr="006A58DB">
              <w:rPr>
                <w:rFonts w:ascii="Times New Roman" w:eastAsia="HelveticaNeueLTStd-Roman" w:hAnsi="Times New Roman" w:cs="Times New Roman"/>
                <w:sz w:val="20"/>
                <w:szCs w:val="20"/>
              </w:rPr>
              <w:t>N06AX13–N06AX18, N06AX21–N06AX26</w:t>
            </w:r>
          </w:p>
        </w:tc>
        <w:tc>
          <w:tcPr>
            <w:tcW w:w="2713" w:type="dxa"/>
            <w:vMerge/>
          </w:tcPr>
          <w:p w14:paraId="77F3F956" w14:textId="77777777" w:rsidR="00AF3296" w:rsidRPr="006A58DB" w:rsidRDefault="00AF3296" w:rsidP="00EA080E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GB"/>
              </w:rPr>
            </w:pPr>
          </w:p>
        </w:tc>
      </w:tr>
      <w:tr w:rsidR="00AF3296" w:rsidRPr="006A58DB" w14:paraId="74188941" w14:textId="77777777" w:rsidTr="00195148">
        <w:trPr>
          <w:trHeight w:val="27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3745E" w14:textId="77777777" w:rsidR="00AF3296" w:rsidRPr="006A58DB" w:rsidRDefault="00AF3296" w:rsidP="00EA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A58D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Psychotic Illness</w:t>
            </w:r>
          </w:p>
        </w:tc>
        <w:tc>
          <w:tcPr>
            <w:tcW w:w="2126" w:type="dxa"/>
          </w:tcPr>
          <w:p w14:paraId="2E54322F" w14:textId="77777777" w:rsidR="00AF3296" w:rsidRPr="006A58DB" w:rsidRDefault="00AF3296" w:rsidP="00EA0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elveticaNeueLTStd-Roman" w:hAnsi="Times New Roman" w:cs="Times New Roman"/>
                <w:sz w:val="20"/>
                <w:szCs w:val="20"/>
              </w:rPr>
            </w:pPr>
            <w:r w:rsidRPr="006A58DB">
              <w:rPr>
                <w:rFonts w:ascii="Times New Roman" w:eastAsia="HelveticaNeueLTStd-Roman" w:hAnsi="Times New Roman" w:cs="Times New Roman"/>
                <w:sz w:val="20"/>
                <w:szCs w:val="20"/>
              </w:rPr>
              <w:t>N05AA01–N05AB02, N05AB06–N05AL07,</w:t>
            </w:r>
          </w:p>
          <w:p w14:paraId="6F160E76" w14:textId="77777777" w:rsidR="00AF3296" w:rsidRPr="006A58DB" w:rsidRDefault="00AF3296" w:rsidP="00EA080E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GB"/>
              </w:rPr>
            </w:pPr>
            <w:r w:rsidRPr="006A58DB">
              <w:rPr>
                <w:rFonts w:ascii="Times New Roman" w:eastAsia="HelveticaNeueLTStd-Roman" w:hAnsi="Times New Roman" w:cs="Times New Roman"/>
                <w:sz w:val="20"/>
                <w:szCs w:val="20"/>
              </w:rPr>
              <w:t>N05AX07–N05AX13</w:t>
            </w:r>
          </w:p>
        </w:tc>
        <w:tc>
          <w:tcPr>
            <w:tcW w:w="2713" w:type="dxa"/>
            <w:vMerge/>
          </w:tcPr>
          <w:p w14:paraId="3C35B975" w14:textId="77777777" w:rsidR="00AF3296" w:rsidRPr="006A58DB" w:rsidRDefault="00AF3296" w:rsidP="00EA080E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GB"/>
              </w:rPr>
            </w:pPr>
          </w:p>
        </w:tc>
      </w:tr>
      <w:tr w:rsidR="00AF3296" w:rsidRPr="006A58DB" w14:paraId="22BDCFD3" w14:textId="77777777" w:rsidTr="00195148">
        <w:trPr>
          <w:trHeight w:val="260"/>
        </w:trPr>
        <w:tc>
          <w:tcPr>
            <w:tcW w:w="4395" w:type="dxa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674F4" w14:textId="77777777" w:rsidR="00AF3296" w:rsidRPr="006A58DB" w:rsidRDefault="00AF3296" w:rsidP="00EA0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A58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Psychoses &amp; depression/mood affective disorders</w:t>
            </w:r>
          </w:p>
        </w:tc>
        <w:tc>
          <w:tcPr>
            <w:tcW w:w="2126" w:type="dxa"/>
            <w:tcBorders>
              <w:top w:val="dotted" w:sz="4" w:space="0" w:color="auto"/>
            </w:tcBorders>
          </w:tcPr>
          <w:p w14:paraId="4BD195AC" w14:textId="77777777" w:rsidR="00AF3296" w:rsidRPr="006A58DB" w:rsidRDefault="00AF3296" w:rsidP="00EA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A58D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0550</w:t>
            </w:r>
          </w:p>
        </w:tc>
        <w:tc>
          <w:tcPr>
            <w:tcW w:w="2713" w:type="dxa"/>
            <w:vMerge w:val="restart"/>
            <w:tcBorders>
              <w:top w:val="dotted" w:sz="4" w:space="0" w:color="auto"/>
            </w:tcBorders>
          </w:tcPr>
          <w:p w14:paraId="4267CA04" w14:textId="77777777" w:rsidR="00AF3296" w:rsidRPr="006A58DB" w:rsidRDefault="00AF3296" w:rsidP="00EA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A58D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Aged Care Assessment Program (ACAP data dictionary)</w:t>
            </w:r>
          </w:p>
        </w:tc>
      </w:tr>
      <w:tr w:rsidR="00AF3296" w:rsidRPr="006A58DB" w14:paraId="51233411" w14:textId="77777777" w:rsidTr="00195148">
        <w:trPr>
          <w:trHeight w:val="26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A995B" w14:textId="77777777" w:rsidR="00AF3296" w:rsidRPr="006A58DB" w:rsidRDefault="00AF3296" w:rsidP="00EA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A58DB">
              <w:rPr>
                <w:rFonts w:ascii="Times New Roman" w:hAnsi="Times New Roman" w:cs="Times New Roman"/>
                <w:sz w:val="20"/>
                <w:szCs w:val="20"/>
              </w:rPr>
              <w:t>Schizophrenia</w:t>
            </w:r>
          </w:p>
        </w:tc>
        <w:tc>
          <w:tcPr>
            <w:tcW w:w="2126" w:type="dxa"/>
          </w:tcPr>
          <w:p w14:paraId="6B3A31BD" w14:textId="77777777" w:rsidR="00AF3296" w:rsidRPr="006A58DB" w:rsidRDefault="00AF3296" w:rsidP="00EA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A58D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0551</w:t>
            </w:r>
          </w:p>
        </w:tc>
        <w:tc>
          <w:tcPr>
            <w:tcW w:w="2713" w:type="dxa"/>
            <w:vMerge/>
          </w:tcPr>
          <w:p w14:paraId="32931F44" w14:textId="77777777" w:rsidR="00AF3296" w:rsidRPr="006A58DB" w:rsidRDefault="00AF3296" w:rsidP="00EA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F3296" w:rsidRPr="006A58DB" w14:paraId="439B80B8" w14:textId="77777777" w:rsidTr="00195148">
        <w:trPr>
          <w:trHeight w:val="26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14B23" w14:textId="77777777" w:rsidR="00AF3296" w:rsidRPr="006A58DB" w:rsidRDefault="00AF3296" w:rsidP="00EA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A58DB">
              <w:rPr>
                <w:rFonts w:ascii="Times New Roman" w:hAnsi="Times New Roman" w:cs="Times New Roman"/>
                <w:sz w:val="20"/>
                <w:szCs w:val="20"/>
              </w:rPr>
              <w:t>Depression/Mood affective disorders</w:t>
            </w:r>
          </w:p>
        </w:tc>
        <w:tc>
          <w:tcPr>
            <w:tcW w:w="2126" w:type="dxa"/>
          </w:tcPr>
          <w:p w14:paraId="36FC6B30" w14:textId="77777777" w:rsidR="00AF3296" w:rsidRPr="006A58DB" w:rsidRDefault="00AF3296" w:rsidP="00EA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A58D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0552</w:t>
            </w:r>
          </w:p>
        </w:tc>
        <w:tc>
          <w:tcPr>
            <w:tcW w:w="2713" w:type="dxa"/>
            <w:vMerge/>
          </w:tcPr>
          <w:p w14:paraId="0CA8D261" w14:textId="77777777" w:rsidR="00AF3296" w:rsidRPr="006A58DB" w:rsidRDefault="00AF3296" w:rsidP="00EA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F3296" w:rsidRPr="006A58DB" w14:paraId="2D9D9D95" w14:textId="77777777" w:rsidTr="00195148">
        <w:trPr>
          <w:trHeight w:val="26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5F680" w14:textId="77777777" w:rsidR="00AF3296" w:rsidRPr="006A58DB" w:rsidRDefault="00AF3296" w:rsidP="00EA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A58DB">
              <w:rPr>
                <w:rFonts w:ascii="Times New Roman" w:hAnsi="Times New Roman" w:cs="Times New Roman"/>
                <w:sz w:val="20"/>
                <w:szCs w:val="20"/>
              </w:rPr>
              <w:t>Other psychoses (includes paranoid states)</w:t>
            </w:r>
          </w:p>
        </w:tc>
        <w:tc>
          <w:tcPr>
            <w:tcW w:w="2126" w:type="dxa"/>
          </w:tcPr>
          <w:p w14:paraId="5CEE564E" w14:textId="77777777" w:rsidR="00AF3296" w:rsidRPr="006A58DB" w:rsidRDefault="00AF3296" w:rsidP="00EA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A58D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0553</w:t>
            </w:r>
          </w:p>
        </w:tc>
        <w:tc>
          <w:tcPr>
            <w:tcW w:w="2713" w:type="dxa"/>
            <w:vMerge/>
          </w:tcPr>
          <w:p w14:paraId="3E71C4F4" w14:textId="77777777" w:rsidR="00AF3296" w:rsidRPr="006A58DB" w:rsidRDefault="00AF3296" w:rsidP="00EA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F3296" w:rsidRPr="006A58DB" w14:paraId="0E1C15B1" w14:textId="77777777" w:rsidTr="00195148">
        <w:trPr>
          <w:trHeight w:val="26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327E9" w14:textId="77777777" w:rsidR="00AF3296" w:rsidRPr="006A58DB" w:rsidRDefault="00AF3296" w:rsidP="00EA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A58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Neurotic, stress-related &amp; somatoform disorders</w:t>
            </w:r>
          </w:p>
        </w:tc>
        <w:tc>
          <w:tcPr>
            <w:tcW w:w="2126" w:type="dxa"/>
          </w:tcPr>
          <w:p w14:paraId="7E0ED3C2" w14:textId="77777777" w:rsidR="00AF3296" w:rsidRPr="006A58DB" w:rsidRDefault="00AF3296" w:rsidP="00EA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A58D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0560</w:t>
            </w:r>
          </w:p>
        </w:tc>
        <w:tc>
          <w:tcPr>
            <w:tcW w:w="2713" w:type="dxa"/>
            <w:vMerge/>
          </w:tcPr>
          <w:p w14:paraId="19DEA992" w14:textId="77777777" w:rsidR="00AF3296" w:rsidRPr="006A58DB" w:rsidRDefault="00AF3296" w:rsidP="00EA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F3296" w:rsidRPr="006A58DB" w14:paraId="6A692907" w14:textId="77777777" w:rsidTr="00195148">
        <w:trPr>
          <w:trHeight w:val="26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8DDFF" w14:textId="77777777" w:rsidR="00AF3296" w:rsidRPr="006A58DB" w:rsidRDefault="00AF3296" w:rsidP="00EA0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58DB">
              <w:rPr>
                <w:rFonts w:ascii="Times New Roman" w:hAnsi="Times New Roman" w:cs="Times New Roman"/>
                <w:sz w:val="20"/>
                <w:szCs w:val="20"/>
              </w:rPr>
              <w:t>Phobic &amp; anxiety disorders (includes agoraphobia, panic</w:t>
            </w:r>
          </w:p>
          <w:p w14:paraId="45E97067" w14:textId="77777777" w:rsidR="00AF3296" w:rsidRPr="006A58DB" w:rsidRDefault="00AF3296" w:rsidP="00EA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A58DB">
              <w:rPr>
                <w:rFonts w:ascii="Times New Roman" w:hAnsi="Times New Roman" w:cs="Times New Roman"/>
                <w:sz w:val="20"/>
                <w:szCs w:val="20"/>
              </w:rPr>
              <w:t>disorder)</w:t>
            </w:r>
          </w:p>
        </w:tc>
        <w:tc>
          <w:tcPr>
            <w:tcW w:w="2126" w:type="dxa"/>
          </w:tcPr>
          <w:p w14:paraId="278A076C" w14:textId="77777777" w:rsidR="00AF3296" w:rsidRPr="006A58DB" w:rsidRDefault="00AF3296" w:rsidP="00EA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A58D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0561</w:t>
            </w:r>
          </w:p>
        </w:tc>
        <w:tc>
          <w:tcPr>
            <w:tcW w:w="2713" w:type="dxa"/>
            <w:vMerge/>
          </w:tcPr>
          <w:p w14:paraId="754B7234" w14:textId="77777777" w:rsidR="00AF3296" w:rsidRPr="006A58DB" w:rsidRDefault="00AF3296" w:rsidP="00EA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F3296" w:rsidRPr="006A58DB" w14:paraId="1F067D4B" w14:textId="77777777" w:rsidTr="00195148">
        <w:trPr>
          <w:trHeight w:val="26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7E05C" w14:textId="77777777" w:rsidR="00AF3296" w:rsidRPr="006A58DB" w:rsidRDefault="00AF3296" w:rsidP="00EA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A58DB">
              <w:rPr>
                <w:rFonts w:ascii="Times New Roman" w:hAnsi="Times New Roman" w:cs="Times New Roman"/>
                <w:sz w:val="20"/>
                <w:szCs w:val="20"/>
              </w:rPr>
              <w:t>Nervous tension/stress</w:t>
            </w:r>
          </w:p>
        </w:tc>
        <w:tc>
          <w:tcPr>
            <w:tcW w:w="2126" w:type="dxa"/>
          </w:tcPr>
          <w:p w14:paraId="49471C10" w14:textId="77777777" w:rsidR="00AF3296" w:rsidRPr="006A58DB" w:rsidRDefault="00AF3296" w:rsidP="00EA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A58D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0562</w:t>
            </w:r>
          </w:p>
        </w:tc>
        <w:tc>
          <w:tcPr>
            <w:tcW w:w="2713" w:type="dxa"/>
            <w:vMerge/>
          </w:tcPr>
          <w:p w14:paraId="480C6834" w14:textId="77777777" w:rsidR="00AF3296" w:rsidRPr="006A58DB" w:rsidRDefault="00AF3296" w:rsidP="00EA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F3296" w:rsidRPr="006A58DB" w14:paraId="400C3CEA" w14:textId="77777777" w:rsidTr="00195148">
        <w:trPr>
          <w:trHeight w:val="26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15706" w14:textId="77777777" w:rsidR="00AF3296" w:rsidRPr="006A58DB" w:rsidRDefault="00AF3296" w:rsidP="00EA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A58DB">
              <w:rPr>
                <w:rFonts w:ascii="Times New Roman" w:hAnsi="Times New Roman" w:cs="Times New Roman"/>
                <w:sz w:val="20"/>
                <w:szCs w:val="20"/>
              </w:rPr>
              <w:t>Obsessive-compulsive disorder</w:t>
            </w:r>
          </w:p>
        </w:tc>
        <w:tc>
          <w:tcPr>
            <w:tcW w:w="2126" w:type="dxa"/>
          </w:tcPr>
          <w:p w14:paraId="69746488" w14:textId="77777777" w:rsidR="00AF3296" w:rsidRPr="006A58DB" w:rsidRDefault="00AF3296" w:rsidP="00EA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A58D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0563</w:t>
            </w:r>
          </w:p>
        </w:tc>
        <w:tc>
          <w:tcPr>
            <w:tcW w:w="2713" w:type="dxa"/>
            <w:vMerge/>
          </w:tcPr>
          <w:p w14:paraId="3141B011" w14:textId="77777777" w:rsidR="00AF3296" w:rsidRPr="006A58DB" w:rsidRDefault="00AF3296" w:rsidP="00EA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F3296" w:rsidRPr="006A58DB" w14:paraId="57084F59" w14:textId="77777777" w:rsidTr="00195148">
        <w:trPr>
          <w:trHeight w:val="26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9B473" w14:textId="77777777" w:rsidR="00AF3296" w:rsidRPr="006A58DB" w:rsidRDefault="00AF3296" w:rsidP="00EA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A58DB">
              <w:rPr>
                <w:rFonts w:ascii="Times New Roman" w:hAnsi="Times New Roman" w:cs="Times New Roman"/>
                <w:sz w:val="20"/>
                <w:szCs w:val="20"/>
              </w:rPr>
              <w:t>Other neurotic, stress-related &amp; somatoform disorders</w:t>
            </w:r>
          </w:p>
        </w:tc>
        <w:tc>
          <w:tcPr>
            <w:tcW w:w="2126" w:type="dxa"/>
          </w:tcPr>
          <w:p w14:paraId="2DDC78A5" w14:textId="77777777" w:rsidR="00AF3296" w:rsidRPr="006A58DB" w:rsidRDefault="00AF3296" w:rsidP="00EA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A58D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0564</w:t>
            </w:r>
          </w:p>
        </w:tc>
        <w:tc>
          <w:tcPr>
            <w:tcW w:w="2713" w:type="dxa"/>
            <w:vMerge/>
          </w:tcPr>
          <w:p w14:paraId="7E0D15C0" w14:textId="77777777" w:rsidR="00AF3296" w:rsidRPr="006A58DB" w:rsidRDefault="00AF3296" w:rsidP="00EA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F3296" w:rsidRPr="006A58DB" w14:paraId="20394669" w14:textId="77777777" w:rsidTr="00195148">
        <w:trPr>
          <w:trHeight w:val="26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8F90C" w14:textId="77777777" w:rsidR="00AF3296" w:rsidRPr="006A58DB" w:rsidRDefault="00AF3296" w:rsidP="00EA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A58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Other mental &amp; behavioural disorders</w:t>
            </w:r>
          </w:p>
        </w:tc>
        <w:tc>
          <w:tcPr>
            <w:tcW w:w="2126" w:type="dxa"/>
          </w:tcPr>
          <w:p w14:paraId="42D73AE5" w14:textId="77777777" w:rsidR="00AF3296" w:rsidRPr="006A58DB" w:rsidRDefault="00AF3296" w:rsidP="00EA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A58D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0580</w:t>
            </w:r>
          </w:p>
        </w:tc>
        <w:tc>
          <w:tcPr>
            <w:tcW w:w="2713" w:type="dxa"/>
            <w:vMerge/>
          </w:tcPr>
          <w:p w14:paraId="55FB2EA5" w14:textId="77777777" w:rsidR="00AF3296" w:rsidRPr="006A58DB" w:rsidRDefault="00AF3296" w:rsidP="00EA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F3296" w:rsidRPr="006A58DB" w14:paraId="2E832761" w14:textId="77777777" w:rsidTr="00195148">
        <w:trPr>
          <w:trHeight w:val="26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EF526" w14:textId="77777777" w:rsidR="00AF3296" w:rsidRPr="006A58DB" w:rsidRDefault="00AF3296" w:rsidP="00EA0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58DB">
              <w:rPr>
                <w:rFonts w:ascii="Times New Roman" w:hAnsi="Times New Roman" w:cs="Times New Roman"/>
                <w:sz w:val="20"/>
                <w:szCs w:val="20"/>
              </w:rPr>
              <w:t>Mental and behavioural disorders due to alcohol &amp; other psychoactive substance use (includes alcoholism, Korsakov’s psychosis (alcoholic))</w:t>
            </w:r>
          </w:p>
        </w:tc>
        <w:tc>
          <w:tcPr>
            <w:tcW w:w="2126" w:type="dxa"/>
          </w:tcPr>
          <w:p w14:paraId="001F85D4" w14:textId="77777777" w:rsidR="00AF3296" w:rsidRPr="006A58DB" w:rsidRDefault="00AF3296" w:rsidP="00EA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A58D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0581</w:t>
            </w:r>
          </w:p>
        </w:tc>
        <w:tc>
          <w:tcPr>
            <w:tcW w:w="2713" w:type="dxa"/>
            <w:vMerge/>
          </w:tcPr>
          <w:p w14:paraId="545DD362" w14:textId="77777777" w:rsidR="00AF3296" w:rsidRPr="006A58DB" w:rsidRDefault="00AF3296" w:rsidP="00EA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F3296" w:rsidRPr="006A58DB" w14:paraId="17C2AD50" w14:textId="77777777" w:rsidTr="00195148">
        <w:trPr>
          <w:trHeight w:val="26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A6EC1" w14:textId="77777777" w:rsidR="00AF3296" w:rsidRPr="006A58DB" w:rsidRDefault="00AF3296" w:rsidP="00EA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A58DB">
              <w:rPr>
                <w:rFonts w:ascii="Times New Roman" w:hAnsi="Times New Roman" w:cs="Times New Roman"/>
                <w:sz w:val="20"/>
                <w:szCs w:val="20"/>
              </w:rPr>
              <w:t>Adult personality &amp; behavioural disorders</w:t>
            </w:r>
          </w:p>
        </w:tc>
        <w:tc>
          <w:tcPr>
            <w:tcW w:w="2126" w:type="dxa"/>
          </w:tcPr>
          <w:p w14:paraId="71C7DCFE" w14:textId="77777777" w:rsidR="00AF3296" w:rsidRPr="006A58DB" w:rsidRDefault="00AF3296" w:rsidP="00EA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A58D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0582</w:t>
            </w:r>
          </w:p>
        </w:tc>
        <w:tc>
          <w:tcPr>
            <w:tcW w:w="2713" w:type="dxa"/>
            <w:vMerge/>
          </w:tcPr>
          <w:p w14:paraId="1B75F848" w14:textId="77777777" w:rsidR="00AF3296" w:rsidRPr="006A58DB" w:rsidRDefault="00AF3296" w:rsidP="00EA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F3296" w:rsidRPr="006A58DB" w14:paraId="342E7E8F" w14:textId="77777777" w:rsidTr="00195148">
        <w:trPr>
          <w:trHeight w:val="26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F90A9" w14:textId="77777777" w:rsidR="00AF3296" w:rsidRPr="006A58DB" w:rsidRDefault="00AF3296" w:rsidP="00EA0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58DB">
              <w:rPr>
                <w:rFonts w:ascii="Times New Roman" w:hAnsi="Times New Roman" w:cs="Times New Roman"/>
                <w:sz w:val="20"/>
                <w:szCs w:val="20"/>
              </w:rPr>
              <w:t>Other mental &amp; behavioural disorders n.o.s or n.e.c (includes harmful use of non-dependent substances e.g. laxatives analgesics, antidepressants, eating disorders e.g. anorexia nervosa, bulimia nervosa, mental disorders not otherwise specified)</w:t>
            </w:r>
          </w:p>
        </w:tc>
        <w:tc>
          <w:tcPr>
            <w:tcW w:w="2126" w:type="dxa"/>
          </w:tcPr>
          <w:p w14:paraId="12DD5886" w14:textId="77777777" w:rsidR="00AF3296" w:rsidRPr="006A58DB" w:rsidRDefault="00AF3296" w:rsidP="00EA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A58D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0599</w:t>
            </w:r>
          </w:p>
        </w:tc>
        <w:tc>
          <w:tcPr>
            <w:tcW w:w="2713" w:type="dxa"/>
            <w:vMerge/>
          </w:tcPr>
          <w:p w14:paraId="5099B7D6" w14:textId="77777777" w:rsidR="00AF3296" w:rsidRPr="006A58DB" w:rsidRDefault="00AF3296" w:rsidP="00EA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F3296" w:rsidRPr="006A58DB" w14:paraId="43AC174B" w14:textId="77777777" w:rsidTr="00195148">
        <w:trPr>
          <w:trHeight w:val="260"/>
        </w:trPr>
        <w:tc>
          <w:tcPr>
            <w:tcW w:w="4395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A0A6A" w14:textId="77777777" w:rsidR="00AF3296" w:rsidRPr="006A58DB" w:rsidRDefault="00AF3296" w:rsidP="00EA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5A2E75E0" w14:textId="77777777" w:rsidR="00AF3296" w:rsidRPr="006A58DB" w:rsidRDefault="00AF3296" w:rsidP="00EA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13" w:type="dxa"/>
            <w:vMerge/>
            <w:tcBorders>
              <w:bottom w:val="dotted" w:sz="4" w:space="0" w:color="auto"/>
            </w:tcBorders>
          </w:tcPr>
          <w:p w14:paraId="436CE578" w14:textId="77777777" w:rsidR="00AF3296" w:rsidRPr="006A58DB" w:rsidRDefault="00AF3296" w:rsidP="00EA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93948" w:rsidRPr="006A58DB" w14:paraId="57198258" w14:textId="77777777" w:rsidTr="00195148">
        <w:trPr>
          <w:trHeight w:val="260"/>
        </w:trPr>
        <w:tc>
          <w:tcPr>
            <w:tcW w:w="4395" w:type="dxa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664E6" w14:textId="62EA8B68" w:rsidR="00B93948" w:rsidRPr="006A58DB" w:rsidRDefault="00B93948" w:rsidP="00B9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</w:pPr>
            <w:r w:rsidRPr="006A58DB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Depression, mood and affective disorders, Bipolar</w:t>
            </w:r>
          </w:p>
        </w:tc>
        <w:tc>
          <w:tcPr>
            <w:tcW w:w="2126" w:type="dxa"/>
            <w:tcBorders>
              <w:top w:val="dotted" w:sz="4" w:space="0" w:color="auto"/>
            </w:tcBorders>
          </w:tcPr>
          <w:p w14:paraId="5C599E6D" w14:textId="39F1BF4C" w:rsidR="00B93948" w:rsidRPr="006A58DB" w:rsidRDefault="00B93948" w:rsidP="00B93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A58D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0550A</w:t>
            </w:r>
          </w:p>
        </w:tc>
        <w:tc>
          <w:tcPr>
            <w:tcW w:w="2713" w:type="dxa"/>
            <w:vMerge w:val="restart"/>
            <w:tcBorders>
              <w:top w:val="dotted" w:sz="4" w:space="0" w:color="auto"/>
            </w:tcBorders>
          </w:tcPr>
          <w:p w14:paraId="751F9163" w14:textId="0602CAFF" w:rsidR="00B93948" w:rsidRPr="006A58DB" w:rsidRDefault="00B93948" w:rsidP="00B93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en-AU"/>
              </w:rPr>
            </w:pPr>
            <w:r w:rsidRPr="006A58D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Aged Care Funding Instrument (ACFI User Guide)</w:t>
            </w:r>
          </w:p>
        </w:tc>
      </w:tr>
      <w:tr w:rsidR="00B93948" w:rsidRPr="006A58DB" w14:paraId="1F16A0F5" w14:textId="77777777" w:rsidTr="00195148">
        <w:trPr>
          <w:trHeight w:val="26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74F72" w14:textId="070193D1" w:rsidR="00B93948" w:rsidRPr="006A58DB" w:rsidRDefault="00B93948" w:rsidP="00B9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6A58DB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Psychoses</w:t>
            </w:r>
            <w:r w:rsidRPr="006A58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e.g. schizophrenia, paranoid states</w:t>
            </w:r>
          </w:p>
        </w:tc>
        <w:tc>
          <w:tcPr>
            <w:tcW w:w="2126" w:type="dxa"/>
          </w:tcPr>
          <w:p w14:paraId="47EF9F7B" w14:textId="6290789D" w:rsidR="00B93948" w:rsidRPr="006A58DB" w:rsidRDefault="00B93948" w:rsidP="00B93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A58D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0550B</w:t>
            </w:r>
          </w:p>
        </w:tc>
        <w:tc>
          <w:tcPr>
            <w:tcW w:w="2713" w:type="dxa"/>
            <w:vMerge/>
          </w:tcPr>
          <w:p w14:paraId="4EC60E12" w14:textId="77777777" w:rsidR="00B93948" w:rsidRPr="006A58DB" w:rsidRDefault="00B93948" w:rsidP="00B93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93948" w:rsidRPr="006A58DB" w14:paraId="0A3D98D4" w14:textId="77777777" w:rsidTr="00195148">
        <w:trPr>
          <w:trHeight w:val="26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3EAE1" w14:textId="5B700802" w:rsidR="00B93948" w:rsidRPr="006A58DB" w:rsidRDefault="00B93948" w:rsidP="00B9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6A58DB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Neurotic, stress related, anxiety, somatoform disorders</w:t>
            </w:r>
            <w:r w:rsidRPr="006A58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e.g. post-traumatic stress disorder, phobic and anxiety disorders, nervous tension/stress, obsessive-compulsive disorder</w:t>
            </w:r>
          </w:p>
        </w:tc>
        <w:tc>
          <w:tcPr>
            <w:tcW w:w="2126" w:type="dxa"/>
          </w:tcPr>
          <w:p w14:paraId="63E68D95" w14:textId="73F020EC" w:rsidR="00B93948" w:rsidRPr="006A58DB" w:rsidRDefault="00B93948" w:rsidP="00B93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A58D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0560</w:t>
            </w:r>
          </w:p>
        </w:tc>
        <w:tc>
          <w:tcPr>
            <w:tcW w:w="2713" w:type="dxa"/>
            <w:vMerge/>
          </w:tcPr>
          <w:p w14:paraId="1ED270C9" w14:textId="77777777" w:rsidR="00B93948" w:rsidRPr="006A58DB" w:rsidRDefault="00B93948" w:rsidP="00B93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93948" w:rsidRPr="006A58DB" w14:paraId="1B33EF60" w14:textId="77777777" w:rsidTr="00195148">
        <w:trPr>
          <w:trHeight w:val="260"/>
        </w:trPr>
        <w:tc>
          <w:tcPr>
            <w:tcW w:w="4395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A8549" w14:textId="5E2BE2A9" w:rsidR="00B93948" w:rsidRPr="006A58DB" w:rsidRDefault="00B93948" w:rsidP="00B9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6A58DB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Other mental and behavioural disorders</w:t>
            </w:r>
            <w:r w:rsidRPr="006A58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e.g. due to alcohol or psychoactive substances (includes alcoholism, Korsakov’s psychosis), adult personality and behavioural disorders.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2AC83489" w14:textId="54A36102" w:rsidR="00B93948" w:rsidRPr="006A58DB" w:rsidRDefault="00B93948" w:rsidP="00B93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A58DB">
              <w:rPr>
                <w:rFonts w:ascii="Times New Roman" w:hAnsi="Times New Roman" w:cs="Times New Roman"/>
                <w:sz w:val="20"/>
                <w:szCs w:val="20"/>
                <w:lang w:val="en-GB" w:eastAsia="en-AU"/>
              </w:rPr>
              <w:t>0580</w:t>
            </w:r>
          </w:p>
        </w:tc>
        <w:tc>
          <w:tcPr>
            <w:tcW w:w="2713" w:type="dxa"/>
            <w:vMerge/>
            <w:tcBorders>
              <w:bottom w:val="dotted" w:sz="4" w:space="0" w:color="auto"/>
            </w:tcBorders>
          </w:tcPr>
          <w:p w14:paraId="5D943EA4" w14:textId="77777777" w:rsidR="00B93948" w:rsidRPr="006A58DB" w:rsidRDefault="00B93948" w:rsidP="00B93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F31C0" w:rsidRPr="006A58DB" w14:paraId="7F7EDB2E" w14:textId="77777777" w:rsidTr="00195148">
        <w:trPr>
          <w:trHeight w:val="260"/>
        </w:trPr>
        <w:tc>
          <w:tcPr>
            <w:tcW w:w="4395" w:type="dxa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53B87" w14:textId="77777777" w:rsidR="003F31C0" w:rsidRPr="006A58DB" w:rsidRDefault="003F31C0" w:rsidP="00B9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</w:pPr>
            <w:r w:rsidRPr="006A58DB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Suicide and non-suicidal self-injury hospitalisations</w:t>
            </w:r>
          </w:p>
          <w:p w14:paraId="1F9D28E6" w14:textId="057274EF" w:rsidR="003F31C0" w:rsidRPr="006A58DB" w:rsidRDefault="003F31C0" w:rsidP="00B9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6A58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Principal diagnosis</w:t>
            </w:r>
          </w:p>
        </w:tc>
        <w:tc>
          <w:tcPr>
            <w:tcW w:w="2126" w:type="dxa"/>
            <w:tcBorders>
              <w:top w:val="dotted" w:sz="4" w:space="0" w:color="auto"/>
            </w:tcBorders>
          </w:tcPr>
          <w:p w14:paraId="5428718C" w14:textId="77777777" w:rsidR="003F31C0" w:rsidRPr="006A58DB" w:rsidRDefault="003F31C0" w:rsidP="00B93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90C4A58" w14:textId="77777777" w:rsidR="00666541" w:rsidRPr="006A58DB" w:rsidRDefault="00666541" w:rsidP="00B93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B36B101" w14:textId="7EDEEBE2" w:rsidR="003F31C0" w:rsidRPr="006A58DB" w:rsidRDefault="00666541" w:rsidP="00B93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A58D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S00-T75, T79</w:t>
            </w:r>
          </w:p>
        </w:tc>
        <w:tc>
          <w:tcPr>
            <w:tcW w:w="2713" w:type="dxa"/>
            <w:vMerge w:val="restart"/>
            <w:tcBorders>
              <w:top w:val="dotted" w:sz="4" w:space="0" w:color="auto"/>
            </w:tcBorders>
          </w:tcPr>
          <w:p w14:paraId="2C316F12" w14:textId="4602BF40" w:rsidR="003F31C0" w:rsidRPr="006A58DB" w:rsidRDefault="003F31C0" w:rsidP="00B9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58DB">
              <w:rPr>
                <w:rFonts w:ascii="Times New Roman" w:hAnsi="Times New Roman" w:cs="Times New Roman"/>
                <w:bCs/>
                <w:sz w:val="20"/>
                <w:szCs w:val="20"/>
              </w:rPr>
              <w:t>International Statistical Classification of Disease and Related Health Problems-Tenth Revision-Australian Modification (ICD-10-AM).</w:t>
            </w:r>
          </w:p>
        </w:tc>
      </w:tr>
      <w:tr w:rsidR="003F31C0" w:rsidRPr="006A58DB" w14:paraId="487BEA85" w14:textId="77777777" w:rsidTr="00195148">
        <w:trPr>
          <w:trHeight w:val="260"/>
        </w:trPr>
        <w:tc>
          <w:tcPr>
            <w:tcW w:w="439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22ABA" w14:textId="5E8B6E04" w:rsidR="003F31C0" w:rsidRPr="006A58DB" w:rsidRDefault="003F31C0" w:rsidP="00B9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6A58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First reported external cause code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3CDFA97" w14:textId="70A8D707" w:rsidR="003F31C0" w:rsidRPr="006A58DB" w:rsidRDefault="003F31C0" w:rsidP="00666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A58D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X60-X84</w:t>
            </w:r>
            <w:r w:rsidR="00666541" w:rsidRPr="006A58D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6A58D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Y87.0</w:t>
            </w:r>
          </w:p>
        </w:tc>
        <w:tc>
          <w:tcPr>
            <w:tcW w:w="2713" w:type="dxa"/>
            <w:vMerge/>
            <w:tcBorders>
              <w:bottom w:val="single" w:sz="4" w:space="0" w:color="auto"/>
            </w:tcBorders>
          </w:tcPr>
          <w:p w14:paraId="10131E3E" w14:textId="77777777" w:rsidR="003F31C0" w:rsidRPr="006A58DB" w:rsidRDefault="003F31C0" w:rsidP="00B939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28D42E8B" w14:textId="77777777" w:rsidR="008A4DF9" w:rsidRDefault="008A4DF9">
      <w:pPr>
        <w:rPr>
          <w:rFonts w:ascii="Times New Roman" w:hAnsi="Times New Roman" w:cs="Times New Roman"/>
        </w:rPr>
        <w:sectPr w:rsidR="008A4DF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E63F763" w14:textId="5B77E904" w:rsidR="005B76DC" w:rsidRPr="005125B1" w:rsidRDefault="005B76DC" w:rsidP="00C3522C">
      <w:pPr>
        <w:pStyle w:val="Caption"/>
        <w:keepNext/>
        <w:spacing w:after="0"/>
        <w:ind w:left="-567"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 w:rsidRPr="005125B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lastRenderedPageBreak/>
        <w:t>Table</w:t>
      </w:r>
      <w:r w:rsidR="00A17F10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S2</w:t>
      </w:r>
      <w:r w:rsidRPr="005125B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. Count, percentage, and </w:t>
      </w:r>
      <w:r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age and sex-adjusted </w:t>
      </w:r>
      <w:r w:rsidRPr="005125B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incidence rate of death by suicide, by calendar year and </w:t>
      </w:r>
      <w:r w:rsidR="00066BCA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service type at time of death</w:t>
      </w:r>
      <w:r w:rsidR="004F1047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r w:rsidRPr="005125B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(</w:t>
      </w:r>
      <w:r w:rsidRPr="005125B1">
        <w:rPr>
          <w:rFonts w:ascii="Times New Roman" w:hAnsi="Times New Roman" w:cs="Times New Roman"/>
          <w:color w:val="auto"/>
          <w:sz w:val="20"/>
          <w:szCs w:val="20"/>
        </w:rPr>
        <w:t>n</w:t>
      </w:r>
      <w:r w:rsidRPr="005125B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=</w:t>
      </w:r>
      <w:r w:rsidR="003F1A77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5</w:t>
      </w:r>
      <w:r w:rsidR="00BA5F7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32,507</w:t>
      </w:r>
      <w:r w:rsidRPr="005125B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).</w:t>
      </w:r>
    </w:p>
    <w:tbl>
      <w:tblPr>
        <w:tblStyle w:val="TableGrid"/>
        <w:tblW w:w="1516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1177"/>
        <w:gridCol w:w="1161"/>
        <w:gridCol w:w="1174"/>
        <w:gridCol w:w="1174"/>
        <w:gridCol w:w="1242"/>
        <w:gridCol w:w="1242"/>
        <w:gridCol w:w="1242"/>
        <w:gridCol w:w="1155"/>
        <w:gridCol w:w="1155"/>
        <w:gridCol w:w="1156"/>
      </w:tblGrid>
      <w:tr w:rsidR="005B76DC" w:rsidRPr="003B1815" w14:paraId="210A74D5" w14:textId="77777777" w:rsidTr="00695618">
        <w:trPr>
          <w:trHeight w:val="192"/>
          <w:jc w:val="center"/>
        </w:trPr>
        <w:tc>
          <w:tcPr>
            <w:tcW w:w="3290" w:type="dxa"/>
            <w:tcBorders>
              <w:top w:val="single" w:sz="4" w:space="0" w:color="auto"/>
              <w:bottom w:val="single" w:sz="4" w:space="0" w:color="auto"/>
            </w:tcBorders>
          </w:tcPr>
          <w:p w14:paraId="7C164DCE" w14:textId="77777777" w:rsidR="005B76DC" w:rsidRPr="003B1815" w:rsidRDefault="005B76DC" w:rsidP="00EF3D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14:paraId="7EB3C48E" w14:textId="77777777" w:rsidR="005B76DC" w:rsidRPr="003B1815" w:rsidRDefault="005B76DC" w:rsidP="00EF3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1815"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  <w:r w:rsidRPr="003B181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  <w:r w:rsidRPr="003B18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14:paraId="51886B01" w14:textId="77777777" w:rsidR="005B76DC" w:rsidRPr="003B1815" w:rsidRDefault="005B76DC" w:rsidP="00EF3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1815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7DE318" w14:textId="77777777" w:rsidR="005B76DC" w:rsidRPr="003B1815" w:rsidRDefault="005B76DC" w:rsidP="00EF3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1815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7E18D6" w14:textId="77777777" w:rsidR="005B76DC" w:rsidRPr="003B1815" w:rsidRDefault="005B76DC" w:rsidP="00EF3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1815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BB32B" w14:textId="77777777" w:rsidR="005B76DC" w:rsidRPr="003B1815" w:rsidRDefault="005B76DC" w:rsidP="00EF3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1815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6541FA" w14:textId="77777777" w:rsidR="005B76DC" w:rsidRPr="003B1815" w:rsidRDefault="005B76DC" w:rsidP="00EF3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1815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A0E6FF" w14:textId="77777777" w:rsidR="005B76DC" w:rsidRPr="003B1815" w:rsidRDefault="005B76DC" w:rsidP="00EF3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1815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A6993" w14:textId="77777777" w:rsidR="005B76DC" w:rsidRPr="003B1815" w:rsidRDefault="005B76DC" w:rsidP="00EF3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1815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411B4C" w14:textId="77777777" w:rsidR="005B76DC" w:rsidRPr="003B1815" w:rsidRDefault="005B76DC" w:rsidP="00EF3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1815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C105DA" w14:textId="77777777" w:rsidR="005B76DC" w:rsidRPr="003B1815" w:rsidRDefault="005B76DC" w:rsidP="00EF3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1815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  <w:r w:rsidRPr="003B181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a</w:t>
            </w:r>
          </w:p>
        </w:tc>
      </w:tr>
      <w:tr w:rsidR="005B76DC" w:rsidRPr="003B1815" w14:paraId="513F7FBE" w14:textId="77777777" w:rsidTr="00695618">
        <w:trPr>
          <w:trHeight w:val="60"/>
          <w:jc w:val="center"/>
        </w:trPr>
        <w:tc>
          <w:tcPr>
            <w:tcW w:w="1516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930D3F1" w14:textId="77777777" w:rsidR="005B76DC" w:rsidRPr="003B1815" w:rsidRDefault="005B76DC" w:rsidP="00EF3D3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B18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Home care package (</w:t>
            </w:r>
            <w:r w:rsidRPr="003B181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</w:t>
            </w:r>
            <w:r w:rsidRPr="003B18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=47,317)</w:t>
            </w:r>
          </w:p>
        </w:tc>
      </w:tr>
      <w:tr w:rsidR="0034437E" w:rsidRPr="003B1815" w14:paraId="1630AC54" w14:textId="77777777" w:rsidTr="00695618">
        <w:trPr>
          <w:jc w:val="center"/>
        </w:trPr>
        <w:tc>
          <w:tcPr>
            <w:tcW w:w="329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C1488E6" w14:textId="77777777" w:rsidR="005B76DC" w:rsidRPr="003B1815" w:rsidRDefault="005B76DC" w:rsidP="00EF3D3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B1815">
              <w:rPr>
                <w:rFonts w:ascii="Times New Roman" w:hAnsi="Times New Roman" w:cs="Times New Roman"/>
                <w:sz w:val="16"/>
                <w:szCs w:val="16"/>
              </w:rPr>
              <w:t xml:space="preserve">Total receiving HCP </w:t>
            </w:r>
            <w:r w:rsidRPr="003B181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17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AD4901D" w14:textId="66B109D8" w:rsidR="005B76DC" w:rsidRPr="003B1815" w:rsidRDefault="00396665" w:rsidP="00EF3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61,949</w:t>
            </w:r>
          </w:p>
        </w:tc>
        <w:tc>
          <w:tcPr>
            <w:tcW w:w="116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7A950A0" w14:textId="766643CE" w:rsidR="005B76DC" w:rsidRPr="003B1815" w:rsidRDefault="00D034E6" w:rsidP="00EF3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66,990</w:t>
            </w:r>
          </w:p>
        </w:tc>
        <w:tc>
          <w:tcPr>
            <w:tcW w:w="117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586C46B" w14:textId="4920EE1D" w:rsidR="005B76DC" w:rsidRPr="003B1815" w:rsidRDefault="00546994" w:rsidP="00EF3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72,229</w:t>
            </w:r>
          </w:p>
        </w:tc>
        <w:tc>
          <w:tcPr>
            <w:tcW w:w="117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E2A22DA" w14:textId="0714059C" w:rsidR="005B76DC" w:rsidRPr="003B1815" w:rsidRDefault="00643038" w:rsidP="00EF3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77,323</w:t>
            </w:r>
          </w:p>
        </w:tc>
        <w:tc>
          <w:tcPr>
            <w:tcW w:w="124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187C0D7" w14:textId="1A2E7C1A" w:rsidR="005B76DC" w:rsidRPr="003B1815" w:rsidRDefault="00237A51" w:rsidP="00EF3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80,53</w:t>
            </w:r>
            <w:r w:rsidR="0034437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FFDC20F" w14:textId="67397493" w:rsidR="005B76DC" w:rsidRPr="003B1815" w:rsidRDefault="00712390" w:rsidP="00EF3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84,761</w:t>
            </w:r>
          </w:p>
        </w:tc>
        <w:tc>
          <w:tcPr>
            <w:tcW w:w="124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50A9E00" w14:textId="48C754FB" w:rsidR="005B76DC" w:rsidRPr="003B1815" w:rsidRDefault="00F551A7" w:rsidP="00EF3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82,450</w:t>
            </w:r>
          </w:p>
        </w:tc>
        <w:tc>
          <w:tcPr>
            <w:tcW w:w="115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35C5D36" w14:textId="25D5F81E" w:rsidR="005B76DC" w:rsidRPr="003B1815" w:rsidRDefault="00E33C38" w:rsidP="00EF3D3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89.299</w:t>
            </w:r>
          </w:p>
        </w:tc>
        <w:tc>
          <w:tcPr>
            <w:tcW w:w="115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970BA27" w14:textId="013BB7FD" w:rsidR="005B76DC" w:rsidRPr="003B1815" w:rsidRDefault="00221529" w:rsidP="00EF3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</w:t>
            </w:r>
            <w:r w:rsidR="001C1140">
              <w:rPr>
                <w:rFonts w:ascii="Times New Roman" w:hAnsi="Times New Roman" w:cs="Times New Roman"/>
                <w:sz w:val="16"/>
                <w:szCs w:val="16"/>
              </w:rPr>
              <w:t>,476</w:t>
            </w:r>
          </w:p>
        </w:tc>
        <w:tc>
          <w:tcPr>
            <w:tcW w:w="115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4A26CB1" w14:textId="2B024504" w:rsidR="00DC70ED" w:rsidRPr="003B1815" w:rsidRDefault="00AD4F77" w:rsidP="00EF3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99,581</w:t>
            </w:r>
          </w:p>
        </w:tc>
      </w:tr>
      <w:tr w:rsidR="005B76DC" w:rsidRPr="003B1815" w14:paraId="381FC0AF" w14:textId="77777777" w:rsidTr="00695618">
        <w:trPr>
          <w:jc w:val="center"/>
        </w:trPr>
        <w:tc>
          <w:tcPr>
            <w:tcW w:w="32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4FC6E3" w14:textId="77777777" w:rsidR="005B76DC" w:rsidRPr="003B1815" w:rsidRDefault="005B76DC" w:rsidP="00EF3D3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B1815">
              <w:rPr>
                <w:rFonts w:ascii="Times New Roman" w:hAnsi="Times New Roman" w:cs="Times New Roman"/>
                <w:sz w:val="16"/>
                <w:szCs w:val="16"/>
              </w:rPr>
              <w:t>Total deaths</w:t>
            </w: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8DF164" w14:textId="77777777" w:rsidR="005B76DC" w:rsidRPr="003B1815" w:rsidRDefault="005B76DC" w:rsidP="00EF3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1815">
              <w:rPr>
                <w:rFonts w:ascii="Times New Roman" w:hAnsi="Times New Roman" w:cs="Times New Roman"/>
                <w:sz w:val="16"/>
                <w:szCs w:val="16"/>
              </w:rPr>
              <w:t>2360</w:t>
            </w: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727DFE" w14:textId="77777777" w:rsidR="005B76DC" w:rsidRPr="003B1815" w:rsidRDefault="005B76DC" w:rsidP="00EF3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1815">
              <w:rPr>
                <w:rFonts w:ascii="Times New Roman" w:hAnsi="Times New Roman" w:cs="Times New Roman"/>
                <w:sz w:val="16"/>
                <w:szCs w:val="16"/>
              </w:rPr>
              <w:t>4446</w:t>
            </w:r>
          </w:p>
        </w:tc>
        <w:tc>
          <w:tcPr>
            <w:tcW w:w="11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584BFE" w14:textId="77777777" w:rsidR="005B76DC" w:rsidRPr="003B1815" w:rsidRDefault="005B76DC" w:rsidP="00EF3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1815">
              <w:rPr>
                <w:rFonts w:ascii="Times New Roman" w:hAnsi="Times New Roman" w:cs="Times New Roman"/>
                <w:sz w:val="16"/>
                <w:szCs w:val="16"/>
              </w:rPr>
              <w:t>4963</w:t>
            </w:r>
          </w:p>
        </w:tc>
        <w:tc>
          <w:tcPr>
            <w:tcW w:w="11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683D7D" w14:textId="77777777" w:rsidR="005B76DC" w:rsidRPr="003B1815" w:rsidRDefault="005B76DC" w:rsidP="00EF3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1815">
              <w:rPr>
                <w:rFonts w:ascii="Times New Roman" w:hAnsi="Times New Roman" w:cs="Times New Roman"/>
                <w:sz w:val="16"/>
                <w:szCs w:val="16"/>
              </w:rPr>
              <w:t>5408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0BEC08" w14:textId="77777777" w:rsidR="005B76DC" w:rsidRPr="003B1815" w:rsidRDefault="005B76DC" w:rsidP="00EF3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1815">
              <w:rPr>
                <w:rFonts w:ascii="Times New Roman" w:hAnsi="Times New Roman" w:cs="Times New Roman"/>
                <w:sz w:val="16"/>
                <w:szCs w:val="16"/>
              </w:rPr>
              <w:t>5852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6AC00E" w14:textId="77777777" w:rsidR="005B76DC" w:rsidRPr="003B1815" w:rsidRDefault="005B76DC" w:rsidP="00EF3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1815">
              <w:rPr>
                <w:rFonts w:ascii="Times New Roman" w:hAnsi="Times New Roman" w:cs="Times New Roman"/>
                <w:sz w:val="16"/>
                <w:szCs w:val="16"/>
              </w:rPr>
              <w:t>5790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56A80F" w14:textId="77777777" w:rsidR="005B76DC" w:rsidRPr="003B1815" w:rsidRDefault="005B76DC" w:rsidP="00EF3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1815">
              <w:rPr>
                <w:rFonts w:ascii="Times New Roman" w:hAnsi="Times New Roman" w:cs="Times New Roman"/>
                <w:sz w:val="16"/>
                <w:szCs w:val="16"/>
              </w:rPr>
              <w:t>5680</w:t>
            </w: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7A3285" w14:textId="77777777" w:rsidR="005B76DC" w:rsidRPr="003B1815" w:rsidRDefault="005B76DC" w:rsidP="00EF3D3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18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5443</w:t>
            </w: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F107CF" w14:textId="77777777" w:rsidR="005B76DC" w:rsidRPr="003B1815" w:rsidRDefault="005B76DC" w:rsidP="00EF3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1815">
              <w:rPr>
                <w:rFonts w:ascii="Times New Roman" w:hAnsi="Times New Roman" w:cs="Times New Roman"/>
                <w:sz w:val="16"/>
                <w:szCs w:val="16"/>
              </w:rPr>
              <w:t>4932</w:t>
            </w:r>
          </w:p>
        </w:tc>
        <w:tc>
          <w:tcPr>
            <w:tcW w:w="11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C574D4" w14:textId="77777777" w:rsidR="005B76DC" w:rsidRPr="003B1815" w:rsidRDefault="005B76DC" w:rsidP="00EF3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1815">
              <w:rPr>
                <w:rFonts w:ascii="Times New Roman" w:hAnsi="Times New Roman" w:cs="Times New Roman"/>
                <w:sz w:val="16"/>
                <w:szCs w:val="16"/>
              </w:rPr>
              <w:t>2443</w:t>
            </w:r>
          </w:p>
        </w:tc>
      </w:tr>
      <w:tr w:rsidR="006B00EF" w:rsidRPr="003B1815" w14:paraId="3DA8FBA0" w14:textId="77777777" w:rsidTr="00695618">
        <w:trPr>
          <w:trHeight w:val="136"/>
          <w:jc w:val="center"/>
        </w:trPr>
        <w:tc>
          <w:tcPr>
            <w:tcW w:w="32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2FC0FB" w14:textId="77777777" w:rsidR="006B00EF" w:rsidRPr="003B1815" w:rsidRDefault="006B00EF" w:rsidP="006B00E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B1815">
              <w:rPr>
                <w:rFonts w:ascii="Times New Roman" w:hAnsi="Times New Roman" w:cs="Times New Roman"/>
                <w:sz w:val="16"/>
                <w:szCs w:val="16"/>
              </w:rPr>
              <w:t xml:space="preserve">Deaths by suicide </w:t>
            </w:r>
            <w:r w:rsidRPr="003B181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</w:t>
            </w:r>
            <w:r w:rsidRPr="003B1815">
              <w:rPr>
                <w:rFonts w:ascii="Times New Roman" w:hAnsi="Times New Roman" w:cs="Times New Roman"/>
                <w:sz w:val="16"/>
                <w:szCs w:val="16"/>
              </w:rPr>
              <w:t xml:space="preserve"> (% of all deaths)</w:t>
            </w: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0B3AFF" w14:textId="0FC75331" w:rsidR="006B00EF" w:rsidRPr="003B1815" w:rsidRDefault="004C5E38" w:rsidP="006B00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np</w:t>
            </w: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E30BFF" w14:textId="2A58F635" w:rsidR="006B00EF" w:rsidRPr="003B1815" w:rsidRDefault="004C5E38" w:rsidP="006B00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np</w:t>
            </w:r>
          </w:p>
        </w:tc>
        <w:tc>
          <w:tcPr>
            <w:tcW w:w="11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501ACA" w14:textId="77777777" w:rsidR="006B00EF" w:rsidRPr="003B1815" w:rsidRDefault="006B00EF" w:rsidP="006B00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1815">
              <w:rPr>
                <w:rFonts w:ascii="Times New Roman" w:hAnsi="Times New Roman" w:cs="Times New Roman"/>
                <w:sz w:val="16"/>
                <w:szCs w:val="16"/>
              </w:rPr>
              <w:t>10 (0.20)</w:t>
            </w:r>
          </w:p>
        </w:tc>
        <w:tc>
          <w:tcPr>
            <w:tcW w:w="11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209976" w14:textId="77777777" w:rsidR="006B00EF" w:rsidRPr="003B1815" w:rsidRDefault="006B00EF" w:rsidP="006B00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1815">
              <w:rPr>
                <w:rFonts w:ascii="Times New Roman" w:hAnsi="Times New Roman" w:cs="Times New Roman"/>
                <w:sz w:val="16"/>
                <w:szCs w:val="16"/>
              </w:rPr>
              <w:t>10 (0.18)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AC3B27" w14:textId="77777777" w:rsidR="006B00EF" w:rsidRPr="003B1815" w:rsidRDefault="006B00EF" w:rsidP="006B00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1815">
              <w:rPr>
                <w:rFonts w:ascii="Times New Roman" w:hAnsi="Times New Roman" w:cs="Times New Roman"/>
                <w:sz w:val="16"/>
                <w:szCs w:val="16"/>
              </w:rPr>
              <w:t>8 (0.14)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66279A" w14:textId="77777777" w:rsidR="006B00EF" w:rsidRPr="003B1815" w:rsidRDefault="006B00EF" w:rsidP="006B00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1815">
              <w:rPr>
                <w:rFonts w:ascii="Times New Roman" w:hAnsi="Times New Roman" w:cs="Times New Roman"/>
                <w:sz w:val="16"/>
                <w:szCs w:val="16"/>
              </w:rPr>
              <w:t>17 (0.29)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0A1006" w14:textId="77777777" w:rsidR="006B00EF" w:rsidRPr="003B1815" w:rsidRDefault="006B00EF" w:rsidP="006B00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1815">
              <w:rPr>
                <w:rFonts w:ascii="Times New Roman" w:hAnsi="Times New Roman" w:cs="Times New Roman"/>
                <w:sz w:val="16"/>
                <w:szCs w:val="16"/>
              </w:rPr>
              <w:t>12 (0.21)</w:t>
            </w: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1557D3" w14:textId="77777777" w:rsidR="006B00EF" w:rsidRPr="003B1815" w:rsidRDefault="006B00EF" w:rsidP="006B00E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18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 (0.13)</w:t>
            </w: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D7027B" w14:textId="763DE181" w:rsidR="006B00EF" w:rsidRPr="003B1815" w:rsidRDefault="004C5E38" w:rsidP="006B00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np</w:t>
            </w:r>
          </w:p>
        </w:tc>
        <w:tc>
          <w:tcPr>
            <w:tcW w:w="11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8717CE" w14:textId="390AA7C2" w:rsidR="006B00EF" w:rsidRPr="003B1815" w:rsidRDefault="004C5E38" w:rsidP="006B00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np</w:t>
            </w:r>
          </w:p>
        </w:tc>
      </w:tr>
      <w:tr w:rsidR="005B0B39" w:rsidRPr="003B1815" w14:paraId="75CD4B00" w14:textId="77777777" w:rsidTr="00695618">
        <w:trPr>
          <w:jc w:val="center"/>
        </w:trPr>
        <w:tc>
          <w:tcPr>
            <w:tcW w:w="32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1A7A9B" w14:textId="08677968" w:rsidR="005B0B39" w:rsidRPr="003B1815" w:rsidRDefault="005B0B39" w:rsidP="006B00E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Crude mortality rate (all </w:t>
            </w:r>
            <w:r w:rsidR="00D40E29">
              <w:rPr>
                <w:rFonts w:ascii="Times New Roman" w:hAnsi="Times New Roman" w:cs="Times New Roman"/>
                <w:sz w:val="16"/>
                <w:szCs w:val="16"/>
              </w:rPr>
              <w:t>deaths)</w:t>
            </w:r>
            <w:r w:rsidR="00163C0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B6AE1" w:rsidRPr="009B6AE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e</w:t>
            </w:r>
            <w:r w:rsidR="00163C09" w:rsidRPr="00405BA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DE610D" w14:textId="6F720295" w:rsidR="005B0B39" w:rsidRDefault="00421DFA" w:rsidP="006B00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7619.2</w:t>
            </w: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3E1A45" w14:textId="67E1BB99" w:rsidR="005B0B39" w:rsidRPr="003B1815" w:rsidRDefault="00066BCA" w:rsidP="006B00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6636.8</w:t>
            </w:r>
          </w:p>
        </w:tc>
        <w:tc>
          <w:tcPr>
            <w:tcW w:w="11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82AE25" w14:textId="16672099" w:rsidR="005B0B39" w:rsidRPr="003B1815" w:rsidRDefault="00066BCA" w:rsidP="006B00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6864.5</w:t>
            </w:r>
          </w:p>
        </w:tc>
        <w:tc>
          <w:tcPr>
            <w:tcW w:w="11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5F9CA2" w14:textId="25BC3420" w:rsidR="005B0B39" w:rsidRPr="003B1815" w:rsidRDefault="00066BCA" w:rsidP="006B00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6994.0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08A881" w14:textId="34D3DD7E" w:rsidR="005B0B39" w:rsidRPr="003B1815" w:rsidRDefault="00066BCA" w:rsidP="006B00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7266.2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351270" w14:textId="286AC3AD" w:rsidR="005B0B39" w:rsidRPr="003B1815" w:rsidRDefault="00066BCA" w:rsidP="006B00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6831.0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1127A8" w14:textId="60A5EF1E" w:rsidR="005B0B39" w:rsidRPr="003B1815" w:rsidRDefault="00066BCA" w:rsidP="006B00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6889.0</w:t>
            </w: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2B311F" w14:textId="5BF3CD1A" w:rsidR="005B0B39" w:rsidRPr="003B1815" w:rsidRDefault="00066BCA" w:rsidP="006B00E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6095.3</w:t>
            </w: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084AF9" w14:textId="6F6979CF" w:rsidR="005B0B39" w:rsidRPr="003B1815" w:rsidRDefault="00405BAA" w:rsidP="006B00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5276.2</w:t>
            </w:r>
          </w:p>
        </w:tc>
        <w:tc>
          <w:tcPr>
            <w:tcW w:w="11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31350F" w14:textId="485BE1FF" w:rsidR="005B0B39" w:rsidRDefault="00464EA0" w:rsidP="006B00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4906.6</w:t>
            </w:r>
          </w:p>
        </w:tc>
      </w:tr>
      <w:tr w:rsidR="004C5E38" w:rsidRPr="003B1815" w14:paraId="62AC2417" w14:textId="77777777" w:rsidTr="00C51BB3">
        <w:trPr>
          <w:jc w:val="center"/>
        </w:trPr>
        <w:tc>
          <w:tcPr>
            <w:tcW w:w="32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C9EF09" w14:textId="6CF40E11" w:rsidR="004C5E38" w:rsidRPr="003B1815" w:rsidRDefault="004C5E38" w:rsidP="004C5E3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B1815">
              <w:rPr>
                <w:rFonts w:ascii="Times New Roman" w:hAnsi="Times New Roman" w:cs="Times New Roman"/>
                <w:sz w:val="16"/>
                <w:szCs w:val="16"/>
              </w:rPr>
              <w:t xml:space="preserve">Crude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suicide mortality rate </w:t>
            </w:r>
            <w:r w:rsidRPr="009B6AE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E3F1CD" w14:textId="737FB2F4" w:rsidR="004C5E38" w:rsidRPr="003B1815" w:rsidRDefault="004C5E38" w:rsidP="004C5E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np</w:t>
            </w: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C034E4" w14:textId="41A91007" w:rsidR="004C5E38" w:rsidRPr="003D0359" w:rsidRDefault="004C5E38" w:rsidP="004C5E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np</w:t>
            </w:r>
          </w:p>
        </w:tc>
        <w:tc>
          <w:tcPr>
            <w:tcW w:w="11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2B9EC7D" w14:textId="49F1F50B" w:rsidR="004C5E38" w:rsidRPr="003D0359" w:rsidRDefault="004C5E38" w:rsidP="004C5E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03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13.8</w:t>
            </w:r>
          </w:p>
        </w:tc>
        <w:tc>
          <w:tcPr>
            <w:tcW w:w="11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1B25333" w14:textId="62528D1F" w:rsidR="004C5E38" w:rsidRPr="003D0359" w:rsidRDefault="004C5E38" w:rsidP="004C5E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03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12.9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12E928F" w14:textId="13FCCE35" w:rsidR="004C5E38" w:rsidRPr="003D0359" w:rsidRDefault="004C5E38" w:rsidP="004C5E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03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2B95949" w14:textId="647F88F7" w:rsidR="004C5E38" w:rsidRPr="003D0359" w:rsidRDefault="004C5E38" w:rsidP="004C5E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03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BA2F720" w14:textId="0BB65109" w:rsidR="004C5E38" w:rsidRPr="003D0359" w:rsidRDefault="004C5E38" w:rsidP="004C5E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03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5EF438B" w14:textId="6C4F8FEC" w:rsidR="004C5E38" w:rsidRPr="003D0359" w:rsidRDefault="004C5E38" w:rsidP="004C5E3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D03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6FF0FD3" w14:textId="01B6A063" w:rsidR="004C5E38" w:rsidRPr="003D0359" w:rsidRDefault="004C5E38" w:rsidP="004C5E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np</w:t>
            </w:r>
          </w:p>
        </w:tc>
        <w:tc>
          <w:tcPr>
            <w:tcW w:w="11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0EF3D0" w14:textId="44655953" w:rsidR="004C5E38" w:rsidRPr="004C5E38" w:rsidRDefault="004C5E38" w:rsidP="004C5E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E38">
              <w:rPr>
                <w:rFonts w:ascii="Times New Roman" w:hAnsi="Times New Roman" w:cs="Times New Roman"/>
                <w:sz w:val="16"/>
                <w:szCs w:val="16"/>
              </w:rPr>
              <w:t>np</w:t>
            </w:r>
          </w:p>
        </w:tc>
      </w:tr>
      <w:tr w:rsidR="004C5E38" w:rsidRPr="003B1815" w14:paraId="66D0E948" w14:textId="77777777" w:rsidTr="00695618">
        <w:trPr>
          <w:jc w:val="center"/>
        </w:trPr>
        <w:tc>
          <w:tcPr>
            <w:tcW w:w="329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0F162AC" w14:textId="68D1E854" w:rsidR="004C5E38" w:rsidRPr="003B1815" w:rsidRDefault="004C5E38" w:rsidP="004C5E3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B1815">
              <w:rPr>
                <w:rFonts w:ascii="Times New Roman" w:hAnsi="Times New Roman" w:cs="Times New Roman"/>
                <w:sz w:val="16"/>
                <w:szCs w:val="16"/>
              </w:rPr>
              <w:t xml:space="preserve">Adjusted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suicide mortality rate</w:t>
            </w:r>
            <w:r w:rsidRPr="003B1815">
              <w:rPr>
                <w:rFonts w:ascii="Times New Roman" w:hAnsi="Times New Roman" w:cs="Times New Roman"/>
                <w:sz w:val="16"/>
                <w:szCs w:val="16"/>
              </w:rPr>
              <w:t xml:space="preserve"> (95%CI) </w:t>
            </w:r>
            <w:r w:rsidRPr="009B6AE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e</w:t>
            </w:r>
            <w:r w:rsidRPr="0051065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,</w:t>
            </w:r>
            <w:r w:rsidRPr="00EB7FE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1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DBFA486" w14:textId="5ECB16B9" w:rsidR="004C5E38" w:rsidRPr="003B1815" w:rsidRDefault="004C5E38" w:rsidP="004C5E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np</w:t>
            </w:r>
          </w:p>
        </w:tc>
        <w:tc>
          <w:tcPr>
            <w:tcW w:w="11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ECB84E9" w14:textId="4C1EF330" w:rsidR="004C5E38" w:rsidRPr="003B1815" w:rsidRDefault="004C5E38" w:rsidP="004C5E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np</w:t>
            </w:r>
          </w:p>
        </w:tc>
        <w:tc>
          <w:tcPr>
            <w:tcW w:w="117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5AD4C0B" w14:textId="36A8917A" w:rsidR="004C5E38" w:rsidRDefault="004C5E38" w:rsidP="004C5E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</w:t>
            </w:r>
          </w:p>
          <w:p w14:paraId="09D3A11F" w14:textId="4E9F8893" w:rsidR="004C5E38" w:rsidRPr="003B1815" w:rsidRDefault="004C5E38" w:rsidP="004C5E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(5.9-22.4)</w:t>
            </w:r>
          </w:p>
        </w:tc>
        <w:tc>
          <w:tcPr>
            <w:tcW w:w="117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6E1EC8E" w14:textId="13343599" w:rsidR="004C5E38" w:rsidRDefault="004C5E38" w:rsidP="004C5E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</w:t>
            </w:r>
          </w:p>
          <w:p w14:paraId="1AC86017" w14:textId="5B633842" w:rsidR="004C5E38" w:rsidRPr="003B1815" w:rsidRDefault="004C5E38" w:rsidP="004C5E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(5.3-21.3)</w:t>
            </w:r>
          </w:p>
        </w:tc>
        <w:tc>
          <w:tcPr>
            <w:tcW w:w="124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10015B6" w14:textId="09407743" w:rsidR="004C5E38" w:rsidRDefault="004C5E38" w:rsidP="004C5E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</w:t>
            </w:r>
          </w:p>
          <w:p w14:paraId="6C064AB0" w14:textId="258C9A47" w:rsidR="004C5E38" w:rsidRPr="003B1815" w:rsidRDefault="004C5E38" w:rsidP="004C5E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(30.7-17.0)</w:t>
            </w:r>
          </w:p>
        </w:tc>
        <w:tc>
          <w:tcPr>
            <w:tcW w:w="124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E81C4A8" w14:textId="6DCBA0FA" w:rsidR="004C5E38" w:rsidRDefault="004C5E38" w:rsidP="004C5E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20.2 </w:t>
            </w:r>
          </w:p>
          <w:p w14:paraId="7791E61B" w14:textId="08722854" w:rsidR="004C5E38" w:rsidRPr="003B1815" w:rsidRDefault="004C5E38" w:rsidP="004C5E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(10.3-30.0)</w:t>
            </w:r>
          </w:p>
        </w:tc>
        <w:tc>
          <w:tcPr>
            <w:tcW w:w="124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C99E9D1" w14:textId="77777777" w:rsidR="004C5E38" w:rsidRDefault="004C5E38" w:rsidP="004C5E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14.6</w:t>
            </w:r>
          </w:p>
          <w:p w14:paraId="2717FCCE" w14:textId="5984624E" w:rsidR="004C5E38" w:rsidRPr="003B1815" w:rsidRDefault="004C5E38" w:rsidP="004C5E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(6.2-23.0)</w:t>
            </w:r>
          </w:p>
        </w:tc>
        <w:tc>
          <w:tcPr>
            <w:tcW w:w="11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835B23F" w14:textId="77777777" w:rsidR="004C5E38" w:rsidRDefault="004C5E38" w:rsidP="004C5E3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7.6</w:t>
            </w:r>
          </w:p>
          <w:p w14:paraId="61399E07" w14:textId="421E46F5" w:rsidR="004C5E38" w:rsidRPr="003B1815" w:rsidRDefault="004C5E38" w:rsidP="004C5E3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(1.6-13.7)</w:t>
            </w:r>
          </w:p>
        </w:tc>
        <w:tc>
          <w:tcPr>
            <w:tcW w:w="11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456D8EF" w14:textId="21290AA0" w:rsidR="004C5E38" w:rsidRPr="004C5E38" w:rsidRDefault="004C5E38" w:rsidP="004C5E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E38">
              <w:rPr>
                <w:rFonts w:ascii="Times New Roman" w:hAnsi="Times New Roman" w:cs="Times New Roman"/>
                <w:sz w:val="16"/>
                <w:szCs w:val="16"/>
              </w:rPr>
              <w:t>np</w:t>
            </w:r>
          </w:p>
        </w:tc>
        <w:tc>
          <w:tcPr>
            <w:tcW w:w="115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198325D" w14:textId="105D12C4" w:rsidR="004C5E38" w:rsidRPr="004C5E38" w:rsidRDefault="004C5E38" w:rsidP="004C5E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E38">
              <w:rPr>
                <w:rFonts w:ascii="Times New Roman" w:hAnsi="Times New Roman" w:cs="Times New Roman"/>
                <w:sz w:val="16"/>
                <w:szCs w:val="16"/>
              </w:rPr>
              <w:t>np</w:t>
            </w:r>
          </w:p>
        </w:tc>
      </w:tr>
      <w:tr w:rsidR="002A0433" w:rsidRPr="003B1815" w14:paraId="462BE096" w14:textId="77777777" w:rsidTr="00695618">
        <w:trPr>
          <w:jc w:val="center"/>
        </w:trPr>
        <w:tc>
          <w:tcPr>
            <w:tcW w:w="1516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79264A4" w14:textId="77777777" w:rsidR="002A0433" w:rsidRPr="003B1815" w:rsidRDefault="002A0433" w:rsidP="002A043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B181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Residential aged care (</w:t>
            </w:r>
            <w:r w:rsidRPr="003B181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n</w:t>
            </w:r>
            <w:r w:rsidRPr="003B181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=423,884)</w:t>
            </w:r>
          </w:p>
        </w:tc>
      </w:tr>
      <w:tr w:rsidR="002F6C27" w:rsidRPr="003B1815" w14:paraId="1F9ACF7D" w14:textId="77777777" w:rsidTr="00695618">
        <w:trPr>
          <w:jc w:val="center"/>
        </w:trPr>
        <w:tc>
          <w:tcPr>
            <w:tcW w:w="329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C53C1D2" w14:textId="77777777" w:rsidR="002F6C27" w:rsidRPr="003B1815" w:rsidRDefault="002F6C27" w:rsidP="002F6C2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B1815">
              <w:rPr>
                <w:rFonts w:ascii="Times New Roman" w:hAnsi="Times New Roman" w:cs="Times New Roman"/>
                <w:sz w:val="16"/>
                <w:szCs w:val="16"/>
              </w:rPr>
              <w:t xml:space="preserve">Total receiving PRAC </w:t>
            </w:r>
            <w:r w:rsidRPr="003B181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17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3F5B45" w14:textId="52915569" w:rsidR="002F6C27" w:rsidRPr="002F6C27" w:rsidRDefault="002F6C27" w:rsidP="002F6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218,383</w:t>
            </w:r>
          </w:p>
        </w:tc>
        <w:tc>
          <w:tcPr>
            <w:tcW w:w="116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9D58EF" w14:textId="403B9471" w:rsidR="002F6C27" w:rsidRPr="002F6C27" w:rsidRDefault="002F6C27" w:rsidP="002F6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220,417</w:t>
            </w:r>
          </w:p>
        </w:tc>
        <w:tc>
          <w:tcPr>
            <w:tcW w:w="117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698DC2" w14:textId="3468FEC8" w:rsidR="002F6C27" w:rsidRPr="002F6C27" w:rsidRDefault="002F6C27" w:rsidP="002F6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224,053</w:t>
            </w:r>
          </w:p>
        </w:tc>
        <w:tc>
          <w:tcPr>
            <w:tcW w:w="117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702983" w14:textId="7F936008" w:rsidR="002F6C27" w:rsidRPr="002F6C27" w:rsidRDefault="002F6C27" w:rsidP="002F6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226,425</w:t>
            </w:r>
          </w:p>
        </w:tc>
        <w:tc>
          <w:tcPr>
            <w:tcW w:w="124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F55EDC" w14:textId="224277DA" w:rsidR="002F6C27" w:rsidRPr="002F6C27" w:rsidRDefault="002F6C27" w:rsidP="002F6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230,351</w:t>
            </w:r>
          </w:p>
        </w:tc>
        <w:tc>
          <w:tcPr>
            <w:tcW w:w="124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44D059" w14:textId="7CDE90C2" w:rsidR="002F6C27" w:rsidRPr="002F6C27" w:rsidRDefault="002F6C27" w:rsidP="002F6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235,534</w:t>
            </w:r>
          </w:p>
        </w:tc>
        <w:tc>
          <w:tcPr>
            <w:tcW w:w="124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F9C98A" w14:textId="0227CA9A" w:rsidR="002F6C27" w:rsidRPr="002F6C27" w:rsidRDefault="002F6C27" w:rsidP="002F6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227,896</w:t>
            </w:r>
          </w:p>
        </w:tc>
        <w:tc>
          <w:tcPr>
            <w:tcW w:w="115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B5797D" w14:textId="0D175C25" w:rsidR="002F6C27" w:rsidRPr="002F6C27" w:rsidRDefault="002F6C27" w:rsidP="002F6C2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236,056</w:t>
            </w:r>
          </w:p>
        </w:tc>
        <w:tc>
          <w:tcPr>
            <w:tcW w:w="115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029FC1" w14:textId="4E7BDFBC" w:rsidR="002F6C27" w:rsidRPr="002F6C27" w:rsidRDefault="002F6C27" w:rsidP="002F6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241,018</w:t>
            </w:r>
          </w:p>
        </w:tc>
        <w:tc>
          <w:tcPr>
            <w:tcW w:w="115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B785F4" w14:textId="04C509C0" w:rsidR="002F6C27" w:rsidRPr="002F6C27" w:rsidRDefault="002F6C27" w:rsidP="002F6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242,405</w:t>
            </w:r>
          </w:p>
        </w:tc>
      </w:tr>
      <w:tr w:rsidR="009B6AE1" w:rsidRPr="003B1815" w14:paraId="3A7722A1" w14:textId="77777777" w:rsidTr="00695618">
        <w:trPr>
          <w:jc w:val="center"/>
        </w:trPr>
        <w:tc>
          <w:tcPr>
            <w:tcW w:w="32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16ACD4" w14:textId="5A2484C0" w:rsidR="009B6AE1" w:rsidRPr="003B1815" w:rsidRDefault="009B6AE1" w:rsidP="009B6AE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B1815">
              <w:rPr>
                <w:rFonts w:ascii="Times New Roman" w:hAnsi="Times New Roman" w:cs="Times New Roman"/>
                <w:sz w:val="16"/>
                <w:szCs w:val="16"/>
              </w:rPr>
              <w:t>Total deaths</w:t>
            </w: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F10042" w14:textId="77777777" w:rsidR="009B6AE1" w:rsidRPr="002F6C27" w:rsidRDefault="009B6AE1" w:rsidP="009B6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C27">
              <w:rPr>
                <w:rFonts w:ascii="Times New Roman" w:hAnsi="Times New Roman" w:cs="Times New Roman"/>
                <w:sz w:val="16"/>
                <w:szCs w:val="16"/>
              </w:rPr>
              <w:t>20,095</w:t>
            </w: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A3A325" w14:textId="77777777" w:rsidR="009B6AE1" w:rsidRPr="002F6C27" w:rsidRDefault="009B6AE1" w:rsidP="009B6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C27">
              <w:rPr>
                <w:rFonts w:ascii="Times New Roman" w:hAnsi="Times New Roman" w:cs="Times New Roman"/>
                <w:sz w:val="16"/>
                <w:szCs w:val="16"/>
              </w:rPr>
              <w:t>39,107</w:t>
            </w:r>
          </w:p>
        </w:tc>
        <w:tc>
          <w:tcPr>
            <w:tcW w:w="11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B67AA3" w14:textId="77777777" w:rsidR="009B6AE1" w:rsidRPr="002F6C27" w:rsidRDefault="009B6AE1" w:rsidP="009B6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C27">
              <w:rPr>
                <w:rFonts w:ascii="Times New Roman" w:hAnsi="Times New Roman" w:cs="Times New Roman"/>
                <w:sz w:val="16"/>
                <w:szCs w:val="16"/>
              </w:rPr>
              <w:t>42,612</w:t>
            </w:r>
          </w:p>
        </w:tc>
        <w:tc>
          <w:tcPr>
            <w:tcW w:w="11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8BA1E5" w14:textId="77777777" w:rsidR="009B6AE1" w:rsidRPr="002F6C27" w:rsidRDefault="009B6AE1" w:rsidP="009B6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C27">
              <w:rPr>
                <w:rFonts w:ascii="Times New Roman" w:hAnsi="Times New Roman" w:cs="Times New Roman"/>
                <w:sz w:val="16"/>
                <w:szCs w:val="16"/>
              </w:rPr>
              <w:t>45,838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CEB07F" w14:textId="77777777" w:rsidR="009B6AE1" w:rsidRPr="002F6C27" w:rsidRDefault="009B6AE1" w:rsidP="009B6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C27">
              <w:rPr>
                <w:rFonts w:ascii="Times New Roman" w:hAnsi="Times New Roman" w:cs="Times New Roman"/>
                <w:sz w:val="16"/>
                <w:szCs w:val="16"/>
              </w:rPr>
              <w:t>48,770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55DDF6" w14:textId="77777777" w:rsidR="009B6AE1" w:rsidRPr="002F6C27" w:rsidRDefault="009B6AE1" w:rsidP="009B6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C27">
              <w:rPr>
                <w:rFonts w:ascii="Times New Roman" w:hAnsi="Times New Roman" w:cs="Times New Roman"/>
                <w:sz w:val="16"/>
                <w:szCs w:val="16"/>
              </w:rPr>
              <w:t>49,576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3120CD" w14:textId="77777777" w:rsidR="009B6AE1" w:rsidRPr="002F6C27" w:rsidRDefault="009B6AE1" w:rsidP="009B6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C27">
              <w:rPr>
                <w:rFonts w:ascii="Times New Roman" w:hAnsi="Times New Roman" w:cs="Times New Roman"/>
                <w:sz w:val="16"/>
                <w:szCs w:val="16"/>
              </w:rPr>
              <w:t>52,055</w:t>
            </w: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C42AD1" w14:textId="77777777" w:rsidR="009B6AE1" w:rsidRPr="002F6C27" w:rsidRDefault="009B6AE1" w:rsidP="009B6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C27">
              <w:rPr>
                <w:rFonts w:ascii="Times New Roman" w:hAnsi="Times New Roman" w:cs="Times New Roman"/>
                <w:sz w:val="16"/>
                <w:szCs w:val="16"/>
              </w:rPr>
              <w:t>53,316</w:t>
            </w: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AB85AB" w14:textId="77777777" w:rsidR="009B6AE1" w:rsidRPr="002F6C27" w:rsidRDefault="009B6AE1" w:rsidP="009B6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C27">
              <w:rPr>
                <w:rFonts w:ascii="Times New Roman" w:hAnsi="Times New Roman" w:cs="Times New Roman"/>
                <w:sz w:val="16"/>
                <w:szCs w:val="16"/>
              </w:rPr>
              <w:t>49,781</w:t>
            </w:r>
          </w:p>
        </w:tc>
        <w:tc>
          <w:tcPr>
            <w:tcW w:w="11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33C0C4" w14:textId="77777777" w:rsidR="009B6AE1" w:rsidRPr="002F6C27" w:rsidRDefault="009B6AE1" w:rsidP="009B6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C27">
              <w:rPr>
                <w:rFonts w:ascii="Times New Roman" w:hAnsi="Times New Roman" w:cs="Times New Roman"/>
                <w:sz w:val="16"/>
                <w:szCs w:val="16"/>
              </w:rPr>
              <w:t>22,734</w:t>
            </w:r>
          </w:p>
        </w:tc>
      </w:tr>
      <w:tr w:rsidR="009B6AE1" w:rsidRPr="003B1815" w14:paraId="2780B895" w14:textId="77777777" w:rsidTr="00695618">
        <w:trPr>
          <w:jc w:val="center"/>
        </w:trPr>
        <w:tc>
          <w:tcPr>
            <w:tcW w:w="32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78450C" w14:textId="5F40D66C" w:rsidR="009B6AE1" w:rsidRPr="003B1815" w:rsidRDefault="009B6AE1" w:rsidP="009B6AE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B1815">
              <w:rPr>
                <w:rFonts w:ascii="Times New Roman" w:hAnsi="Times New Roman" w:cs="Times New Roman"/>
                <w:sz w:val="16"/>
                <w:szCs w:val="16"/>
              </w:rPr>
              <w:t xml:space="preserve">Deaths by suicide </w:t>
            </w:r>
            <w:r w:rsidRPr="003B181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</w:t>
            </w:r>
            <w:r w:rsidRPr="003B1815">
              <w:rPr>
                <w:rFonts w:ascii="Times New Roman" w:hAnsi="Times New Roman" w:cs="Times New Roman"/>
                <w:sz w:val="16"/>
                <w:szCs w:val="16"/>
              </w:rPr>
              <w:t xml:space="preserve"> (% of all deaths)</w:t>
            </w: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FD8692" w14:textId="77777777" w:rsidR="009B6AE1" w:rsidRPr="002F6C27" w:rsidRDefault="009B6AE1" w:rsidP="009B6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C27">
              <w:rPr>
                <w:rFonts w:ascii="Times New Roman" w:hAnsi="Times New Roman" w:cs="Times New Roman"/>
                <w:sz w:val="16"/>
                <w:szCs w:val="16"/>
              </w:rPr>
              <w:t>5 (0.02)</w:t>
            </w: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206522" w14:textId="77777777" w:rsidR="009B6AE1" w:rsidRPr="002F6C27" w:rsidRDefault="009B6AE1" w:rsidP="009B6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C27">
              <w:rPr>
                <w:rFonts w:ascii="Times New Roman" w:hAnsi="Times New Roman" w:cs="Times New Roman"/>
                <w:sz w:val="16"/>
                <w:szCs w:val="16"/>
              </w:rPr>
              <w:t>9 (0.02)</w:t>
            </w:r>
          </w:p>
        </w:tc>
        <w:tc>
          <w:tcPr>
            <w:tcW w:w="11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D497E0" w14:textId="77777777" w:rsidR="009B6AE1" w:rsidRPr="002F6C27" w:rsidRDefault="009B6AE1" w:rsidP="009B6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C27">
              <w:rPr>
                <w:rFonts w:ascii="Times New Roman" w:hAnsi="Times New Roman" w:cs="Times New Roman"/>
                <w:sz w:val="16"/>
                <w:szCs w:val="16"/>
              </w:rPr>
              <w:t>22 (0.05)</w:t>
            </w:r>
          </w:p>
        </w:tc>
        <w:tc>
          <w:tcPr>
            <w:tcW w:w="11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D35400" w14:textId="77777777" w:rsidR="009B6AE1" w:rsidRPr="002F6C27" w:rsidRDefault="009B6AE1" w:rsidP="009B6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C27">
              <w:rPr>
                <w:rFonts w:ascii="Times New Roman" w:hAnsi="Times New Roman" w:cs="Times New Roman"/>
                <w:sz w:val="16"/>
                <w:szCs w:val="16"/>
              </w:rPr>
              <w:t>18 (0.04)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4A65DC" w14:textId="77777777" w:rsidR="009B6AE1" w:rsidRPr="002F6C27" w:rsidRDefault="009B6AE1" w:rsidP="009B6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C27">
              <w:rPr>
                <w:rFonts w:ascii="Times New Roman" w:hAnsi="Times New Roman" w:cs="Times New Roman"/>
                <w:sz w:val="16"/>
                <w:szCs w:val="16"/>
              </w:rPr>
              <w:t>13 (0.03)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326517" w14:textId="77777777" w:rsidR="009B6AE1" w:rsidRPr="002F6C27" w:rsidRDefault="009B6AE1" w:rsidP="009B6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C27">
              <w:rPr>
                <w:rFonts w:ascii="Times New Roman" w:hAnsi="Times New Roman" w:cs="Times New Roman"/>
                <w:sz w:val="16"/>
                <w:szCs w:val="16"/>
              </w:rPr>
              <w:t>16 (0.03)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5CF7B9" w14:textId="77777777" w:rsidR="009B6AE1" w:rsidRPr="002F6C27" w:rsidRDefault="009B6AE1" w:rsidP="009B6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C27">
              <w:rPr>
                <w:rFonts w:ascii="Times New Roman" w:hAnsi="Times New Roman" w:cs="Times New Roman"/>
                <w:sz w:val="16"/>
                <w:szCs w:val="16"/>
              </w:rPr>
              <w:t>14 (0.03)</w:t>
            </w: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986248" w14:textId="77777777" w:rsidR="009B6AE1" w:rsidRPr="002F6C27" w:rsidRDefault="009B6AE1" w:rsidP="009B6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C27">
              <w:rPr>
                <w:rFonts w:ascii="Times New Roman" w:hAnsi="Times New Roman" w:cs="Times New Roman"/>
                <w:sz w:val="16"/>
                <w:szCs w:val="16"/>
              </w:rPr>
              <w:t>9 (0.02)</w:t>
            </w: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FF111D" w14:textId="77777777" w:rsidR="009B6AE1" w:rsidRPr="002F6C27" w:rsidRDefault="009B6AE1" w:rsidP="009B6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C27">
              <w:rPr>
                <w:rFonts w:ascii="Times New Roman" w:hAnsi="Times New Roman" w:cs="Times New Roman"/>
                <w:sz w:val="16"/>
                <w:szCs w:val="16"/>
              </w:rPr>
              <w:t>17 (0.03)</w:t>
            </w:r>
          </w:p>
        </w:tc>
        <w:tc>
          <w:tcPr>
            <w:tcW w:w="11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405EC7" w14:textId="77777777" w:rsidR="009B6AE1" w:rsidRPr="002F6C27" w:rsidRDefault="009B6AE1" w:rsidP="009B6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C27">
              <w:rPr>
                <w:rFonts w:ascii="Times New Roman" w:hAnsi="Times New Roman" w:cs="Times New Roman"/>
                <w:sz w:val="16"/>
                <w:szCs w:val="16"/>
              </w:rPr>
              <w:t>6 (0.03)</w:t>
            </w:r>
          </w:p>
        </w:tc>
      </w:tr>
      <w:tr w:rsidR="009B6AE1" w:rsidRPr="003B1815" w14:paraId="61FD50EB" w14:textId="77777777" w:rsidTr="00695618">
        <w:trPr>
          <w:jc w:val="center"/>
        </w:trPr>
        <w:tc>
          <w:tcPr>
            <w:tcW w:w="32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D62601" w14:textId="18339A6B" w:rsidR="009B6AE1" w:rsidRPr="003B1815" w:rsidRDefault="009B6AE1" w:rsidP="009B6AE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Crude mortality rate (all deaths) </w:t>
            </w:r>
            <w:r w:rsidRPr="009B6AE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e</w:t>
            </w:r>
            <w:r w:rsidRPr="00405BA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67CBB9F" w14:textId="6819F053" w:rsidR="009B6AE1" w:rsidRPr="002F6C27" w:rsidRDefault="009B6AE1" w:rsidP="009B6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18403.4</w:t>
            </w: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A3692A3" w14:textId="46259C29" w:rsidR="009B6AE1" w:rsidRPr="002F6C27" w:rsidRDefault="009B6AE1" w:rsidP="009B6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17742.3</w:t>
            </w:r>
          </w:p>
        </w:tc>
        <w:tc>
          <w:tcPr>
            <w:tcW w:w="11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AA442D1" w14:textId="2BE49BF9" w:rsidR="009B6AE1" w:rsidRPr="002F6C27" w:rsidRDefault="009B6AE1" w:rsidP="009B6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19018.7</w:t>
            </w:r>
          </w:p>
        </w:tc>
        <w:tc>
          <w:tcPr>
            <w:tcW w:w="11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AA43054" w14:textId="7C407971" w:rsidR="009B6AE1" w:rsidRPr="002F6C27" w:rsidRDefault="009B6AE1" w:rsidP="009B6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20244.2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7DEEFA4" w14:textId="507FEA06" w:rsidR="009B6AE1" w:rsidRPr="002F6C27" w:rsidRDefault="009B6AE1" w:rsidP="009B6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21172.0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9C3A58" w14:textId="5641B953" w:rsidR="009B6AE1" w:rsidRPr="002F6C27" w:rsidRDefault="009B6AE1" w:rsidP="009B6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21048.3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A774505" w14:textId="326F9A7E" w:rsidR="009B6AE1" w:rsidRPr="002F6C27" w:rsidRDefault="009B6AE1" w:rsidP="009B6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22841.6</w:t>
            </w: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C9F9ED1" w14:textId="7E86987B" w:rsidR="009B6AE1" w:rsidRPr="002F6C27" w:rsidRDefault="009B6AE1" w:rsidP="009B6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22586.2</w:t>
            </w: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29C9522" w14:textId="0C94962E" w:rsidR="009B6AE1" w:rsidRPr="002F6C27" w:rsidRDefault="009B6AE1" w:rsidP="009B6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20654.5</w:t>
            </w:r>
          </w:p>
        </w:tc>
        <w:tc>
          <w:tcPr>
            <w:tcW w:w="11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C12380D" w14:textId="3B5220FA" w:rsidR="009B6AE1" w:rsidRPr="002F6C27" w:rsidRDefault="009B6AE1" w:rsidP="009B6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18757.0</w:t>
            </w:r>
          </w:p>
        </w:tc>
      </w:tr>
      <w:tr w:rsidR="009B6AE1" w:rsidRPr="003B1815" w14:paraId="2815B0D8" w14:textId="77777777" w:rsidTr="00695618">
        <w:trPr>
          <w:jc w:val="center"/>
        </w:trPr>
        <w:tc>
          <w:tcPr>
            <w:tcW w:w="32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360020" w14:textId="3A20C18E" w:rsidR="009B6AE1" w:rsidRPr="003B1815" w:rsidRDefault="009B6AE1" w:rsidP="009B6AE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B1815">
              <w:rPr>
                <w:rFonts w:ascii="Times New Roman" w:hAnsi="Times New Roman" w:cs="Times New Roman"/>
                <w:sz w:val="16"/>
                <w:szCs w:val="16"/>
              </w:rPr>
              <w:t xml:space="preserve">Crude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suicide mortality rate </w:t>
            </w:r>
            <w:r w:rsidRPr="009B6AE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2AF96DB" w14:textId="710E8FD5" w:rsidR="009B6AE1" w:rsidRPr="002F6C27" w:rsidRDefault="009B6AE1" w:rsidP="009B6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53B111F" w14:textId="56B0C4F4" w:rsidR="009B6AE1" w:rsidRPr="002F6C27" w:rsidRDefault="009B6AE1" w:rsidP="009B6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1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0CA9A1" w14:textId="5680B81B" w:rsidR="009B6AE1" w:rsidRPr="002F6C27" w:rsidRDefault="009B6AE1" w:rsidP="009B6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11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ED46E64" w14:textId="2323BA21" w:rsidR="009B6AE1" w:rsidRPr="002F6C27" w:rsidRDefault="009B6AE1" w:rsidP="009B6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69BB132" w14:textId="2CA8410E" w:rsidR="009B6AE1" w:rsidRPr="002F6C27" w:rsidRDefault="009B6AE1" w:rsidP="009B6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DE98DDA" w14:textId="4DD49159" w:rsidR="009B6AE1" w:rsidRPr="002F6C27" w:rsidRDefault="009B6AE1" w:rsidP="009B6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3F3B100" w14:textId="6ED8E64F" w:rsidR="009B6AE1" w:rsidRPr="002F6C27" w:rsidRDefault="009B6AE1" w:rsidP="009B6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6DA0771" w14:textId="120862E2" w:rsidR="009B6AE1" w:rsidRPr="002F6C27" w:rsidRDefault="009B6AE1" w:rsidP="009B6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55C6DF8" w14:textId="66C62714" w:rsidR="009B6AE1" w:rsidRPr="002F6C27" w:rsidRDefault="009B6AE1" w:rsidP="009B6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11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5F3767F" w14:textId="5AD62632" w:rsidR="009B6AE1" w:rsidRPr="002F6C27" w:rsidRDefault="009B6AE1" w:rsidP="009B6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</w:t>
            </w:r>
          </w:p>
        </w:tc>
      </w:tr>
      <w:tr w:rsidR="009B6AE1" w:rsidRPr="003B1815" w14:paraId="2D9783B0" w14:textId="77777777" w:rsidTr="00695618">
        <w:trPr>
          <w:jc w:val="center"/>
        </w:trPr>
        <w:tc>
          <w:tcPr>
            <w:tcW w:w="329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32E059D" w14:textId="54E917F2" w:rsidR="009B6AE1" w:rsidRPr="003B1815" w:rsidRDefault="009B6AE1" w:rsidP="009B6AE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B1815">
              <w:rPr>
                <w:rFonts w:ascii="Times New Roman" w:hAnsi="Times New Roman" w:cs="Times New Roman"/>
                <w:sz w:val="16"/>
                <w:szCs w:val="16"/>
              </w:rPr>
              <w:t xml:space="preserve">Adjusted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suicide mortality rate</w:t>
            </w:r>
            <w:r w:rsidRPr="003B1815">
              <w:rPr>
                <w:rFonts w:ascii="Times New Roman" w:hAnsi="Times New Roman" w:cs="Times New Roman"/>
                <w:sz w:val="16"/>
                <w:szCs w:val="16"/>
              </w:rPr>
              <w:t xml:space="preserve"> (95%CI) </w:t>
            </w:r>
            <w:r w:rsidRPr="009B6AE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e</w:t>
            </w:r>
            <w:r w:rsidRPr="0051065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,</w:t>
            </w:r>
            <w:r w:rsidRPr="00EB7FE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1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CD7AC19" w14:textId="77777777" w:rsidR="009B6AE1" w:rsidRDefault="009B6AE1" w:rsidP="009B6AE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4.6</w:t>
            </w:r>
          </w:p>
          <w:p w14:paraId="756C0285" w14:textId="0CD0ACF0" w:rsidR="009B6AE1" w:rsidRPr="003B1815" w:rsidRDefault="009B6AE1" w:rsidP="009B6AE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(1.8-7.4)</w:t>
            </w:r>
          </w:p>
        </w:tc>
        <w:tc>
          <w:tcPr>
            <w:tcW w:w="11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7AE725B" w14:textId="77777777" w:rsidR="009B6AE1" w:rsidRDefault="009B6AE1" w:rsidP="009B6AE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4.3</w:t>
            </w:r>
          </w:p>
          <w:p w14:paraId="47BB3C2A" w14:textId="7D9A3BBD" w:rsidR="009B6AE1" w:rsidRPr="003B1815" w:rsidRDefault="009B6AE1" w:rsidP="009B6AE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(1.6-6.9)</w:t>
            </w:r>
          </w:p>
        </w:tc>
        <w:tc>
          <w:tcPr>
            <w:tcW w:w="117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6061E2D" w14:textId="77777777" w:rsidR="009B6AE1" w:rsidRDefault="009B6AE1" w:rsidP="009B6AE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10.5</w:t>
            </w:r>
          </w:p>
          <w:p w14:paraId="1B77AABF" w14:textId="1373CB29" w:rsidR="009B6AE1" w:rsidRPr="003B1815" w:rsidRDefault="009B6AE1" w:rsidP="009B6AE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(6.3-14.7)</w:t>
            </w:r>
          </w:p>
        </w:tc>
        <w:tc>
          <w:tcPr>
            <w:tcW w:w="117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AC19E3C" w14:textId="77777777" w:rsidR="009B6AE1" w:rsidRDefault="009B6AE1" w:rsidP="009B6AE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8.6</w:t>
            </w:r>
          </w:p>
          <w:p w14:paraId="5BF866C4" w14:textId="49E28EC3" w:rsidR="009B6AE1" w:rsidRPr="003B1815" w:rsidRDefault="009B6AE1" w:rsidP="009B6AE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(4.8-12.4)</w:t>
            </w:r>
          </w:p>
        </w:tc>
        <w:tc>
          <w:tcPr>
            <w:tcW w:w="124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BBBF993" w14:textId="77777777" w:rsidR="009B6AE1" w:rsidRDefault="009B6AE1" w:rsidP="009B6AE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6.0</w:t>
            </w:r>
          </w:p>
          <w:p w14:paraId="715F4099" w14:textId="57947FE8" w:rsidR="009B6AE1" w:rsidRPr="003B1815" w:rsidRDefault="009B6AE1" w:rsidP="009B6AE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(2.8-9.2)</w:t>
            </w:r>
          </w:p>
        </w:tc>
        <w:tc>
          <w:tcPr>
            <w:tcW w:w="124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E58561F" w14:textId="77777777" w:rsidR="009B6AE1" w:rsidRDefault="009B6AE1" w:rsidP="009B6AE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7.2</w:t>
            </w:r>
          </w:p>
          <w:p w14:paraId="5E3C3A22" w14:textId="0FB9E9A3" w:rsidR="009B6AE1" w:rsidRPr="003B1815" w:rsidRDefault="009B6AE1" w:rsidP="009B6AE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(3.7-10.7)</w:t>
            </w:r>
          </w:p>
        </w:tc>
        <w:tc>
          <w:tcPr>
            <w:tcW w:w="124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13C68D7" w14:textId="77777777" w:rsidR="009B6AE1" w:rsidRDefault="009B6AE1" w:rsidP="009B6AE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6.4</w:t>
            </w:r>
          </w:p>
          <w:p w14:paraId="56A04674" w14:textId="606AF369" w:rsidR="009B6AE1" w:rsidRPr="003B1815" w:rsidRDefault="009B6AE1" w:rsidP="009B6AE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(3.1-9.6)</w:t>
            </w:r>
          </w:p>
        </w:tc>
        <w:tc>
          <w:tcPr>
            <w:tcW w:w="11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7CC60EB" w14:textId="77777777" w:rsidR="009B6AE1" w:rsidRDefault="009B6AE1" w:rsidP="009B6AE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4.0</w:t>
            </w:r>
          </w:p>
          <w:p w14:paraId="02B15CA7" w14:textId="6386315C" w:rsidR="009B6AE1" w:rsidRPr="003B1815" w:rsidRDefault="009B6AE1" w:rsidP="009B6AE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(1.4-6.6)</w:t>
            </w:r>
          </w:p>
        </w:tc>
        <w:tc>
          <w:tcPr>
            <w:tcW w:w="11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BD848A0" w14:textId="77777777" w:rsidR="009B6AE1" w:rsidRDefault="009B6AE1" w:rsidP="009B6AE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7.0</w:t>
            </w:r>
          </w:p>
          <w:p w14:paraId="453F57B7" w14:textId="3EBD6158" w:rsidR="009B6AE1" w:rsidRPr="003B1815" w:rsidRDefault="009B6AE1" w:rsidP="009B6AE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(3.6-10.4)</w:t>
            </w:r>
          </w:p>
        </w:tc>
        <w:tc>
          <w:tcPr>
            <w:tcW w:w="115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89C0B07" w14:textId="77777777" w:rsidR="009B6AE1" w:rsidRDefault="009B6AE1" w:rsidP="009B6AE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5.2</w:t>
            </w:r>
          </w:p>
          <w:p w14:paraId="00CF590A" w14:textId="37E071DC" w:rsidR="009B6AE1" w:rsidRPr="003B1815" w:rsidRDefault="009B6AE1" w:rsidP="009B6AE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(2.2-8.1)</w:t>
            </w:r>
          </w:p>
        </w:tc>
      </w:tr>
      <w:tr w:rsidR="002A0433" w:rsidRPr="003B1815" w14:paraId="5BCBC8C3" w14:textId="77777777" w:rsidTr="00695618">
        <w:trPr>
          <w:jc w:val="center"/>
        </w:trPr>
        <w:tc>
          <w:tcPr>
            <w:tcW w:w="1516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86D1503" w14:textId="43039868" w:rsidR="002A0433" w:rsidRPr="003B1815" w:rsidRDefault="002A0433" w:rsidP="002A0433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B18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Awaiting care (</w:t>
            </w:r>
            <w:r w:rsidRPr="003B181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</w:t>
            </w:r>
            <w:r w:rsidRPr="003B18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=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61,306</w:t>
            </w:r>
            <w:r w:rsidRPr="003B18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d</w:t>
            </w:r>
          </w:p>
        </w:tc>
      </w:tr>
      <w:tr w:rsidR="002A0433" w:rsidRPr="003B1815" w14:paraId="54ED9F09" w14:textId="77777777" w:rsidTr="00695618">
        <w:trPr>
          <w:jc w:val="center"/>
        </w:trPr>
        <w:tc>
          <w:tcPr>
            <w:tcW w:w="3290" w:type="dxa"/>
            <w:tcBorders>
              <w:top w:val="single" w:sz="4" w:space="0" w:color="auto"/>
              <w:bottom w:val="dotted" w:sz="4" w:space="0" w:color="auto"/>
            </w:tcBorders>
          </w:tcPr>
          <w:p w14:paraId="33E1D548" w14:textId="77777777" w:rsidR="002A0433" w:rsidRPr="003B1815" w:rsidRDefault="002A0433" w:rsidP="002A04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B1815">
              <w:rPr>
                <w:rFonts w:ascii="Times New Roman" w:hAnsi="Times New Roman" w:cs="Times New Roman"/>
                <w:sz w:val="16"/>
                <w:szCs w:val="16"/>
              </w:rPr>
              <w:t>Total deaths</w:t>
            </w:r>
          </w:p>
        </w:tc>
        <w:tc>
          <w:tcPr>
            <w:tcW w:w="117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9BFE8F8" w14:textId="419A8CF2" w:rsidR="002A0433" w:rsidRPr="003B1815" w:rsidRDefault="002A0433" w:rsidP="002A04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3600</w:t>
            </w:r>
          </w:p>
        </w:tc>
        <w:tc>
          <w:tcPr>
            <w:tcW w:w="116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2596CAD" w14:textId="3DCD5F81" w:rsidR="002A0433" w:rsidRPr="003B1815" w:rsidRDefault="002A0433" w:rsidP="002A04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6911</w:t>
            </w:r>
          </w:p>
        </w:tc>
        <w:tc>
          <w:tcPr>
            <w:tcW w:w="117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BAB08FB" w14:textId="51800315" w:rsidR="002A0433" w:rsidRPr="003B1815" w:rsidRDefault="002A0433" w:rsidP="002A04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6672</w:t>
            </w:r>
          </w:p>
        </w:tc>
        <w:tc>
          <w:tcPr>
            <w:tcW w:w="117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B8460BE" w14:textId="3C298FA2" w:rsidR="002A0433" w:rsidRPr="003B1815" w:rsidRDefault="002A0433" w:rsidP="002A04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7042</w:t>
            </w:r>
          </w:p>
        </w:tc>
        <w:tc>
          <w:tcPr>
            <w:tcW w:w="124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08057E1" w14:textId="5FE6EFB7" w:rsidR="002A0433" w:rsidRPr="003B1815" w:rsidRDefault="002A0433" w:rsidP="002A04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7181</w:t>
            </w:r>
          </w:p>
        </w:tc>
        <w:tc>
          <w:tcPr>
            <w:tcW w:w="124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6B81A24" w14:textId="43F46289" w:rsidR="002A0433" w:rsidRPr="003B1815" w:rsidRDefault="002A0433" w:rsidP="002A04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7568</w:t>
            </w:r>
          </w:p>
        </w:tc>
        <w:tc>
          <w:tcPr>
            <w:tcW w:w="124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FCFDB41" w14:textId="1C6B454C" w:rsidR="002A0433" w:rsidRPr="003B1815" w:rsidRDefault="002A0433" w:rsidP="002A04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7852</w:t>
            </w:r>
          </w:p>
        </w:tc>
        <w:tc>
          <w:tcPr>
            <w:tcW w:w="115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41B0FFA" w14:textId="3C3C6B2F" w:rsidR="002A0433" w:rsidRPr="003B1815" w:rsidRDefault="002A0433" w:rsidP="002A04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8142</w:t>
            </w:r>
          </w:p>
        </w:tc>
        <w:tc>
          <w:tcPr>
            <w:tcW w:w="115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D40A89D" w14:textId="3265BC0A" w:rsidR="002A0433" w:rsidRPr="003B1815" w:rsidRDefault="002A0433" w:rsidP="002A04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4982</w:t>
            </w:r>
          </w:p>
        </w:tc>
        <w:tc>
          <w:tcPr>
            <w:tcW w:w="115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4914AC2" w14:textId="7D99AFEB" w:rsidR="002A0433" w:rsidRPr="003B1815" w:rsidRDefault="002A0433" w:rsidP="002A04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1356</w:t>
            </w:r>
          </w:p>
        </w:tc>
      </w:tr>
      <w:tr w:rsidR="002A0433" w:rsidRPr="003B1815" w14:paraId="295A7CE5" w14:textId="77777777" w:rsidTr="00695618">
        <w:trPr>
          <w:jc w:val="center"/>
        </w:trPr>
        <w:tc>
          <w:tcPr>
            <w:tcW w:w="3290" w:type="dxa"/>
            <w:tcBorders>
              <w:top w:val="dotted" w:sz="4" w:space="0" w:color="auto"/>
              <w:bottom w:val="single" w:sz="4" w:space="0" w:color="auto"/>
            </w:tcBorders>
          </w:tcPr>
          <w:p w14:paraId="3AFAFCB4" w14:textId="77777777" w:rsidR="002A0433" w:rsidRPr="003B1815" w:rsidRDefault="002A0433" w:rsidP="002A043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B1815">
              <w:rPr>
                <w:rFonts w:ascii="Times New Roman" w:hAnsi="Times New Roman" w:cs="Times New Roman"/>
                <w:sz w:val="16"/>
                <w:szCs w:val="16"/>
              </w:rPr>
              <w:t xml:space="preserve">Deaths by suicide </w:t>
            </w:r>
            <w:r w:rsidRPr="003B181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</w:t>
            </w:r>
            <w:r w:rsidRPr="003B1815">
              <w:rPr>
                <w:rFonts w:ascii="Times New Roman" w:hAnsi="Times New Roman" w:cs="Times New Roman"/>
                <w:sz w:val="16"/>
                <w:szCs w:val="16"/>
              </w:rPr>
              <w:t xml:space="preserve"> (% of all deaths)</w:t>
            </w:r>
          </w:p>
        </w:tc>
        <w:tc>
          <w:tcPr>
            <w:tcW w:w="11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9BD5676" w14:textId="31DC9D39" w:rsidR="002A0433" w:rsidRPr="003B1815" w:rsidRDefault="002A0433" w:rsidP="002A04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(0.19)</w:t>
            </w:r>
          </w:p>
        </w:tc>
        <w:tc>
          <w:tcPr>
            <w:tcW w:w="11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FAADB3C" w14:textId="49A9AB41" w:rsidR="002A0433" w:rsidRPr="003B1815" w:rsidRDefault="002A0433" w:rsidP="002A04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(0.14)</w:t>
            </w:r>
          </w:p>
        </w:tc>
        <w:tc>
          <w:tcPr>
            <w:tcW w:w="117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8A97BFD" w14:textId="544BBFC2" w:rsidR="002A0433" w:rsidRPr="003B1815" w:rsidRDefault="002A0433" w:rsidP="002A04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(0.18)</w:t>
            </w:r>
          </w:p>
        </w:tc>
        <w:tc>
          <w:tcPr>
            <w:tcW w:w="117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9068807" w14:textId="5411D8B9" w:rsidR="002A0433" w:rsidRPr="003B1815" w:rsidRDefault="002A0433" w:rsidP="002A04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(0.26)</w:t>
            </w:r>
          </w:p>
        </w:tc>
        <w:tc>
          <w:tcPr>
            <w:tcW w:w="124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A9D5CB2" w14:textId="0ECC57DF" w:rsidR="002A0433" w:rsidRPr="003B1815" w:rsidRDefault="002A0433" w:rsidP="002A04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(0.31)</w:t>
            </w:r>
          </w:p>
        </w:tc>
        <w:tc>
          <w:tcPr>
            <w:tcW w:w="124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1F9DEB9" w14:textId="07128B2F" w:rsidR="002A0433" w:rsidRPr="003B1815" w:rsidRDefault="002A0433" w:rsidP="002A04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(0.29)</w:t>
            </w:r>
          </w:p>
        </w:tc>
        <w:tc>
          <w:tcPr>
            <w:tcW w:w="124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9E232AD" w14:textId="35EBEA09" w:rsidR="002A0433" w:rsidRPr="003B1815" w:rsidRDefault="002A0433" w:rsidP="002A04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(0.22)</w:t>
            </w:r>
          </w:p>
        </w:tc>
        <w:tc>
          <w:tcPr>
            <w:tcW w:w="11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5BEFE05" w14:textId="1E396FE7" w:rsidR="002A0433" w:rsidRPr="003B1815" w:rsidRDefault="002A0433" w:rsidP="002A04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 (0.23)</w:t>
            </w:r>
          </w:p>
        </w:tc>
        <w:tc>
          <w:tcPr>
            <w:tcW w:w="11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B240AAA" w14:textId="73284B37" w:rsidR="002A0433" w:rsidRPr="003B1815" w:rsidRDefault="002A0433" w:rsidP="002A04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 (0.30)</w:t>
            </w:r>
          </w:p>
        </w:tc>
        <w:tc>
          <w:tcPr>
            <w:tcW w:w="115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0B9F78B" w14:textId="285EC71B" w:rsidR="002A0433" w:rsidRPr="003B1815" w:rsidRDefault="002A0433" w:rsidP="002A043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 (0.15)</w:t>
            </w:r>
          </w:p>
        </w:tc>
      </w:tr>
    </w:tbl>
    <w:p w14:paraId="0F76182A" w14:textId="0B21FE26" w:rsidR="005B76DC" w:rsidRPr="00920CC3" w:rsidRDefault="005B76DC" w:rsidP="00C3522C">
      <w:pPr>
        <w:spacing w:after="0"/>
        <w:ind w:left="-567"/>
        <w:rPr>
          <w:rFonts w:ascii="Times New Roman" w:hAnsi="Times New Roman" w:cs="Times New Roman"/>
          <w:sz w:val="16"/>
          <w:szCs w:val="16"/>
        </w:rPr>
      </w:pPr>
      <w:r w:rsidRPr="00920CC3">
        <w:rPr>
          <w:rFonts w:ascii="Times New Roman" w:hAnsi="Times New Roman" w:cs="Times New Roman"/>
          <w:sz w:val="16"/>
          <w:szCs w:val="16"/>
        </w:rPr>
        <w:t>Abbreviations: CI=Confidence Interval</w:t>
      </w:r>
      <w:r w:rsidR="005E053C">
        <w:rPr>
          <w:rFonts w:ascii="Times New Roman" w:hAnsi="Times New Roman" w:cs="Times New Roman"/>
          <w:sz w:val="16"/>
          <w:szCs w:val="16"/>
        </w:rPr>
        <w:t xml:space="preserve">; np=not published to prevent disclosure of numbers between 1 and 4. </w:t>
      </w:r>
    </w:p>
    <w:p w14:paraId="32450881" w14:textId="7225FAF5" w:rsidR="002421E7" w:rsidRDefault="005B76DC" w:rsidP="002421E7">
      <w:pPr>
        <w:spacing w:after="0"/>
        <w:ind w:left="-567" w:right="-784"/>
        <w:rPr>
          <w:rFonts w:ascii="Times New Roman" w:hAnsi="Times New Roman" w:cs="Times New Roman"/>
          <w:sz w:val="16"/>
          <w:szCs w:val="16"/>
        </w:rPr>
        <w:sectPr w:rsidR="002421E7" w:rsidSect="00D634B8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920CC3">
        <w:rPr>
          <w:rFonts w:ascii="Times New Roman" w:hAnsi="Times New Roman" w:cs="Times New Roman"/>
          <w:sz w:val="16"/>
          <w:szCs w:val="16"/>
          <w:vertAlign w:val="superscript"/>
        </w:rPr>
        <w:t>a</w:t>
      </w:r>
      <w:r w:rsidRPr="00920CC3">
        <w:rPr>
          <w:rFonts w:ascii="Times New Roman" w:hAnsi="Times New Roman" w:cs="Times New Roman"/>
          <w:sz w:val="16"/>
          <w:szCs w:val="16"/>
        </w:rPr>
        <w:t xml:space="preserve"> Six months only</w:t>
      </w:r>
      <w:r w:rsidR="00EB7FE4" w:rsidRPr="00920CC3">
        <w:rPr>
          <w:rFonts w:ascii="Times New Roman" w:hAnsi="Times New Roman" w:cs="Times New Roman"/>
          <w:sz w:val="16"/>
          <w:szCs w:val="16"/>
        </w:rPr>
        <w:t>, denominator halved in calculation of rates</w:t>
      </w:r>
      <w:r w:rsidRPr="00920CC3">
        <w:rPr>
          <w:rFonts w:ascii="Times New Roman" w:hAnsi="Times New Roman" w:cs="Times New Roman"/>
          <w:sz w:val="16"/>
          <w:szCs w:val="16"/>
        </w:rPr>
        <w:t xml:space="preserve">; </w:t>
      </w:r>
      <w:r w:rsidRPr="00920CC3">
        <w:rPr>
          <w:rFonts w:ascii="Times New Roman" w:hAnsi="Times New Roman" w:cs="Times New Roman"/>
          <w:sz w:val="16"/>
          <w:szCs w:val="16"/>
          <w:vertAlign w:val="superscript"/>
        </w:rPr>
        <w:t>b</w:t>
      </w:r>
      <w:r w:rsidRPr="00920CC3">
        <w:rPr>
          <w:rFonts w:ascii="Times New Roman" w:hAnsi="Times New Roman" w:cs="Times New Roman"/>
          <w:sz w:val="16"/>
          <w:szCs w:val="16"/>
        </w:rPr>
        <w:t xml:space="preserve"> </w:t>
      </w:r>
      <w:r w:rsidR="00510655">
        <w:rPr>
          <w:rFonts w:ascii="Times New Roman" w:hAnsi="Times New Roman" w:cs="Times New Roman"/>
          <w:sz w:val="16"/>
          <w:szCs w:val="16"/>
        </w:rPr>
        <w:t>Users at</w:t>
      </w:r>
      <w:r w:rsidRPr="00920CC3">
        <w:rPr>
          <w:rFonts w:ascii="Times New Roman" w:hAnsi="Times New Roman" w:cs="Times New Roman"/>
          <w:sz w:val="16"/>
          <w:szCs w:val="16"/>
        </w:rPr>
        <w:t xml:space="preserve"> 30 June of the year</w:t>
      </w:r>
      <w:r w:rsidR="00510655">
        <w:rPr>
          <w:rFonts w:ascii="Times New Roman" w:hAnsi="Times New Roman" w:cs="Times New Roman"/>
          <w:sz w:val="16"/>
          <w:szCs w:val="16"/>
        </w:rPr>
        <w:t xml:space="preserve"> plus new admissions</w:t>
      </w:r>
      <w:r w:rsidR="009B6AE1">
        <w:rPr>
          <w:rFonts w:ascii="Times New Roman" w:hAnsi="Times New Roman" w:cs="Times New Roman"/>
          <w:sz w:val="16"/>
          <w:szCs w:val="16"/>
        </w:rPr>
        <w:t xml:space="preserve"> to 30 June of following year</w:t>
      </w:r>
      <w:r w:rsidRPr="00920CC3">
        <w:rPr>
          <w:rFonts w:ascii="Times New Roman" w:hAnsi="Times New Roman" w:cs="Times New Roman"/>
          <w:sz w:val="16"/>
          <w:szCs w:val="16"/>
        </w:rPr>
        <w:t xml:space="preserve">; </w:t>
      </w:r>
      <w:r w:rsidR="00A17F10" w:rsidRPr="00920CC3">
        <w:rPr>
          <w:rFonts w:ascii="Times New Roman" w:hAnsi="Times New Roman" w:cs="Times New Roman"/>
          <w:sz w:val="16"/>
          <w:szCs w:val="16"/>
          <w:vertAlign w:val="superscript"/>
        </w:rPr>
        <w:t>c</w:t>
      </w:r>
      <w:r w:rsidRPr="00920CC3">
        <w:rPr>
          <w:rFonts w:ascii="Times New Roman" w:hAnsi="Times New Roman" w:cs="Times New Roman"/>
          <w:sz w:val="16"/>
          <w:szCs w:val="16"/>
        </w:rPr>
        <w:t xml:space="preserve"> Adjusted for age and sex, standardised using the direct method (reference year=2012); </w:t>
      </w:r>
      <w:r w:rsidR="009B6AE1">
        <w:rPr>
          <w:rFonts w:ascii="Times New Roman" w:hAnsi="Times New Roman" w:cs="Times New Roman"/>
          <w:sz w:val="16"/>
          <w:szCs w:val="16"/>
          <w:vertAlign w:val="superscript"/>
        </w:rPr>
        <w:t>d</w:t>
      </w:r>
      <w:r w:rsidRPr="00920CC3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920CC3">
        <w:rPr>
          <w:rFonts w:ascii="Times New Roman" w:hAnsi="Times New Roman" w:cs="Times New Roman"/>
          <w:sz w:val="16"/>
          <w:szCs w:val="16"/>
        </w:rPr>
        <w:t>population data</w:t>
      </w:r>
      <w:r w:rsidR="00A17F10" w:rsidRPr="00920CC3">
        <w:rPr>
          <w:rFonts w:ascii="Times New Roman" w:hAnsi="Times New Roman" w:cs="Times New Roman"/>
          <w:sz w:val="16"/>
          <w:szCs w:val="16"/>
        </w:rPr>
        <w:t xml:space="preserve"> not available</w:t>
      </w:r>
      <w:r w:rsidRPr="00920CC3">
        <w:rPr>
          <w:rFonts w:ascii="Times New Roman" w:hAnsi="Times New Roman" w:cs="Times New Roman"/>
          <w:sz w:val="16"/>
          <w:szCs w:val="16"/>
        </w:rPr>
        <w:t xml:space="preserve"> for calculation of incidence rates </w:t>
      </w:r>
      <w:r w:rsidR="00F858A8">
        <w:rPr>
          <w:rFonts w:ascii="Times New Roman" w:hAnsi="Times New Roman" w:cs="Times New Roman"/>
          <w:sz w:val="16"/>
          <w:szCs w:val="16"/>
        </w:rPr>
        <w:t xml:space="preserve">; </w:t>
      </w:r>
      <w:r w:rsidR="009B6AE1">
        <w:rPr>
          <w:rFonts w:ascii="Times New Roman" w:hAnsi="Times New Roman" w:cs="Times New Roman"/>
          <w:sz w:val="16"/>
          <w:szCs w:val="16"/>
          <w:vertAlign w:val="superscript"/>
        </w:rPr>
        <w:t>e</w:t>
      </w:r>
      <w:r w:rsidR="00F858A8">
        <w:rPr>
          <w:rFonts w:ascii="Times New Roman" w:hAnsi="Times New Roman" w:cs="Times New Roman"/>
          <w:sz w:val="16"/>
          <w:szCs w:val="16"/>
        </w:rPr>
        <w:t xml:space="preserve"> per 100,000</w:t>
      </w:r>
    </w:p>
    <w:p w14:paraId="03D4E83D" w14:textId="20B3F184" w:rsidR="008A364D" w:rsidRDefault="008A364D" w:rsidP="002421E7">
      <w:pPr>
        <w:spacing w:after="0"/>
        <w:ind w:left="-567" w:right="-784"/>
        <w:rPr>
          <w:rFonts w:ascii="Times New Roman" w:hAnsi="Times New Roman" w:cs="Times New Roman"/>
          <w:sz w:val="20"/>
          <w:szCs w:val="20"/>
        </w:rPr>
      </w:pPr>
    </w:p>
    <w:p w14:paraId="7833F33D" w14:textId="6E3484D1" w:rsidR="004A40D0" w:rsidRPr="00490FB8" w:rsidRDefault="004A40D0" w:rsidP="004A40D0">
      <w:pPr>
        <w:pStyle w:val="Caption"/>
        <w:keepNext/>
        <w:spacing w:after="0"/>
        <w:ind w:right="66"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 w:rsidRPr="00490FB8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Table S2. </w:t>
      </w:r>
      <w:r w:rsidR="00404C37" w:rsidRPr="005125B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Results of </w:t>
      </w:r>
      <w:r w:rsidR="00404C37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logistic regression modelling of factors</w:t>
      </w:r>
      <w:r w:rsidR="00404C37" w:rsidRPr="00F66DF6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r w:rsidR="00404C37" w:rsidRPr="005125B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from time of </w:t>
      </w:r>
      <w:r w:rsidR="00404C37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aged care eligibility assessment associated with mortality from suicide compared to mortality due to other causes</w:t>
      </w:r>
      <w:r w:rsidR="00404C37" w:rsidRPr="005125B1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, by service at time of death</w:t>
      </w:r>
      <w:r w:rsidR="00404C37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r w:rsidRPr="00490FB8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(NSW, SA, VIC, QLD only).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21"/>
        <w:gridCol w:w="339"/>
        <w:gridCol w:w="2063"/>
        <w:gridCol w:w="339"/>
        <w:gridCol w:w="2264"/>
      </w:tblGrid>
      <w:tr w:rsidR="002421E7" w:rsidRPr="00490FB8" w14:paraId="175665C7" w14:textId="77777777" w:rsidTr="002421E7">
        <w:tc>
          <w:tcPr>
            <w:tcW w:w="2227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335380C" w14:textId="54BA88DB" w:rsidR="002421E7" w:rsidRPr="00490FB8" w:rsidRDefault="002421E7" w:rsidP="002F18B0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078E74" w14:textId="77777777" w:rsidR="002421E7" w:rsidRPr="00490FB8" w:rsidRDefault="002421E7" w:rsidP="002F18B0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F0CE75" w14:textId="178555B7" w:rsidR="002421E7" w:rsidRPr="00490FB8" w:rsidRDefault="002421E7" w:rsidP="002F18B0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1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Residential aged care (</w:t>
            </w:r>
            <w:r w:rsidRPr="00E4715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</w:t>
            </w:r>
            <w:r w:rsidRPr="00E471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365,915</w:t>
            </w:r>
            <w:r w:rsidRPr="00E471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2D41F0" w14:textId="77777777" w:rsidR="002421E7" w:rsidRPr="00490FB8" w:rsidRDefault="002421E7" w:rsidP="002F18B0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C42F47" w14:textId="5EEA6FC0" w:rsidR="002421E7" w:rsidRPr="00490FB8" w:rsidRDefault="002421E7" w:rsidP="002F18B0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1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Awaiting care (</w:t>
            </w:r>
            <w:r w:rsidRPr="00E4715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</w:t>
            </w:r>
            <w:r w:rsidRPr="00E471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47,456</w:t>
            </w:r>
            <w:r w:rsidRPr="00E471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2421E7" w:rsidRPr="00490FB8" w14:paraId="1C9C5AD7" w14:textId="77777777" w:rsidTr="002421E7">
        <w:tc>
          <w:tcPr>
            <w:tcW w:w="2227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688B327F" w14:textId="77777777" w:rsidR="002421E7" w:rsidRPr="00490FB8" w:rsidRDefault="002421E7" w:rsidP="002F18B0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</w:tcPr>
          <w:p w14:paraId="5ADF6AC8" w14:textId="77777777" w:rsidR="002421E7" w:rsidRPr="00490FB8" w:rsidRDefault="002421E7" w:rsidP="002F18B0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1059E4" w14:textId="0506851A" w:rsidR="002421E7" w:rsidRPr="00490FB8" w:rsidRDefault="002421E7" w:rsidP="002F18B0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5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5125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 (95%CI)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</w:tcPr>
          <w:p w14:paraId="3655547F" w14:textId="77777777" w:rsidR="002421E7" w:rsidRPr="00490FB8" w:rsidRDefault="002421E7" w:rsidP="002F18B0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4F5F4" w14:textId="64B20D6C" w:rsidR="002421E7" w:rsidRPr="00490FB8" w:rsidRDefault="002421E7" w:rsidP="002F18B0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5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5125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 (95%CI)</w:t>
            </w:r>
          </w:p>
        </w:tc>
      </w:tr>
      <w:tr w:rsidR="000212ED" w:rsidRPr="00490FB8" w14:paraId="24C3A7B7" w14:textId="77777777" w:rsidTr="002421E7">
        <w:tc>
          <w:tcPr>
            <w:tcW w:w="222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55A018" w14:textId="44213C78" w:rsidR="000212ED" w:rsidRPr="00490FB8" w:rsidRDefault="000212ED" w:rsidP="00C66B11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B1">
              <w:rPr>
                <w:rFonts w:ascii="Times New Roman" w:hAnsi="Times New Roman" w:cs="Times New Roman"/>
                <w:sz w:val="20"/>
                <w:szCs w:val="20"/>
              </w:rPr>
              <w:t>Age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 1 year increment</w:t>
            </w:r>
            <w:r w:rsidRPr="005125B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</w:tcPr>
          <w:p w14:paraId="54C62333" w14:textId="77777777" w:rsidR="000212ED" w:rsidRPr="00490FB8" w:rsidRDefault="000212ED" w:rsidP="00C66B11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41364D" w14:textId="57967522" w:rsidR="000212ED" w:rsidRPr="00490FB8" w:rsidRDefault="000212ED" w:rsidP="00C66B11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0.95 (0.93-0.97)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</w:tcPr>
          <w:p w14:paraId="70CD172A" w14:textId="77777777" w:rsidR="000212ED" w:rsidRPr="00490FB8" w:rsidRDefault="000212ED" w:rsidP="00C66B11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00EE53" w14:textId="4E9B0DEC" w:rsidR="000212ED" w:rsidRPr="00490FB8" w:rsidRDefault="000212ED" w:rsidP="00C66B11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0.95 (0.93-0.97)</w:t>
            </w:r>
          </w:p>
        </w:tc>
      </w:tr>
      <w:tr w:rsidR="000212ED" w:rsidRPr="00490FB8" w14:paraId="0B0B165B" w14:textId="77777777" w:rsidTr="002421E7"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</w:tcPr>
          <w:p w14:paraId="0105EEDA" w14:textId="530B3FBD" w:rsidR="000212ED" w:rsidRPr="00490FB8" w:rsidRDefault="000212ED" w:rsidP="00C66B11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Women vs men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</w:tcPr>
          <w:p w14:paraId="75C2E9DD" w14:textId="77777777" w:rsidR="000212ED" w:rsidRPr="00490FB8" w:rsidRDefault="000212ED" w:rsidP="00C66B11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2B6F9" w14:textId="3928165A" w:rsidR="000212ED" w:rsidRPr="00490FB8" w:rsidRDefault="000212ED" w:rsidP="00C66B11">
            <w:pPr>
              <w:spacing w:before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0.30 (0.20-0.46)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</w:tcPr>
          <w:p w14:paraId="048259AF" w14:textId="77777777" w:rsidR="000212ED" w:rsidRPr="00490FB8" w:rsidRDefault="000212ED" w:rsidP="00C66B11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</w:tcPr>
          <w:p w14:paraId="5900B420" w14:textId="04A60FD9" w:rsidR="000212ED" w:rsidRPr="00490FB8" w:rsidRDefault="000212ED" w:rsidP="00C66B11">
            <w:pPr>
              <w:spacing w:before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0.54 (0.36-0.81)</w:t>
            </w:r>
          </w:p>
        </w:tc>
      </w:tr>
      <w:tr w:rsidR="000212ED" w:rsidRPr="00490FB8" w14:paraId="26716772" w14:textId="77777777" w:rsidTr="002421E7">
        <w:trPr>
          <w:trHeight w:val="164"/>
        </w:trPr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</w:tcPr>
          <w:p w14:paraId="436555A9" w14:textId="194D63A8" w:rsidR="000212ED" w:rsidRPr="00490FB8" w:rsidRDefault="000212ED" w:rsidP="00C66B11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B1">
              <w:rPr>
                <w:rFonts w:ascii="Times New Roman" w:hAnsi="Times New Roman" w:cs="Times New Roman"/>
                <w:sz w:val="20"/>
                <w:szCs w:val="20"/>
              </w:rPr>
              <w:t>Born outside Australia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(yes vs no)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</w:tcPr>
          <w:p w14:paraId="452445CD" w14:textId="77777777" w:rsidR="000212ED" w:rsidRPr="00490FB8" w:rsidRDefault="000212ED" w:rsidP="00C66B11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69D52" w14:textId="40DABF07" w:rsidR="000212ED" w:rsidRPr="00490FB8" w:rsidRDefault="000212ED" w:rsidP="00C66B11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1.45 (0.93-2.26)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</w:tcPr>
          <w:p w14:paraId="7C1E1014" w14:textId="77777777" w:rsidR="000212ED" w:rsidRPr="00490FB8" w:rsidRDefault="000212ED" w:rsidP="00C66B11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</w:tcPr>
          <w:p w14:paraId="41C4655D" w14:textId="28854397" w:rsidR="000212ED" w:rsidRPr="00490FB8" w:rsidRDefault="000212ED" w:rsidP="00C66B11">
            <w:pPr>
              <w:spacing w:before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2.43 (1.60-3.69)</w:t>
            </w:r>
          </w:p>
        </w:tc>
      </w:tr>
      <w:tr w:rsidR="000212ED" w:rsidRPr="00490FB8" w14:paraId="5569BB18" w14:textId="77777777" w:rsidTr="002421E7"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</w:tcPr>
          <w:p w14:paraId="679A3EE7" w14:textId="7491E12C" w:rsidR="000212ED" w:rsidRPr="00490FB8" w:rsidRDefault="000212ED" w:rsidP="00C66B11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24190">
              <w:rPr>
                <w:rFonts w:ascii="Times New Roman" w:hAnsi="Times New Roman" w:cs="Times New Roman"/>
                <w:sz w:val="20"/>
                <w:szCs w:val="20"/>
              </w:rPr>
              <w:t>Non-English Speaking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(yes vs no)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</w:tcPr>
          <w:p w14:paraId="03C16CD2" w14:textId="77777777" w:rsidR="000212ED" w:rsidRPr="00490FB8" w:rsidRDefault="000212ED" w:rsidP="00C66B11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86CDC" w14:textId="27A031E6" w:rsidR="000212ED" w:rsidRPr="00490FB8" w:rsidRDefault="000212ED" w:rsidP="00C66B11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0.98 (0.48-1.98)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</w:tcPr>
          <w:p w14:paraId="5CF51314" w14:textId="77777777" w:rsidR="000212ED" w:rsidRPr="00490FB8" w:rsidRDefault="000212ED" w:rsidP="00C66B11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</w:tcPr>
          <w:p w14:paraId="7F9A16CD" w14:textId="1D2808D4" w:rsidR="000212ED" w:rsidRPr="00490FB8" w:rsidRDefault="000212ED" w:rsidP="00C66B11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1.16 (0.63-2.13)</w:t>
            </w:r>
          </w:p>
        </w:tc>
      </w:tr>
      <w:tr w:rsidR="000212ED" w:rsidRPr="00490FB8" w14:paraId="7BC42ACA" w14:textId="77777777" w:rsidTr="002421E7"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</w:tcPr>
          <w:p w14:paraId="543B750A" w14:textId="09470045" w:rsidR="000212ED" w:rsidRPr="00490FB8" w:rsidRDefault="000212ED" w:rsidP="00C66B11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B1">
              <w:rPr>
                <w:rFonts w:ascii="Times New Roman" w:hAnsi="Times New Roman" w:cs="Times New Roman"/>
                <w:sz w:val="20"/>
                <w:szCs w:val="20"/>
              </w:rPr>
              <w:t xml:space="preserve">Living outside major city 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</w:tcPr>
          <w:p w14:paraId="63AF44B9" w14:textId="77777777" w:rsidR="000212ED" w:rsidRPr="00490FB8" w:rsidRDefault="000212ED" w:rsidP="00C66B11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C501D" w14:textId="703EEED7" w:rsidR="000212ED" w:rsidRPr="00490FB8" w:rsidRDefault="000212ED" w:rsidP="00C66B11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1.20 (0.75-1.90)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</w:tcPr>
          <w:p w14:paraId="65CA3961" w14:textId="77777777" w:rsidR="000212ED" w:rsidRPr="00490FB8" w:rsidRDefault="000212ED" w:rsidP="00C66B11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</w:tcPr>
          <w:p w14:paraId="0055EF26" w14:textId="2CFA0C89" w:rsidR="000212ED" w:rsidRPr="00490FB8" w:rsidRDefault="000212ED" w:rsidP="00C66B11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0.84 (0.52-1.36)</w:t>
            </w:r>
          </w:p>
        </w:tc>
      </w:tr>
      <w:tr w:rsidR="000212ED" w:rsidRPr="00490FB8" w14:paraId="16E722B0" w14:textId="77777777" w:rsidTr="002421E7">
        <w:trPr>
          <w:trHeight w:val="177"/>
        </w:trPr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A8B1C" w14:textId="105F77D2" w:rsidR="000212ED" w:rsidRPr="00490FB8" w:rsidRDefault="000212ED" w:rsidP="00C66B11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B1">
              <w:rPr>
                <w:rFonts w:ascii="Times New Roman" w:hAnsi="Times New Roman" w:cs="Times New Roman"/>
                <w:sz w:val="20"/>
                <w:szCs w:val="20"/>
              </w:rPr>
              <w:t xml:space="preserve">Socio-economic status </w:t>
            </w:r>
            <w:r w:rsidR="00A110C1" w:rsidRPr="00A110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217AF" w14:textId="77777777" w:rsidR="000212ED" w:rsidRPr="00490FB8" w:rsidRDefault="000212ED" w:rsidP="00C66B11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33612" w14:textId="2E59A0AF" w:rsidR="000212ED" w:rsidRPr="00490FB8" w:rsidRDefault="000212ED" w:rsidP="00C66B11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1.07 (0.92-1.24)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E0B70" w14:textId="77777777" w:rsidR="000212ED" w:rsidRPr="00490FB8" w:rsidRDefault="000212ED" w:rsidP="00C66B11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</w:tcPr>
          <w:p w14:paraId="6A6DF1EE" w14:textId="3A1136C7" w:rsidR="000212ED" w:rsidRPr="00490FB8" w:rsidRDefault="000212ED" w:rsidP="00C66B11">
            <w:pPr>
              <w:spacing w:before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1.10 (0.95-1.27)</w:t>
            </w:r>
          </w:p>
        </w:tc>
      </w:tr>
      <w:tr w:rsidR="000212ED" w:rsidRPr="00490FB8" w14:paraId="6B77CD91" w14:textId="77777777" w:rsidTr="002421E7"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A6AA4" w14:textId="26155D2D" w:rsidR="000212ED" w:rsidRPr="00490FB8" w:rsidRDefault="000212ED" w:rsidP="00C66B11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B1">
              <w:rPr>
                <w:rFonts w:ascii="Times New Roman" w:hAnsi="Times New Roman" w:cs="Times New Roman"/>
                <w:sz w:val="20"/>
                <w:szCs w:val="20"/>
              </w:rPr>
              <w:t>Living alone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10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(yes vs no)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46926" w14:textId="77777777" w:rsidR="000212ED" w:rsidRPr="00490FB8" w:rsidRDefault="000212ED" w:rsidP="00C66B11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2972B" w14:textId="3302063C" w:rsidR="000212ED" w:rsidRPr="00490FB8" w:rsidRDefault="000212ED" w:rsidP="00C66B11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E2796" w14:textId="77777777" w:rsidR="000212ED" w:rsidRPr="00490FB8" w:rsidRDefault="000212ED" w:rsidP="00C66B11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</w:tcPr>
          <w:p w14:paraId="36EADEF2" w14:textId="618FABDB" w:rsidR="000212ED" w:rsidRPr="00490FB8" w:rsidRDefault="000212ED" w:rsidP="00C66B11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1.93 (1.26-2.94)</w:t>
            </w:r>
          </w:p>
        </w:tc>
      </w:tr>
      <w:tr w:rsidR="000212ED" w:rsidRPr="00490FB8" w14:paraId="167F7125" w14:textId="77777777" w:rsidTr="002421E7"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623D7" w14:textId="6C4CAF32" w:rsidR="000212ED" w:rsidRPr="00490FB8" w:rsidRDefault="000212ED" w:rsidP="00410217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B1">
              <w:rPr>
                <w:rFonts w:ascii="Times New Roman" w:hAnsi="Times New Roman" w:cs="Times New Roman"/>
                <w:sz w:val="20"/>
                <w:szCs w:val="20"/>
              </w:rPr>
              <w:t xml:space="preserve">Availability of a carer </w:t>
            </w:r>
            <w:r w:rsidR="00A110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(yes vs no)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5C0E1" w14:textId="77777777" w:rsidR="000212ED" w:rsidRPr="00490FB8" w:rsidRDefault="000212ED" w:rsidP="00410217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5455D" w14:textId="45FCDB70" w:rsidR="000212ED" w:rsidRPr="00490FB8" w:rsidRDefault="000212ED" w:rsidP="00410217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2E184" w14:textId="77777777" w:rsidR="000212ED" w:rsidRPr="00490FB8" w:rsidRDefault="000212ED" w:rsidP="00410217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</w:tcPr>
          <w:p w14:paraId="39A55375" w14:textId="376C8A2F" w:rsidR="000212ED" w:rsidRPr="00490FB8" w:rsidRDefault="000212ED" w:rsidP="00410217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0.51 (0.32-0.80)</w:t>
            </w:r>
          </w:p>
        </w:tc>
      </w:tr>
      <w:tr w:rsidR="000212ED" w:rsidRPr="00490FB8" w14:paraId="2665A717" w14:textId="77777777" w:rsidTr="002421E7"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4506A" w14:textId="27531FC8" w:rsidR="000212ED" w:rsidRPr="00490FB8" w:rsidRDefault="000212ED" w:rsidP="00C57113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Number of health conditions </w:t>
            </w:r>
            <w:r w:rsidR="00A110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678D4" w14:textId="77777777" w:rsidR="000212ED" w:rsidRPr="00490FB8" w:rsidRDefault="000212ED" w:rsidP="00C57113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61B5C" w14:textId="20B14EA3" w:rsidR="000212ED" w:rsidRPr="00490FB8" w:rsidRDefault="000212ED" w:rsidP="00C57113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 (0.76-1.38)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450B2" w14:textId="77777777" w:rsidR="000212ED" w:rsidRPr="00490FB8" w:rsidRDefault="000212ED" w:rsidP="00C57113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</w:tcPr>
          <w:p w14:paraId="5A847411" w14:textId="51B1A60F" w:rsidR="000212ED" w:rsidRPr="00490FB8" w:rsidRDefault="000212ED" w:rsidP="00C57113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0.72 (0.54=0.94)</w:t>
            </w:r>
          </w:p>
        </w:tc>
      </w:tr>
      <w:tr w:rsidR="000212ED" w:rsidRPr="00490FB8" w14:paraId="169A1C56" w14:textId="77777777" w:rsidTr="002421E7">
        <w:trPr>
          <w:trHeight w:val="80"/>
        </w:trPr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7DAF3" w14:textId="32822C03" w:rsidR="000212ED" w:rsidRPr="00490FB8" w:rsidRDefault="000212ED" w:rsidP="00C57113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B1">
              <w:rPr>
                <w:rFonts w:ascii="Times New Roman" w:hAnsi="Times New Roman" w:cs="Times New Roman"/>
                <w:sz w:val="20"/>
                <w:szCs w:val="20"/>
              </w:rPr>
              <w:t>Frailty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index </w:t>
            </w:r>
            <w:r w:rsidR="00A110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</w:tcPr>
          <w:p w14:paraId="5AF19C5A" w14:textId="77777777" w:rsidR="000212ED" w:rsidRPr="00490FB8" w:rsidRDefault="000212ED" w:rsidP="00C57113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80323" w14:textId="4D227E7C" w:rsidR="000212ED" w:rsidRPr="00490FB8" w:rsidRDefault="000212ED" w:rsidP="00C57113">
            <w:pPr>
              <w:spacing w:before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0.67 (0.52-0.86)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</w:tcPr>
          <w:p w14:paraId="086D1269" w14:textId="77777777" w:rsidR="000212ED" w:rsidRPr="00490FB8" w:rsidRDefault="000212ED" w:rsidP="00C57113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</w:tcPr>
          <w:p w14:paraId="27FC56C9" w14:textId="04A61BAE" w:rsidR="000212ED" w:rsidRPr="00490FB8" w:rsidRDefault="000212ED" w:rsidP="00C57113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0.53 (0.41-0.70)</w:t>
            </w:r>
          </w:p>
        </w:tc>
      </w:tr>
      <w:tr w:rsidR="000212ED" w:rsidRPr="00490FB8" w14:paraId="2E80FDCE" w14:textId="77777777" w:rsidTr="002421E7"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DD560" w14:textId="2ADF9D54" w:rsidR="000212ED" w:rsidRPr="00490FB8" w:rsidRDefault="000212ED" w:rsidP="00C57113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B1">
              <w:rPr>
                <w:rFonts w:ascii="Times New Roman" w:hAnsi="Times New Roman" w:cs="Times New Roman"/>
                <w:sz w:val="20"/>
                <w:szCs w:val="20"/>
              </w:rPr>
              <w:t>Dementia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(yes vs no)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</w:tcPr>
          <w:p w14:paraId="39D9461E" w14:textId="77777777" w:rsidR="000212ED" w:rsidRPr="00490FB8" w:rsidRDefault="000212ED" w:rsidP="00C57113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3CBAE" w14:textId="3F5B2886" w:rsidR="000212ED" w:rsidRPr="00490FB8" w:rsidRDefault="000212ED" w:rsidP="00C57113">
            <w:pPr>
              <w:spacing w:before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0.39 (0.26-0.60)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</w:tcPr>
          <w:p w14:paraId="1289C9CD" w14:textId="77777777" w:rsidR="000212ED" w:rsidRPr="00490FB8" w:rsidRDefault="000212ED" w:rsidP="00C57113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</w:tcPr>
          <w:p w14:paraId="4957205A" w14:textId="6C4D4775" w:rsidR="000212ED" w:rsidRPr="00490FB8" w:rsidRDefault="000212ED" w:rsidP="00C57113">
            <w:pPr>
              <w:spacing w:before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0.41 (0.19-0.89)</w:t>
            </w:r>
          </w:p>
        </w:tc>
      </w:tr>
      <w:tr w:rsidR="000212ED" w:rsidRPr="00490FB8" w14:paraId="53C9CA97" w14:textId="77777777" w:rsidTr="002421E7">
        <w:tc>
          <w:tcPr>
            <w:tcW w:w="22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58AE6" w14:textId="1D5C6AC4" w:rsidR="000212ED" w:rsidRPr="00490FB8" w:rsidRDefault="000212ED" w:rsidP="00C57113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B1">
              <w:rPr>
                <w:rFonts w:ascii="Times New Roman" w:hAnsi="Times New Roman" w:cs="Times New Roman"/>
                <w:sz w:val="20"/>
                <w:szCs w:val="20"/>
              </w:rPr>
              <w:t xml:space="preserve">Mental health condition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(yes vs no)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</w:tcPr>
          <w:p w14:paraId="5E2277F1" w14:textId="77777777" w:rsidR="000212ED" w:rsidRPr="00490FB8" w:rsidRDefault="000212ED" w:rsidP="00C57113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04E69" w14:textId="272E6F7A" w:rsidR="000212ED" w:rsidRPr="00490FB8" w:rsidRDefault="000212ED" w:rsidP="00C57113">
            <w:pPr>
              <w:spacing w:before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3.65 (2.44-5.44)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</w:tcPr>
          <w:p w14:paraId="68AD07A1" w14:textId="77777777" w:rsidR="000212ED" w:rsidRPr="00490FB8" w:rsidRDefault="000212ED" w:rsidP="00C57113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</w:tcPr>
          <w:p w14:paraId="0B9E5259" w14:textId="18DE03EA" w:rsidR="000212ED" w:rsidRPr="00490FB8" w:rsidRDefault="000212ED" w:rsidP="00C57113">
            <w:pPr>
              <w:spacing w:before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3.51 (2.37-5.21)</w:t>
            </w:r>
          </w:p>
        </w:tc>
      </w:tr>
      <w:tr w:rsidR="000212ED" w:rsidRPr="00490FB8" w14:paraId="7FE7DE78" w14:textId="77777777" w:rsidTr="002421E7">
        <w:tc>
          <w:tcPr>
            <w:tcW w:w="222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AFA66" w14:textId="47BFB16B" w:rsidR="000212ED" w:rsidRPr="00490FB8" w:rsidRDefault="000212ED" w:rsidP="00C57113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Self-injury (yes vs no)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4F58A" w14:textId="77777777" w:rsidR="000212ED" w:rsidRPr="00490FB8" w:rsidRDefault="000212ED" w:rsidP="00C57113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6C5305" w14:textId="3B776A25" w:rsidR="000212ED" w:rsidRPr="00490FB8" w:rsidRDefault="000212ED" w:rsidP="00C57113">
            <w:pPr>
              <w:spacing w:before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44.7 (22.3-89.7)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B9E73E" w14:textId="77777777" w:rsidR="000212ED" w:rsidRPr="00490FB8" w:rsidRDefault="000212ED" w:rsidP="00C57113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E91C19" w14:textId="1EEF7C1E" w:rsidR="000212ED" w:rsidRPr="00490FB8" w:rsidRDefault="000212ED" w:rsidP="00C57113">
            <w:pPr>
              <w:spacing w:before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63.2 (27.4-145.9)</w:t>
            </w:r>
          </w:p>
        </w:tc>
      </w:tr>
    </w:tbl>
    <w:p w14:paraId="214FC2D8" w14:textId="22C89B97" w:rsidR="009826C4" w:rsidRPr="005125B1" w:rsidRDefault="009826C4" w:rsidP="009826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25B1">
        <w:rPr>
          <w:rFonts w:ascii="Times New Roman" w:hAnsi="Times New Roman" w:cs="Times New Roman"/>
          <w:sz w:val="20"/>
          <w:szCs w:val="20"/>
        </w:rPr>
        <w:t>Abbreviations: ACAT=Aged Care Assessment; a</w:t>
      </w:r>
      <w:r w:rsidR="00065734">
        <w:rPr>
          <w:rFonts w:ascii="Times New Roman" w:hAnsi="Times New Roman" w:cs="Times New Roman"/>
          <w:sz w:val="20"/>
          <w:szCs w:val="20"/>
        </w:rPr>
        <w:t>O</w:t>
      </w:r>
      <w:r w:rsidRPr="005125B1">
        <w:rPr>
          <w:rFonts w:ascii="Times New Roman" w:hAnsi="Times New Roman" w:cs="Times New Roman"/>
          <w:sz w:val="20"/>
          <w:szCs w:val="20"/>
        </w:rPr>
        <w:t xml:space="preserve">R=Adjusted </w:t>
      </w:r>
      <w:r w:rsidR="00065734">
        <w:rPr>
          <w:rFonts w:ascii="Times New Roman" w:hAnsi="Times New Roman" w:cs="Times New Roman"/>
          <w:sz w:val="20"/>
          <w:szCs w:val="20"/>
        </w:rPr>
        <w:t>Odds</w:t>
      </w:r>
      <w:r w:rsidRPr="005125B1">
        <w:rPr>
          <w:rFonts w:ascii="Times New Roman" w:hAnsi="Times New Roman" w:cs="Times New Roman"/>
          <w:sz w:val="20"/>
          <w:szCs w:val="20"/>
        </w:rPr>
        <w:t xml:space="preserve"> Ratio; CI=Confidence interval.</w:t>
      </w:r>
    </w:p>
    <w:p w14:paraId="73AF6E91" w14:textId="787749D1" w:rsidR="00BD3DB5" w:rsidRDefault="009826C4" w:rsidP="009826C4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5125B1">
        <w:rPr>
          <w:rFonts w:ascii="Times New Roman" w:hAnsi="Times New Roman" w:cs="Times New Roman"/>
          <w:b/>
          <w:bCs/>
          <w:sz w:val="20"/>
          <w:szCs w:val="20"/>
        </w:rPr>
        <w:t xml:space="preserve">Boldface </w:t>
      </w:r>
      <w:r w:rsidRPr="005125B1">
        <w:rPr>
          <w:rFonts w:ascii="Times New Roman" w:hAnsi="Times New Roman" w:cs="Times New Roman"/>
          <w:sz w:val="20"/>
          <w:szCs w:val="20"/>
        </w:rPr>
        <w:t>denotes α&lt;0.0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5125B1">
        <w:rPr>
          <w:rFonts w:ascii="Times New Roman" w:hAnsi="Times New Roman" w:cs="Times New Roman"/>
          <w:sz w:val="20"/>
          <w:szCs w:val="20"/>
        </w:rPr>
        <w:t xml:space="preserve"> after Bonferroni correction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="00BD3DB5">
        <w:rPr>
          <w:rFonts w:ascii="Times New Roman" w:hAnsi="Times New Roman" w:cs="Times New Roman"/>
          <w:sz w:val="20"/>
          <w:szCs w:val="20"/>
        </w:rPr>
        <w:t xml:space="preserve">time from approval to death included in </w:t>
      </w:r>
      <w:r w:rsidR="00BD3DB5">
        <w:rPr>
          <w:rFonts w:ascii="Times New Roman" w:hAnsi="Times New Roman" w:cs="Times New Roman"/>
          <w:sz w:val="20"/>
          <w:szCs w:val="20"/>
        </w:rPr>
        <w:t xml:space="preserve">all </w:t>
      </w:r>
      <w:r w:rsidR="00BD3DB5">
        <w:rPr>
          <w:rFonts w:ascii="Times New Roman" w:hAnsi="Times New Roman" w:cs="Times New Roman"/>
          <w:sz w:val="20"/>
          <w:szCs w:val="20"/>
        </w:rPr>
        <w:t>modelling as a covariate</w:t>
      </w:r>
      <w:r w:rsidR="00BD3DB5" w:rsidRPr="00A110C1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</w:p>
    <w:p w14:paraId="0BF29983" w14:textId="3CADD41F" w:rsidR="009826C4" w:rsidRPr="005125B1" w:rsidRDefault="00A110C1" w:rsidP="009826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10C1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="009826C4">
        <w:rPr>
          <w:rFonts w:ascii="Times New Roman" w:hAnsi="Times New Roman" w:cs="Times New Roman"/>
          <w:sz w:val="20"/>
          <w:szCs w:val="20"/>
        </w:rPr>
        <w:t xml:space="preserve"> continuous variable per increment displayed in Table 1;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="009826C4">
        <w:rPr>
          <w:rFonts w:ascii="Times New Roman" w:hAnsi="Times New Roman" w:cs="Times New Roman"/>
          <w:sz w:val="20"/>
          <w:szCs w:val="20"/>
        </w:rPr>
        <w:t xml:space="preserve"> </w:t>
      </w:r>
      <w:r w:rsidR="009826C4" w:rsidRPr="005125B1">
        <w:rPr>
          <w:rFonts w:ascii="Times New Roman" w:hAnsi="Times New Roman" w:cs="Times New Roman"/>
          <w:sz w:val="20"/>
          <w:szCs w:val="20"/>
        </w:rPr>
        <w:t>not included in modelling for residential aged care</w:t>
      </w:r>
      <w:r w:rsidR="00B44396">
        <w:rPr>
          <w:rFonts w:ascii="Times New Roman" w:hAnsi="Times New Roman" w:cs="Times New Roman"/>
          <w:sz w:val="20"/>
          <w:szCs w:val="20"/>
        </w:rPr>
        <w:t>.</w:t>
      </w:r>
    </w:p>
    <w:p w14:paraId="002AEF9B" w14:textId="77777777" w:rsidR="008A4DF9" w:rsidRPr="00490FB8" w:rsidRDefault="008A4DF9" w:rsidP="008A4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2B937E" w14:textId="77777777" w:rsidR="00C845FE" w:rsidRPr="00490FB8" w:rsidRDefault="00C845FE">
      <w:pPr>
        <w:rPr>
          <w:rFonts w:ascii="Times New Roman" w:hAnsi="Times New Roman" w:cs="Times New Roman"/>
          <w:sz w:val="20"/>
          <w:szCs w:val="20"/>
        </w:rPr>
      </w:pPr>
    </w:p>
    <w:sectPr w:rsidR="00C845FE" w:rsidRPr="00490FB8" w:rsidSect="00242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Std-Roman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664EE"/>
    <w:multiLevelType w:val="hybridMultilevel"/>
    <w:tmpl w:val="794E37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72100"/>
    <w:multiLevelType w:val="multilevel"/>
    <w:tmpl w:val="490E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D171A1"/>
    <w:multiLevelType w:val="multilevel"/>
    <w:tmpl w:val="0D36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8829024">
    <w:abstractNumId w:val="1"/>
  </w:num>
  <w:num w:numId="2" w16cid:durableId="1785348411">
    <w:abstractNumId w:val="2"/>
  </w:num>
  <w:num w:numId="3" w16cid:durableId="289677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96"/>
    <w:rsid w:val="000138F4"/>
    <w:rsid w:val="000152DD"/>
    <w:rsid w:val="000212ED"/>
    <w:rsid w:val="00030651"/>
    <w:rsid w:val="0004760C"/>
    <w:rsid w:val="00057C84"/>
    <w:rsid w:val="00065734"/>
    <w:rsid w:val="00066BCA"/>
    <w:rsid w:val="000678BA"/>
    <w:rsid w:val="00071CDD"/>
    <w:rsid w:val="00096313"/>
    <w:rsid w:val="000A1D31"/>
    <w:rsid w:val="000F5818"/>
    <w:rsid w:val="00112AF3"/>
    <w:rsid w:val="001550CD"/>
    <w:rsid w:val="001561E0"/>
    <w:rsid w:val="00163C09"/>
    <w:rsid w:val="00195148"/>
    <w:rsid w:val="001A4FE7"/>
    <w:rsid w:val="001C1140"/>
    <w:rsid w:val="001D3B37"/>
    <w:rsid w:val="001F42E5"/>
    <w:rsid w:val="002054DC"/>
    <w:rsid w:val="00221529"/>
    <w:rsid w:val="00237A51"/>
    <w:rsid w:val="002421E7"/>
    <w:rsid w:val="002A034E"/>
    <w:rsid w:val="002A0433"/>
    <w:rsid w:val="002C63EE"/>
    <w:rsid w:val="002F18B0"/>
    <w:rsid w:val="002F6C27"/>
    <w:rsid w:val="00340353"/>
    <w:rsid w:val="0034325D"/>
    <w:rsid w:val="0034437E"/>
    <w:rsid w:val="003563CD"/>
    <w:rsid w:val="00373829"/>
    <w:rsid w:val="00396665"/>
    <w:rsid w:val="003D0359"/>
    <w:rsid w:val="003E609C"/>
    <w:rsid w:val="003F1A77"/>
    <w:rsid w:val="003F31C0"/>
    <w:rsid w:val="003F3AFF"/>
    <w:rsid w:val="00402FA1"/>
    <w:rsid w:val="00404C37"/>
    <w:rsid w:val="00405BAA"/>
    <w:rsid w:val="00410217"/>
    <w:rsid w:val="00421DFA"/>
    <w:rsid w:val="00464EA0"/>
    <w:rsid w:val="00483F4F"/>
    <w:rsid w:val="00490FB8"/>
    <w:rsid w:val="004A142D"/>
    <w:rsid w:val="004A40D0"/>
    <w:rsid w:val="004C5E38"/>
    <w:rsid w:val="004D602A"/>
    <w:rsid w:val="004F1047"/>
    <w:rsid w:val="004F2DED"/>
    <w:rsid w:val="00510655"/>
    <w:rsid w:val="00517BDF"/>
    <w:rsid w:val="00546994"/>
    <w:rsid w:val="00572B57"/>
    <w:rsid w:val="005A21A1"/>
    <w:rsid w:val="005A7C6A"/>
    <w:rsid w:val="005B0B39"/>
    <w:rsid w:val="005B76DC"/>
    <w:rsid w:val="005E053C"/>
    <w:rsid w:val="005E2832"/>
    <w:rsid w:val="005F6A07"/>
    <w:rsid w:val="0061292C"/>
    <w:rsid w:val="00613F3D"/>
    <w:rsid w:val="00643038"/>
    <w:rsid w:val="00650762"/>
    <w:rsid w:val="00666541"/>
    <w:rsid w:val="006810BA"/>
    <w:rsid w:val="00682863"/>
    <w:rsid w:val="00693FB7"/>
    <w:rsid w:val="00695618"/>
    <w:rsid w:val="006A58DB"/>
    <w:rsid w:val="006B00EF"/>
    <w:rsid w:val="006B38DC"/>
    <w:rsid w:val="006D5131"/>
    <w:rsid w:val="006E622F"/>
    <w:rsid w:val="00712390"/>
    <w:rsid w:val="007250C3"/>
    <w:rsid w:val="007516FA"/>
    <w:rsid w:val="007830E9"/>
    <w:rsid w:val="007A60BC"/>
    <w:rsid w:val="008004A8"/>
    <w:rsid w:val="00804484"/>
    <w:rsid w:val="00854159"/>
    <w:rsid w:val="008847F1"/>
    <w:rsid w:val="008A1339"/>
    <w:rsid w:val="008A364D"/>
    <w:rsid w:val="008A4DF9"/>
    <w:rsid w:val="008F4C70"/>
    <w:rsid w:val="00920CC3"/>
    <w:rsid w:val="0096356C"/>
    <w:rsid w:val="009826C4"/>
    <w:rsid w:val="009837A7"/>
    <w:rsid w:val="009B6AE1"/>
    <w:rsid w:val="009D1E17"/>
    <w:rsid w:val="009E1738"/>
    <w:rsid w:val="00A04766"/>
    <w:rsid w:val="00A110C1"/>
    <w:rsid w:val="00A17F10"/>
    <w:rsid w:val="00A578E8"/>
    <w:rsid w:val="00A967BF"/>
    <w:rsid w:val="00AB7AA2"/>
    <w:rsid w:val="00AD4F77"/>
    <w:rsid w:val="00AF3296"/>
    <w:rsid w:val="00B11345"/>
    <w:rsid w:val="00B44396"/>
    <w:rsid w:val="00B77D11"/>
    <w:rsid w:val="00B93948"/>
    <w:rsid w:val="00BA5F71"/>
    <w:rsid w:val="00BD3DB5"/>
    <w:rsid w:val="00BE7F93"/>
    <w:rsid w:val="00C1629D"/>
    <w:rsid w:val="00C3522C"/>
    <w:rsid w:val="00C528FD"/>
    <w:rsid w:val="00C5334E"/>
    <w:rsid w:val="00C57113"/>
    <w:rsid w:val="00C66B11"/>
    <w:rsid w:val="00C75E91"/>
    <w:rsid w:val="00C845FE"/>
    <w:rsid w:val="00C93531"/>
    <w:rsid w:val="00CE2D73"/>
    <w:rsid w:val="00D034E6"/>
    <w:rsid w:val="00D40E29"/>
    <w:rsid w:val="00D6173C"/>
    <w:rsid w:val="00D723EF"/>
    <w:rsid w:val="00DA6467"/>
    <w:rsid w:val="00DB09CB"/>
    <w:rsid w:val="00DC70ED"/>
    <w:rsid w:val="00DD65A4"/>
    <w:rsid w:val="00DF0C37"/>
    <w:rsid w:val="00E06753"/>
    <w:rsid w:val="00E1151D"/>
    <w:rsid w:val="00E33C38"/>
    <w:rsid w:val="00E42FEB"/>
    <w:rsid w:val="00E55828"/>
    <w:rsid w:val="00E6292D"/>
    <w:rsid w:val="00EB7FE4"/>
    <w:rsid w:val="00F07102"/>
    <w:rsid w:val="00F3709F"/>
    <w:rsid w:val="00F551A7"/>
    <w:rsid w:val="00F56863"/>
    <w:rsid w:val="00F858A8"/>
    <w:rsid w:val="00F964EA"/>
    <w:rsid w:val="00FA0107"/>
    <w:rsid w:val="00FA76CF"/>
    <w:rsid w:val="00FC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ADBE"/>
  <w15:chartTrackingRefBased/>
  <w15:docId w15:val="{0561F8CA-32F6-43F7-B702-2A4E577A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8A4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A4DF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B7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76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76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0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04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64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Cations</dc:creator>
  <cp:keywords/>
  <dc:description/>
  <cp:lastModifiedBy>Monica Cations</cp:lastModifiedBy>
  <cp:revision>147</cp:revision>
  <dcterms:created xsi:type="dcterms:W3CDTF">2022-08-03T00:18:00Z</dcterms:created>
  <dcterms:modified xsi:type="dcterms:W3CDTF">2022-10-13T12:38:00Z</dcterms:modified>
</cp:coreProperties>
</file>