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2857" w14:textId="77777777" w:rsidR="003B14B7" w:rsidRPr="00293BDA" w:rsidRDefault="003B14B7" w:rsidP="003B14B7">
      <w:pPr>
        <w:pStyle w:val="Heading2"/>
        <w:spacing w:before="0" w:after="120" w:line="240" w:lineRule="auto"/>
        <w:jc w:val="left"/>
      </w:pPr>
      <w:r>
        <w:t>Supplementary 3</w:t>
      </w:r>
      <w:r w:rsidRPr="00293BDA">
        <w:t>: ICD-10-AM diagnostic code</w:t>
      </w:r>
      <w:r>
        <w:t xml:space="preserve">s </w:t>
      </w:r>
      <w:r w:rsidRPr="004F6C25">
        <w:t>used to classify ‘chronic disease’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3B14B7" w:rsidRPr="004F6C25" w14:paraId="183981F5" w14:textId="77777777" w:rsidTr="00EA6AEF">
        <w:tc>
          <w:tcPr>
            <w:tcW w:w="3681" w:type="dxa"/>
          </w:tcPr>
          <w:p w14:paraId="2A4962D4" w14:textId="77777777" w:rsidR="003B14B7" w:rsidRPr="004F6C25" w:rsidRDefault="003B14B7" w:rsidP="00EA6AEF">
            <w:pPr>
              <w:spacing w:line="240" w:lineRule="auto"/>
              <w:jc w:val="left"/>
              <w:rPr>
                <w:b/>
                <w:bCs/>
                <w:kern w:val="2"/>
                <w:lang w:val="en-AU"/>
                <w14:ligatures w14:val="standardContextual"/>
              </w:rPr>
            </w:pPr>
            <w:r w:rsidRPr="004F6C25">
              <w:rPr>
                <w:b/>
                <w:bCs/>
                <w:kern w:val="2"/>
                <w:lang w:val="en-AU"/>
                <w14:ligatures w14:val="standardContextual"/>
              </w:rPr>
              <w:t xml:space="preserve">Disorder </w:t>
            </w:r>
          </w:p>
        </w:tc>
        <w:tc>
          <w:tcPr>
            <w:tcW w:w="5335" w:type="dxa"/>
          </w:tcPr>
          <w:p w14:paraId="5C6134F5" w14:textId="77777777" w:rsidR="003B14B7" w:rsidRPr="004F6C25" w:rsidRDefault="003B14B7" w:rsidP="00EA6AEF">
            <w:pPr>
              <w:spacing w:line="240" w:lineRule="auto"/>
              <w:jc w:val="left"/>
              <w:rPr>
                <w:b/>
                <w:bCs/>
                <w:kern w:val="2"/>
                <w:lang w:val="en-AU"/>
                <w14:ligatures w14:val="standardContextual"/>
              </w:rPr>
            </w:pPr>
            <w:r w:rsidRPr="004F6C25">
              <w:rPr>
                <w:b/>
                <w:bCs/>
                <w:kern w:val="2"/>
                <w:lang w:val="en-AU"/>
                <w14:ligatures w14:val="standardContextual"/>
              </w:rPr>
              <w:t>ICD-10-AM codes</w:t>
            </w:r>
          </w:p>
        </w:tc>
      </w:tr>
      <w:tr w:rsidR="003B14B7" w:rsidRPr="004F6C25" w14:paraId="62156957" w14:textId="77777777" w:rsidTr="00EA6AEF">
        <w:tc>
          <w:tcPr>
            <w:tcW w:w="3681" w:type="dxa"/>
          </w:tcPr>
          <w:p w14:paraId="713B5D82" w14:textId="77777777" w:rsidR="003B14B7" w:rsidRPr="004F6C25" w:rsidRDefault="003B14B7" w:rsidP="00EA6AEF">
            <w:pPr>
              <w:spacing w:line="240" w:lineRule="auto"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Cancer including (but not limited to):</w:t>
            </w:r>
          </w:p>
          <w:p w14:paraId="0D7F2556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Malignant neoplasms – any possible location in body</w:t>
            </w:r>
          </w:p>
          <w:p w14:paraId="61C8174D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Mesothelioma</w:t>
            </w:r>
          </w:p>
          <w:p w14:paraId="5432D49D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Kaposi sarcoma</w:t>
            </w:r>
          </w:p>
          <w:p w14:paraId="3D137D9A" w14:textId="77777777" w:rsidR="004F6C25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Secondary malignant neoplasm – any possible location in body</w:t>
            </w:r>
          </w:p>
        </w:tc>
        <w:tc>
          <w:tcPr>
            <w:tcW w:w="5335" w:type="dxa"/>
          </w:tcPr>
          <w:p w14:paraId="2FC64C5F" w14:textId="77777777" w:rsidR="003B14B7" w:rsidRPr="004F6C25" w:rsidRDefault="003B14B7" w:rsidP="00EA6AEF">
            <w:pPr>
              <w:spacing w:line="240" w:lineRule="auto"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C15 – C80</w:t>
            </w:r>
          </w:p>
          <w:p w14:paraId="656CA0AA" w14:textId="77777777" w:rsidR="003B14B7" w:rsidRPr="004F6C25" w:rsidRDefault="003B14B7" w:rsidP="00EA6AEF">
            <w:pPr>
              <w:spacing w:line="240" w:lineRule="auto"/>
              <w:jc w:val="left"/>
              <w:rPr>
                <w:kern w:val="2"/>
                <w:lang w:val="en-AU"/>
                <w14:ligatures w14:val="standardContextual"/>
              </w:rPr>
            </w:pPr>
          </w:p>
          <w:p w14:paraId="135C96E4" w14:textId="77777777" w:rsidR="003B14B7" w:rsidRPr="004F6C25" w:rsidRDefault="003B14B7" w:rsidP="00EA6AEF">
            <w:pPr>
              <w:spacing w:line="240" w:lineRule="auto"/>
              <w:jc w:val="left"/>
              <w:rPr>
                <w:kern w:val="2"/>
                <w:lang w:val="en-AU"/>
                <w14:ligatures w14:val="standardContextual"/>
              </w:rPr>
            </w:pPr>
          </w:p>
        </w:tc>
      </w:tr>
      <w:tr w:rsidR="003B14B7" w:rsidRPr="004F6C25" w14:paraId="787BEB8B" w14:textId="77777777" w:rsidTr="00EA6AEF">
        <w:tc>
          <w:tcPr>
            <w:tcW w:w="3681" w:type="dxa"/>
          </w:tcPr>
          <w:p w14:paraId="6A771781" w14:textId="77777777" w:rsidR="003B14B7" w:rsidRPr="004F6C25" w:rsidRDefault="003B14B7" w:rsidP="00EA6AEF">
            <w:pPr>
              <w:spacing w:line="240" w:lineRule="auto"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 xml:space="preserve">Gastro-intestinal disease including (but not limited to): </w:t>
            </w:r>
          </w:p>
          <w:p w14:paraId="75CD9517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Alcoholic liver disease</w:t>
            </w:r>
          </w:p>
          <w:p w14:paraId="6ADD7C67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Pancreatitis</w:t>
            </w:r>
          </w:p>
          <w:p w14:paraId="4DFA6EBB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 xml:space="preserve">Cirrhosis </w:t>
            </w:r>
          </w:p>
          <w:p w14:paraId="1B76EAC1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Hepatitis</w:t>
            </w:r>
          </w:p>
          <w:p w14:paraId="3C18BA64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Hepatic failure</w:t>
            </w:r>
          </w:p>
          <w:p w14:paraId="1BB364B9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Sclerosis of liver</w:t>
            </w:r>
          </w:p>
          <w:p w14:paraId="4C2BD13E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Toxic liver disease</w:t>
            </w:r>
          </w:p>
          <w:p w14:paraId="48070EAA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Megacolon</w:t>
            </w:r>
          </w:p>
          <w:p w14:paraId="51CA731D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Diverticular disease</w:t>
            </w:r>
          </w:p>
          <w:p w14:paraId="5EAEF3D4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Chron’s disease</w:t>
            </w:r>
          </w:p>
          <w:p w14:paraId="78CCF31D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Ulcerative colitis</w:t>
            </w:r>
          </w:p>
        </w:tc>
        <w:tc>
          <w:tcPr>
            <w:tcW w:w="5335" w:type="dxa"/>
          </w:tcPr>
          <w:p w14:paraId="69979D56" w14:textId="77777777" w:rsidR="003B14B7" w:rsidRPr="004F6C25" w:rsidRDefault="003B14B7" w:rsidP="00EA6AEF">
            <w:pPr>
              <w:spacing w:line="240" w:lineRule="auto"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K20 – K93</w:t>
            </w:r>
          </w:p>
        </w:tc>
      </w:tr>
      <w:tr w:rsidR="003B14B7" w:rsidRPr="004F6C25" w14:paraId="5A64EC9D" w14:textId="77777777" w:rsidTr="00EA6AEF">
        <w:tc>
          <w:tcPr>
            <w:tcW w:w="3681" w:type="dxa"/>
          </w:tcPr>
          <w:p w14:paraId="450824A3" w14:textId="77777777" w:rsidR="003B14B7" w:rsidRPr="004F6C25" w:rsidRDefault="003B14B7" w:rsidP="00EA6AEF">
            <w:pPr>
              <w:spacing w:line="240" w:lineRule="auto"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 xml:space="preserve">Neurological disorders including (but not limited to): </w:t>
            </w:r>
          </w:p>
          <w:p w14:paraId="647265D7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Epilepsy</w:t>
            </w:r>
          </w:p>
          <w:p w14:paraId="13B9E723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Meningitis</w:t>
            </w:r>
          </w:p>
          <w:p w14:paraId="5DE4F11F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Inflammatory nervous system disorder</w:t>
            </w:r>
          </w:p>
          <w:p w14:paraId="33031013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Ataxia</w:t>
            </w:r>
          </w:p>
          <w:p w14:paraId="178C6C44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Motor Neurone Disease</w:t>
            </w:r>
          </w:p>
          <w:p w14:paraId="01222B7F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Parkinson’s Disease</w:t>
            </w:r>
          </w:p>
          <w:p w14:paraId="16EB62DB" w14:textId="77777777" w:rsidR="004F6C25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Alzheimer’s disease</w:t>
            </w:r>
          </w:p>
        </w:tc>
        <w:tc>
          <w:tcPr>
            <w:tcW w:w="5335" w:type="dxa"/>
          </w:tcPr>
          <w:p w14:paraId="5F3C3C7B" w14:textId="77777777" w:rsidR="003B14B7" w:rsidRPr="004F6C25" w:rsidRDefault="003B14B7" w:rsidP="00EA6AEF">
            <w:pPr>
              <w:spacing w:line="240" w:lineRule="auto"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G00 – G94</w:t>
            </w:r>
          </w:p>
          <w:p w14:paraId="24E9269F" w14:textId="77777777" w:rsidR="003B14B7" w:rsidRPr="004F6C25" w:rsidRDefault="003B14B7" w:rsidP="00EA6AEF">
            <w:pPr>
              <w:spacing w:line="240" w:lineRule="auto"/>
              <w:jc w:val="left"/>
              <w:rPr>
                <w:kern w:val="2"/>
                <w:lang w:val="en-AU"/>
                <w14:ligatures w14:val="standardContextual"/>
              </w:rPr>
            </w:pPr>
          </w:p>
          <w:p w14:paraId="1F7B5B29" w14:textId="77777777" w:rsidR="003B14B7" w:rsidRPr="004F6C25" w:rsidRDefault="003B14B7" w:rsidP="00EA6AEF">
            <w:pPr>
              <w:spacing w:line="240" w:lineRule="auto"/>
              <w:jc w:val="left"/>
              <w:rPr>
                <w:kern w:val="2"/>
                <w:lang w:val="en-AU"/>
                <w14:ligatures w14:val="standardContextual"/>
              </w:rPr>
            </w:pPr>
          </w:p>
        </w:tc>
      </w:tr>
      <w:tr w:rsidR="003B14B7" w:rsidRPr="004F6C25" w14:paraId="61C3A2D1" w14:textId="77777777" w:rsidTr="00EA6AEF">
        <w:tc>
          <w:tcPr>
            <w:tcW w:w="3681" w:type="dxa"/>
          </w:tcPr>
          <w:p w14:paraId="6CD63021" w14:textId="77777777" w:rsidR="003B14B7" w:rsidRPr="004F6C25" w:rsidRDefault="003B14B7" w:rsidP="00EA6AEF">
            <w:pPr>
              <w:spacing w:line="240" w:lineRule="auto"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 xml:space="preserve">Cardiac disorders including (but not limited to): </w:t>
            </w:r>
          </w:p>
          <w:p w14:paraId="70014DCF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Angina</w:t>
            </w:r>
          </w:p>
          <w:p w14:paraId="7D12E6B9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Myocardial infarction</w:t>
            </w:r>
          </w:p>
          <w:p w14:paraId="592A3008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Ischaemic heart disease</w:t>
            </w:r>
          </w:p>
          <w:p w14:paraId="4281813E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Pulmonary hypertension</w:t>
            </w:r>
          </w:p>
          <w:p w14:paraId="7D47F54C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 xml:space="preserve">Aneurysm </w:t>
            </w:r>
          </w:p>
          <w:p w14:paraId="4C9A5347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Pericarditis</w:t>
            </w:r>
          </w:p>
          <w:p w14:paraId="5779AF92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Mitral valve disorders</w:t>
            </w:r>
          </w:p>
          <w:p w14:paraId="725159A4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Cardiomyopathies</w:t>
            </w:r>
          </w:p>
          <w:p w14:paraId="35E8CE1B" w14:textId="77777777" w:rsidR="003B14B7" w:rsidRPr="004F6C25" w:rsidRDefault="003B14B7" w:rsidP="003B14B7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Arrythmias</w:t>
            </w:r>
          </w:p>
        </w:tc>
        <w:tc>
          <w:tcPr>
            <w:tcW w:w="5335" w:type="dxa"/>
          </w:tcPr>
          <w:p w14:paraId="3F37C072" w14:textId="77777777" w:rsidR="003B14B7" w:rsidRPr="004F6C25" w:rsidRDefault="003B14B7" w:rsidP="00EA6AEF">
            <w:pPr>
              <w:spacing w:line="240" w:lineRule="auto"/>
              <w:jc w:val="left"/>
              <w:rPr>
                <w:kern w:val="2"/>
                <w:lang w:val="en-AU"/>
                <w14:ligatures w14:val="standardContextual"/>
              </w:rPr>
            </w:pPr>
            <w:r w:rsidRPr="004F6C25">
              <w:rPr>
                <w:kern w:val="2"/>
                <w:lang w:val="en-AU"/>
                <w14:ligatures w14:val="standardContextual"/>
              </w:rPr>
              <w:t>I20 – I96</w:t>
            </w:r>
          </w:p>
          <w:p w14:paraId="58DE98B3" w14:textId="77777777" w:rsidR="003B14B7" w:rsidRPr="004F6C25" w:rsidRDefault="003B14B7" w:rsidP="00EA6AEF">
            <w:pPr>
              <w:spacing w:line="240" w:lineRule="auto"/>
              <w:jc w:val="left"/>
              <w:rPr>
                <w:kern w:val="2"/>
                <w:lang w:val="en-AU"/>
                <w14:ligatures w14:val="standardContextual"/>
              </w:rPr>
            </w:pPr>
          </w:p>
          <w:p w14:paraId="6E94E936" w14:textId="77777777" w:rsidR="003B14B7" w:rsidRPr="004F6C25" w:rsidRDefault="003B14B7" w:rsidP="00EA6AEF">
            <w:pPr>
              <w:spacing w:line="240" w:lineRule="auto"/>
              <w:jc w:val="left"/>
              <w:rPr>
                <w:kern w:val="2"/>
                <w:lang w:val="en-AU"/>
                <w14:ligatures w14:val="standardContextual"/>
              </w:rPr>
            </w:pPr>
          </w:p>
        </w:tc>
      </w:tr>
    </w:tbl>
    <w:p w14:paraId="6CD1C678" w14:textId="1B1D66CF" w:rsidR="003B14B7" w:rsidRDefault="003B14B7" w:rsidP="003B14B7">
      <w:pPr>
        <w:spacing w:after="0" w:line="240" w:lineRule="auto"/>
        <w:jc w:val="left"/>
      </w:pPr>
    </w:p>
    <w:sectPr w:rsidR="003B1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85A8B"/>
    <w:multiLevelType w:val="hybridMultilevel"/>
    <w:tmpl w:val="FCB66042"/>
    <w:lvl w:ilvl="0" w:tplc="E20A2DF2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32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B7"/>
    <w:rsid w:val="003B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1A73"/>
  <w15:chartTrackingRefBased/>
  <w15:docId w15:val="{B0DFF6B5-CC90-4936-99E2-F74D18F9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4B7"/>
    <w:pPr>
      <w:spacing w:line="360" w:lineRule="auto"/>
      <w:jc w:val="both"/>
    </w:pPr>
    <w:rPr>
      <w:rFonts w:ascii="Arial" w:hAnsi="Arial" w:cs="Arial"/>
      <w:kern w:val="0"/>
      <w:lang w:val="en-US"/>
      <w14:ligatures w14:val="none"/>
    </w:rPr>
  </w:style>
  <w:style w:type="paragraph" w:styleId="Heading2">
    <w:name w:val="heading 2"/>
    <w:basedOn w:val="Heading5"/>
    <w:next w:val="Normal"/>
    <w:link w:val="Heading2Char"/>
    <w:uiPriority w:val="9"/>
    <w:unhideWhenUsed/>
    <w:qFormat/>
    <w:rsid w:val="003B14B7"/>
    <w:pPr>
      <w:outlineLvl w:val="1"/>
    </w:pPr>
    <w:rPr>
      <w:rFonts w:ascii="Arial" w:hAnsi="Arial" w:cs="Arial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4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14B7"/>
    <w:rPr>
      <w:rFonts w:ascii="Arial" w:eastAsiaTheme="majorEastAsia" w:hAnsi="Arial" w:cs="Arial"/>
      <w:color w:val="2F5496" w:themeColor="accent1" w:themeShade="BF"/>
      <w:kern w:val="0"/>
      <w:sz w:val="28"/>
      <w:szCs w:val="28"/>
      <w:lang w:val="en-US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3B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3B14B7"/>
    <w:rPr>
      <w:rFonts w:asciiTheme="majorHAnsi" w:eastAsiaTheme="majorEastAsia" w:hAnsiTheme="majorHAnsi" w:cstheme="majorBidi"/>
      <w:color w:val="2F5496" w:themeColor="accent1" w:themeShade="BF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3B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Sharwood </dc:creator>
  <cp:keywords/>
  <dc:description/>
  <cp:lastModifiedBy>Lisa Sharwood </cp:lastModifiedBy>
  <cp:revision>1</cp:revision>
  <dcterms:created xsi:type="dcterms:W3CDTF">2023-05-28T05:01:00Z</dcterms:created>
  <dcterms:modified xsi:type="dcterms:W3CDTF">2023-05-28T05:02:00Z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2023-05-28T05:02:00Z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04db1854-d361-426b-b798-055961323920</vt:lpwstr>
  </property>
  <property fmtid="{D5CDD505-2E9C-101B-9397-08002B2CF9AE}" pid="8" name="MSIP_Label_51a6c3db-1667-4f49-995a-8b9973972958_ContentBits">
    <vt:lpwstr>0</vt:lpwstr>
  </property>
</Properties>
</file>