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4F04" w:rsidRPr="001939E8" w:rsidRDefault="0027168E" w:rsidP="001939E8">
      <w:pPr>
        <w:spacing w:line="480" w:lineRule="auto"/>
        <w:jc w:val="center"/>
        <w:rPr>
          <w:b/>
          <w:bCs/>
        </w:rPr>
      </w:pPr>
      <w:r w:rsidRPr="001939E8">
        <w:rPr>
          <w:b/>
          <w:bCs/>
        </w:rPr>
        <w:t xml:space="preserve">Texto </w:t>
      </w:r>
      <w:r w:rsidR="00684F04" w:rsidRPr="001939E8">
        <w:rPr>
          <w:b/>
          <w:bCs/>
        </w:rPr>
        <w:t>Suplementario</w:t>
      </w:r>
      <w:r w:rsidRPr="001939E8">
        <w:rPr>
          <w:b/>
          <w:bCs/>
        </w:rPr>
        <w:t xml:space="preserve"> 1</w:t>
      </w:r>
    </w:p>
    <w:p w:rsidR="00760532" w:rsidRPr="00760532" w:rsidRDefault="00760532" w:rsidP="001939E8">
      <w:pPr>
        <w:spacing w:line="480" w:lineRule="auto"/>
        <w:rPr>
          <w:bCs/>
        </w:rPr>
      </w:pPr>
      <w:r>
        <w:rPr>
          <w:bCs/>
        </w:rPr>
        <w:t xml:space="preserve">Este material complementa la información brindada en el artículo </w:t>
      </w:r>
      <w:r w:rsidRPr="00581D15">
        <w:rPr>
          <w:b/>
          <w:bCs/>
          <w:lang w:val="es-ES"/>
        </w:rPr>
        <w:t>NUEVOS DATOS SOBRE EL POBLAMIENTO INICIAL DEL BOSQUE DEL CENTRO-NORTE DE PATAGONIA</w:t>
      </w:r>
      <w:r w:rsidRPr="00760532">
        <w:rPr>
          <w:bCs/>
          <w:lang w:val="es-ES"/>
        </w:rPr>
        <w:t xml:space="preserve">. </w:t>
      </w:r>
      <w:r w:rsidR="001B7AA1">
        <w:rPr>
          <w:bCs/>
          <w:lang w:val="es-ES"/>
        </w:rPr>
        <w:t xml:space="preserve">Comprende </w:t>
      </w:r>
      <w:r w:rsidR="00822CC8">
        <w:rPr>
          <w:bCs/>
          <w:lang w:val="es-ES"/>
        </w:rPr>
        <w:t xml:space="preserve">tres secciones. </w:t>
      </w:r>
      <w:r w:rsidR="008130BD">
        <w:rPr>
          <w:bCs/>
          <w:lang w:val="es-ES"/>
        </w:rPr>
        <w:t>L</w:t>
      </w:r>
      <w:r w:rsidR="00822CC8">
        <w:rPr>
          <w:bCs/>
          <w:lang w:val="es-ES"/>
        </w:rPr>
        <w:t xml:space="preserve">a </w:t>
      </w:r>
      <w:r w:rsidR="001B7AA1">
        <w:rPr>
          <w:bCs/>
          <w:lang w:val="es-ES"/>
        </w:rPr>
        <w:t>primera p</w:t>
      </w:r>
      <w:r w:rsidRPr="00760532">
        <w:rPr>
          <w:bCs/>
          <w:lang w:val="es-ES"/>
        </w:rPr>
        <w:t xml:space="preserve">roporciona detalles sobre la metodología empleada en el estudio de las diferentes líneas de evidencia </w:t>
      </w:r>
      <w:r w:rsidR="001B7AA1">
        <w:rPr>
          <w:bCs/>
          <w:lang w:val="es-ES"/>
        </w:rPr>
        <w:t>trat</w:t>
      </w:r>
      <w:r w:rsidRPr="00760532">
        <w:rPr>
          <w:bCs/>
          <w:lang w:val="es-ES"/>
        </w:rPr>
        <w:t>adas en el artícul</w:t>
      </w:r>
      <w:r w:rsidR="00822CC8">
        <w:rPr>
          <w:bCs/>
          <w:lang w:val="es-ES"/>
        </w:rPr>
        <w:t>o</w:t>
      </w:r>
      <w:r w:rsidR="008130BD">
        <w:rPr>
          <w:bCs/>
          <w:lang w:val="es-ES"/>
        </w:rPr>
        <w:t>. L</w:t>
      </w:r>
      <w:r w:rsidR="00822CC8">
        <w:rPr>
          <w:bCs/>
          <w:lang w:val="es-ES"/>
        </w:rPr>
        <w:t>a segunda</w:t>
      </w:r>
      <w:r w:rsidR="001B7AA1">
        <w:rPr>
          <w:bCs/>
          <w:lang w:val="es-ES"/>
        </w:rPr>
        <w:t xml:space="preserve"> presenta la caracterización </w:t>
      </w:r>
      <w:proofErr w:type="spellStart"/>
      <w:r w:rsidR="001B7AA1">
        <w:rPr>
          <w:bCs/>
          <w:lang w:val="es-ES"/>
        </w:rPr>
        <w:t>geoarqueológica</w:t>
      </w:r>
      <w:proofErr w:type="spellEnd"/>
      <w:r w:rsidR="001B7AA1">
        <w:rPr>
          <w:bCs/>
          <w:lang w:val="es-ES"/>
        </w:rPr>
        <w:t xml:space="preserve"> de las unidades estratigráficas definidas en el sitio Población Anticura</w:t>
      </w:r>
      <w:r w:rsidR="00822CC8">
        <w:rPr>
          <w:bCs/>
          <w:lang w:val="es-ES"/>
        </w:rPr>
        <w:t xml:space="preserve"> y </w:t>
      </w:r>
      <w:r w:rsidR="008130BD">
        <w:rPr>
          <w:bCs/>
          <w:lang w:val="es-ES"/>
        </w:rPr>
        <w:t>la tercera</w:t>
      </w:r>
      <w:r w:rsidR="00822CC8">
        <w:rPr>
          <w:bCs/>
          <w:lang w:val="es-ES"/>
        </w:rPr>
        <w:t xml:space="preserve"> </w:t>
      </w:r>
      <w:r w:rsidR="008130BD">
        <w:rPr>
          <w:bCs/>
          <w:lang w:val="es-ES"/>
        </w:rPr>
        <w:t xml:space="preserve">da </w:t>
      </w:r>
      <w:r w:rsidR="00EC11D0">
        <w:rPr>
          <w:bCs/>
          <w:lang w:val="es-ES"/>
        </w:rPr>
        <w:t>detall</w:t>
      </w:r>
      <w:r w:rsidR="008130BD">
        <w:rPr>
          <w:bCs/>
          <w:lang w:val="es-ES"/>
        </w:rPr>
        <w:t>es</w:t>
      </w:r>
      <w:r w:rsidR="006842BA">
        <w:rPr>
          <w:bCs/>
          <w:lang w:val="es-ES"/>
        </w:rPr>
        <w:t xml:space="preserve"> adicionales sobre los desechos de talla</w:t>
      </w:r>
      <w:r w:rsidR="00EC11D0">
        <w:rPr>
          <w:bCs/>
          <w:lang w:val="es-ES"/>
        </w:rPr>
        <w:t xml:space="preserve"> lític</w:t>
      </w:r>
      <w:r w:rsidR="006842BA">
        <w:rPr>
          <w:bCs/>
          <w:lang w:val="es-ES"/>
        </w:rPr>
        <w:t>a</w:t>
      </w:r>
      <w:r w:rsidR="008246FF">
        <w:rPr>
          <w:bCs/>
          <w:lang w:val="es-ES"/>
        </w:rPr>
        <w:t xml:space="preserve"> (3.1)</w:t>
      </w:r>
      <w:r w:rsidR="00822CC8">
        <w:rPr>
          <w:bCs/>
          <w:lang w:val="es-ES"/>
        </w:rPr>
        <w:t xml:space="preserve">, los </w:t>
      </w:r>
      <w:proofErr w:type="spellStart"/>
      <w:r w:rsidR="00822CC8">
        <w:rPr>
          <w:bCs/>
          <w:lang w:val="es-ES"/>
        </w:rPr>
        <w:t>litos</w:t>
      </w:r>
      <w:proofErr w:type="spellEnd"/>
      <w:r w:rsidR="00822CC8">
        <w:rPr>
          <w:bCs/>
          <w:lang w:val="es-ES"/>
        </w:rPr>
        <w:t xml:space="preserve"> modificados por uso (3.2)</w:t>
      </w:r>
      <w:r w:rsidR="008246FF">
        <w:rPr>
          <w:bCs/>
          <w:lang w:val="es-ES"/>
        </w:rPr>
        <w:t xml:space="preserve"> y los artefactos óseos (3.</w:t>
      </w:r>
      <w:r w:rsidR="00822CC8">
        <w:rPr>
          <w:bCs/>
          <w:lang w:val="es-ES"/>
        </w:rPr>
        <w:t>3</w:t>
      </w:r>
      <w:r w:rsidR="008246FF">
        <w:rPr>
          <w:bCs/>
          <w:lang w:val="es-ES"/>
        </w:rPr>
        <w:t>)</w:t>
      </w:r>
      <w:r w:rsidR="00EC11D0">
        <w:rPr>
          <w:bCs/>
          <w:lang w:val="es-ES"/>
        </w:rPr>
        <w:t>.</w:t>
      </w:r>
      <w:r w:rsidR="00822CC8">
        <w:rPr>
          <w:bCs/>
          <w:lang w:val="es-ES"/>
        </w:rPr>
        <w:t xml:space="preserve"> Esta información se combina con las Tablas Suplementarias 2 a </w:t>
      </w:r>
      <w:r w:rsidR="00C00955">
        <w:rPr>
          <w:bCs/>
          <w:lang w:val="es-ES"/>
        </w:rPr>
        <w:t xml:space="preserve">4 </w:t>
      </w:r>
      <w:r w:rsidR="00822CC8">
        <w:rPr>
          <w:bCs/>
          <w:lang w:val="es-ES"/>
        </w:rPr>
        <w:t>y las Figuras Suplementarias 1 y 2, que aparecen como archivos aparte.</w:t>
      </w:r>
    </w:p>
    <w:p w:rsidR="00760532" w:rsidRDefault="00760532" w:rsidP="00684F04">
      <w:pPr>
        <w:spacing w:line="480" w:lineRule="auto"/>
        <w:jc w:val="both"/>
        <w:rPr>
          <w:bCs/>
        </w:rPr>
      </w:pPr>
    </w:p>
    <w:p w:rsidR="00433113" w:rsidRDefault="001B7AA1" w:rsidP="00684F04">
      <w:pPr>
        <w:spacing w:line="480" w:lineRule="auto"/>
        <w:jc w:val="both"/>
        <w:rPr>
          <w:bCs/>
        </w:rPr>
      </w:pPr>
      <w:r>
        <w:rPr>
          <w:bCs/>
        </w:rPr>
        <w:t xml:space="preserve">1. </w:t>
      </w:r>
      <w:r w:rsidR="009F398C" w:rsidRPr="0027168E">
        <w:rPr>
          <w:b/>
          <w:bCs/>
        </w:rPr>
        <w:t>Metodología</w:t>
      </w:r>
    </w:p>
    <w:p w:rsidR="00684F04" w:rsidRPr="00581D15" w:rsidRDefault="00684F04" w:rsidP="001939E8">
      <w:pPr>
        <w:spacing w:line="480" w:lineRule="auto"/>
        <w:rPr>
          <w:bCs/>
        </w:rPr>
      </w:pPr>
      <w:r w:rsidRPr="00581D15">
        <w:rPr>
          <w:bCs/>
        </w:rPr>
        <w:t xml:space="preserve">El estudio de la estratigrafía se abordó desde una perspectiva </w:t>
      </w:r>
      <w:proofErr w:type="spellStart"/>
      <w:r w:rsidRPr="00581D15">
        <w:rPr>
          <w:bCs/>
        </w:rPr>
        <w:t>geoarqueológica</w:t>
      </w:r>
      <w:proofErr w:type="spellEnd"/>
      <w:r w:rsidRPr="00581D15">
        <w:rPr>
          <w:bCs/>
        </w:rPr>
        <w:t xml:space="preserve">. Una vez expuesto el perfil se efectuó el reconocimiento e identificación de las unidades estratigráficas </w:t>
      </w:r>
      <w:r w:rsidR="0027168E">
        <w:rPr>
          <w:bCs/>
        </w:rPr>
        <w:t>sobre la</w:t>
      </w:r>
      <w:r w:rsidR="0027168E" w:rsidRPr="00581D15">
        <w:rPr>
          <w:bCs/>
        </w:rPr>
        <w:t xml:space="preserve"> </w:t>
      </w:r>
      <w:r w:rsidRPr="00581D15">
        <w:rPr>
          <w:bCs/>
        </w:rPr>
        <w:t xml:space="preserve">base </w:t>
      </w:r>
      <w:r w:rsidR="0027168E">
        <w:rPr>
          <w:bCs/>
        </w:rPr>
        <w:t>de</w:t>
      </w:r>
      <w:r w:rsidRPr="00581D15">
        <w:rPr>
          <w:bCs/>
        </w:rPr>
        <w:t xml:space="preserve"> la textura, el color y las estructuras sedimentarias naturales </w:t>
      </w:r>
      <w:r>
        <w:rPr>
          <w:bCs/>
        </w:rPr>
        <w:t>y</w:t>
      </w:r>
      <w:r w:rsidRPr="00581D15">
        <w:rPr>
          <w:bCs/>
        </w:rPr>
        <w:t xml:space="preserve"> antrópicas. La primera división estratigráfica fue realizada en el campo y</w:t>
      </w:r>
      <w:r w:rsidR="0027168E">
        <w:rPr>
          <w:bCs/>
        </w:rPr>
        <w:t>,</w:t>
      </w:r>
      <w:r w:rsidRPr="00581D15">
        <w:rPr>
          <w:bCs/>
        </w:rPr>
        <w:t xml:space="preserve"> posteriormente</w:t>
      </w:r>
      <w:r w:rsidR="0027168E">
        <w:rPr>
          <w:bCs/>
        </w:rPr>
        <w:t>,</w:t>
      </w:r>
      <w:r w:rsidRPr="00581D15">
        <w:rPr>
          <w:bCs/>
        </w:rPr>
        <w:t xml:space="preserve"> fue ajustada con las descripciones microscópicas de 29 muestras de 300 g de sedimento extraídas a intervalos de 5 cm dentro de las unidades estratigráficas y no en los contactos entre ellas. Estas muestras fueron procesadas con agua oxigenada durante dos días y luego lavadas y tamizadas en húmedo. Se observó al microscopio petrográfico el grano suelto retenido en malla 120 (0,125 mm), centrando la descripción en la composición y la forma de los granos. Fueron caracterizadas en función del contenido de minerales (cuarzo, mica, feldespato), líticos (granito y andesitas), trizas volcánicas, ceniza, huesos y </w:t>
      </w:r>
      <w:proofErr w:type="spellStart"/>
      <w:r w:rsidRPr="00581D15">
        <w:rPr>
          <w:bCs/>
        </w:rPr>
        <w:t>microcarbones</w:t>
      </w:r>
      <w:proofErr w:type="spellEnd"/>
      <w:r w:rsidRPr="00581D15">
        <w:rPr>
          <w:bCs/>
        </w:rPr>
        <w:t xml:space="preserve"> y la textura se determinó a partir del tamizado. Las unidades estratigráficas fueron denominadas con letras, A para la subyacente y más antigua y con letras </w:t>
      </w:r>
      <w:r w:rsidRPr="00581D15">
        <w:rPr>
          <w:bCs/>
        </w:rPr>
        <w:lastRenderedPageBreak/>
        <w:t>sucesivas las de edad más reciente. Dentro de cada unidad se identifica</w:t>
      </w:r>
      <w:r w:rsidR="0027168E">
        <w:rPr>
          <w:bCs/>
        </w:rPr>
        <w:t>ron</w:t>
      </w:r>
      <w:r w:rsidRPr="00581D15">
        <w:rPr>
          <w:bCs/>
        </w:rPr>
        <w:t xml:space="preserve"> con letras y subíndices (p. e. A1, B2, etc.) lentes o capas discontinuas lateralmente que generalmente corresponden a lentes de fogones, alineaciones de gravas o a cambios faciales</w:t>
      </w:r>
      <w:r>
        <w:rPr>
          <w:bCs/>
        </w:rPr>
        <w:t xml:space="preserve">. </w:t>
      </w:r>
      <w:r w:rsidRPr="00581D15">
        <w:rPr>
          <w:bCs/>
        </w:rPr>
        <w:t>Cada unidad estratigráfica posee una textura, color y una composición de la matriz similar.</w:t>
      </w:r>
    </w:p>
    <w:p w:rsidR="00684F04" w:rsidRPr="00581D15" w:rsidRDefault="00684F04" w:rsidP="001939E8">
      <w:pPr>
        <w:spacing w:line="480" w:lineRule="auto"/>
        <w:ind w:firstLine="708"/>
        <w:rPr>
          <w:rFonts w:ascii="Calibri" w:eastAsia="Calibri" w:hAnsi="Calibri" w:cs="Times New Roman"/>
          <w:lang w:val="es-ES"/>
        </w:rPr>
      </w:pPr>
      <w:r w:rsidRPr="00581D15">
        <w:rPr>
          <w:bCs/>
        </w:rPr>
        <w:t xml:space="preserve">Para la recuperación del material arqueológico, además del registro en planta se tamizaron los </w:t>
      </w:r>
      <w:r w:rsidRPr="00581D15">
        <w:rPr>
          <w:bCs/>
          <w:lang w:val="es-ES"/>
        </w:rPr>
        <w:t xml:space="preserve">sedimentos con mallas de 2 mm. Asimismo, se flotó el material contenido dentro de las estructuras de combustión, utilizándose filtros de 1 y 0,5 mm de malla. El material lítico tallado fue estudiado </w:t>
      </w:r>
      <w:r w:rsidRPr="00581D15">
        <w:rPr>
          <w:rFonts w:ascii="Calibri" w:eastAsia="Calibri" w:hAnsi="Calibri" w:cs="Times New Roman"/>
          <w:lang w:val="es-ES"/>
        </w:rPr>
        <w:t xml:space="preserve">siguiendo los lineamientos propuestos por </w:t>
      </w:r>
      <w:proofErr w:type="spellStart"/>
      <w:r w:rsidRPr="00581D15">
        <w:rPr>
          <w:rFonts w:ascii="Calibri" w:eastAsia="Calibri" w:hAnsi="Calibri" w:cs="Times New Roman"/>
          <w:lang w:val="es-ES"/>
        </w:rPr>
        <w:t>Aschero</w:t>
      </w:r>
      <w:proofErr w:type="spellEnd"/>
      <w:r w:rsidRPr="00581D15">
        <w:rPr>
          <w:rFonts w:ascii="Calibri" w:eastAsia="Calibri" w:hAnsi="Calibri" w:cs="Times New Roman"/>
          <w:lang w:val="es-ES"/>
        </w:rPr>
        <w:t xml:space="preserve"> (1975, 1983) y </w:t>
      </w:r>
      <w:proofErr w:type="spellStart"/>
      <w:r w:rsidRPr="00581D15">
        <w:rPr>
          <w:rFonts w:ascii="Calibri" w:eastAsia="Calibri" w:hAnsi="Calibri" w:cs="Times New Roman"/>
          <w:lang w:val="es-ES"/>
        </w:rPr>
        <w:t>Bellelli</w:t>
      </w:r>
      <w:proofErr w:type="spellEnd"/>
      <w:r w:rsidRPr="00581D15">
        <w:rPr>
          <w:rFonts w:ascii="Calibri" w:eastAsia="Calibri" w:hAnsi="Calibri" w:cs="Times New Roman"/>
          <w:lang w:val="es-ES"/>
        </w:rPr>
        <w:t xml:space="preserve"> </w:t>
      </w:r>
      <w:r w:rsidR="0027168E">
        <w:rPr>
          <w:rFonts w:ascii="Calibri" w:eastAsia="Calibri" w:hAnsi="Calibri" w:cs="Times New Roman"/>
          <w:lang w:val="es-ES"/>
        </w:rPr>
        <w:t>y colaboradores</w:t>
      </w:r>
      <w:r w:rsidRPr="00581D15">
        <w:rPr>
          <w:rFonts w:ascii="Calibri" w:eastAsia="Calibri" w:hAnsi="Calibri" w:cs="Times New Roman"/>
          <w:i/>
          <w:lang w:val="es-ES"/>
        </w:rPr>
        <w:t xml:space="preserve"> </w:t>
      </w:r>
      <w:r w:rsidRPr="00581D15">
        <w:rPr>
          <w:rFonts w:ascii="Calibri" w:eastAsia="Calibri" w:hAnsi="Calibri" w:cs="Times New Roman"/>
          <w:lang w:val="es-ES"/>
        </w:rPr>
        <w:t xml:space="preserve">(1985-1987). </w:t>
      </w:r>
      <w:r w:rsidRPr="00581D15">
        <w:t>Se consideraron las dimensiones absolutas y relativas, el estado de fragmentación, las materias primas, la cantidad de filos o puntas por pieza y sus características (serie técnica, situación, ángulos y medidas de los filos -</w:t>
      </w:r>
      <w:proofErr w:type="spellStart"/>
      <w:r w:rsidRPr="00581D15">
        <w:rPr>
          <w:rFonts w:ascii="Calibri" w:eastAsia="Calibri" w:hAnsi="Calibri" w:cs="Times New Roman"/>
          <w:lang w:val="es-ES"/>
        </w:rPr>
        <w:t>Aschero</w:t>
      </w:r>
      <w:proofErr w:type="spellEnd"/>
      <w:r w:rsidRPr="00581D15">
        <w:rPr>
          <w:rFonts w:ascii="Calibri" w:eastAsia="Calibri" w:hAnsi="Calibri" w:cs="Times New Roman"/>
          <w:lang w:val="es-ES"/>
        </w:rPr>
        <w:t xml:space="preserve"> 1975, 1983; </w:t>
      </w:r>
      <w:proofErr w:type="spellStart"/>
      <w:r w:rsidRPr="00581D15">
        <w:rPr>
          <w:lang w:val="es-ES"/>
        </w:rPr>
        <w:t>Aschero</w:t>
      </w:r>
      <w:proofErr w:type="spellEnd"/>
      <w:r w:rsidRPr="00581D15">
        <w:rPr>
          <w:lang w:val="es-ES"/>
        </w:rPr>
        <w:t xml:space="preserve"> y </w:t>
      </w:r>
      <w:proofErr w:type="spellStart"/>
      <w:r w:rsidRPr="00581D15">
        <w:rPr>
          <w:lang w:val="es-ES"/>
        </w:rPr>
        <w:t>Hocsman</w:t>
      </w:r>
      <w:proofErr w:type="spellEnd"/>
      <w:r w:rsidRPr="00581D15">
        <w:rPr>
          <w:lang w:val="es-ES"/>
        </w:rPr>
        <w:t xml:space="preserve"> 2004;</w:t>
      </w:r>
      <w:r w:rsidRPr="00581D15">
        <w:rPr>
          <w:rFonts w:ascii="Calibri" w:eastAsia="Calibri" w:hAnsi="Calibri" w:cs="Times New Roman"/>
          <w:lang w:val="es-ES"/>
        </w:rPr>
        <w:t xml:space="preserve"> </w:t>
      </w:r>
      <w:proofErr w:type="spellStart"/>
      <w:r w:rsidRPr="00581D15">
        <w:rPr>
          <w:rFonts w:ascii="Calibri" w:eastAsia="Calibri" w:hAnsi="Calibri" w:cs="Times New Roman"/>
          <w:lang w:val="es-ES"/>
        </w:rPr>
        <w:t>Bellelli</w:t>
      </w:r>
      <w:proofErr w:type="spellEnd"/>
      <w:r w:rsidRPr="00581D15">
        <w:rPr>
          <w:rFonts w:ascii="Calibri" w:eastAsia="Calibri" w:hAnsi="Calibri" w:cs="Times New Roman"/>
          <w:lang w:val="es-ES"/>
        </w:rPr>
        <w:t xml:space="preserve"> et al</w:t>
      </w:r>
      <w:r w:rsidRPr="00581D15">
        <w:rPr>
          <w:rFonts w:ascii="Calibri" w:eastAsia="Calibri" w:hAnsi="Calibri" w:cs="Times New Roman"/>
          <w:i/>
          <w:lang w:val="es-ES"/>
        </w:rPr>
        <w:t xml:space="preserve">. </w:t>
      </w:r>
      <w:r w:rsidRPr="00581D15">
        <w:rPr>
          <w:rFonts w:ascii="Calibri" w:eastAsia="Calibri" w:hAnsi="Calibri" w:cs="Times New Roman"/>
          <w:lang w:val="es-ES"/>
        </w:rPr>
        <w:t xml:space="preserve">1985-1987; </w:t>
      </w:r>
      <w:proofErr w:type="spellStart"/>
      <w:r w:rsidRPr="00581D15">
        <w:rPr>
          <w:rFonts w:ascii="Calibri" w:eastAsia="Calibri" w:hAnsi="Calibri" w:cs="Times New Roman"/>
        </w:rPr>
        <w:t>Shott</w:t>
      </w:r>
      <w:proofErr w:type="spellEnd"/>
      <w:r w:rsidRPr="00581D15">
        <w:rPr>
          <w:rFonts w:ascii="Calibri" w:eastAsia="Calibri" w:hAnsi="Calibri" w:cs="Times New Roman"/>
        </w:rPr>
        <w:t xml:space="preserve"> 1986, 1989</w:t>
      </w:r>
      <w:r w:rsidR="0027168E">
        <w:rPr>
          <w:rFonts w:ascii="Calibri" w:eastAsia="Calibri" w:hAnsi="Calibri" w:cs="Times New Roman"/>
        </w:rPr>
        <w:t>;</w:t>
      </w:r>
      <w:r w:rsidRPr="00581D15">
        <w:rPr>
          <w:rFonts w:ascii="Calibri" w:eastAsia="Calibri" w:hAnsi="Calibri" w:cs="Times New Roman"/>
        </w:rPr>
        <w:t xml:space="preserve"> entre otros</w:t>
      </w:r>
      <w:r w:rsidRPr="00581D15">
        <w:t>). Se determinó el estado de las piezas al momento de su descarte y las actividades de talla llevadas a cabo en PA (</w:t>
      </w:r>
      <w:proofErr w:type="spellStart"/>
      <w:r w:rsidRPr="00581D15">
        <w:rPr>
          <w:lang w:val="es-ES"/>
        </w:rPr>
        <w:t>Andrefsky</w:t>
      </w:r>
      <w:proofErr w:type="spellEnd"/>
      <w:r w:rsidRPr="00581D15">
        <w:rPr>
          <w:lang w:val="es-ES"/>
        </w:rPr>
        <w:t xml:space="preserve"> 2001; </w:t>
      </w:r>
      <w:proofErr w:type="spellStart"/>
      <w:r w:rsidRPr="00581D15">
        <w:t>Bradbury</w:t>
      </w:r>
      <w:proofErr w:type="spellEnd"/>
      <w:r w:rsidRPr="00581D15">
        <w:t xml:space="preserve"> y </w:t>
      </w:r>
      <w:proofErr w:type="spellStart"/>
      <w:r w:rsidRPr="00581D15">
        <w:t>Carr</w:t>
      </w:r>
      <w:proofErr w:type="spellEnd"/>
      <w:r w:rsidRPr="00581D15">
        <w:t xml:space="preserve"> 1999; </w:t>
      </w:r>
      <w:proofErr w:type="spellStart"/>
      <w:r w:rsidRPr="00581D15">
        <w:rPr>
          <w:lang w:val="es-ES"/>
        </w:rPr>
        <w:t>Fish</w:t>
      </w:r>
      <w:proofErr w:type="spellEnd"/>
      <w:r w:rsidRPr="00581D15">
        <w:rPr>
          <w:lang w:val="es-ES"/>
        </w:rPr>
        <w:t xml:space="preserve"> 1981</w:t>
      </w:r>
      <w:r w:rsidR="0027168E">
        <w:rPr>
          <w:lang w:val="es-ES"/>
        </w:rPr>
        <w:t>;</w:t>
      </w:r>
      <w:r w:rsidR="0027168E" w:rsidRPr="0027168E">
        <w:t xml:space="preserve"> </w:t>
      </w:r>
      <w:r w:rsidR="0027168E" w:rsidRPr="00581D15">
        <w:t>entre otros</w:t>
      </w:r>
      <w:r w:rsidRPr="00581D15">
        <w:rPr>
          <w:lang w:val="es-ES"/>
        </w:rPr>
        <w:t>)</w:t>
      </w:r>
      <w:r w:rsidRPr="00581D15">
        <w:t xml:space="preserve">. </w:t>
      </w:r>
      <w:r w:rsidRPr="00581D15">
        <w:rPr>
          <w:rFonts w:ascii="Calibri" w:eastAsia="Calibri" w:hAnsi="Calibri" w:cs="Times New Roman"/>
          <w:lang w:val="es-ES"/>
        </w:rPr>
        <w:t xml:space="preserve">La observación de los artefactos fue hecha al nivel macroscópico, complementándose con el uso de </w:t>
      </w:r>
      <w:r>
        <w:rPr>
          <w:rFonts w:ascii="Calibri" w:eastAsia="Calibri" w:hAnsi="Calibri" w:cs="Times New Roman"/>
          <w:lang w:val="es-ES"/>
        </w:rPr>
        <w:t xml:space="preserve">lupa </w:t>
      </w:r>
      <w:r w:rsidRPr="00581D15">
        <w:rPr>
          <w:rFonts w:ascii="Calibri" w:eastAsia="Calibri" w:hAnsi="Calibri" w:cs="Times New Roman"/>
          <w:lang w:val="es-ES"/>
        </w:rPr>
        <w:t xml:space="preserve">de mano de 10x y binocular </w:t>
      </w:r>
      <w:r>
        <w:rPr>
          <w:rFonts w:ascii="Calibri" w:eastAsia="Calibri" w:hAnsi="Calibri" w:cs="Times New Roman"/>
          <w:lang w:val="es-ES"/>
        </w:rPr>
        <w:t>(</w:t>
      </w:r>
      <w:proofErr w:type="spellStart"/>
      <w:r w:rsidRPr="00271C5A">
        <w:rPr>
          <w:rFonts w:ascii="Calibri" w:eastAsia="Calibri" w:hAnsi="Calibri" w:cs="Times New Roman"/>
          <w:i/>
          <w:lang w:val="es-ES"/>
        </w:rPr>
        <w:t>Olympus</w:t>
      </w:r>
      <w:proofErr w:type="spellEnd"/>
      <w:r>
        <w:rPr>
          <w:rFonts w:ascii="Calibri" w:eastAsia="Calibri" w:hAnsi="Calibri" w:cs="Times New Roman"/>
          <w:lang w:val="es-ES"/>
        </w:rPr>
        <w:t xml:space="preserve"> TL con alcance máximo de </w:t>
      </w:r>
      <w:r w:rsidRPr="00581D15">
        <w:rPr>
          <w:rFonts w:ascii="Calibri" w:eastAsia="Calibri" w:hAnsi="Calibri" w:cs="Times New Roman"/>
          <w:lang w:val="es-ES"/>
        </w:rPr>
        <w:t>16</w:t>
      </w:r>
      <w:r>
        <w:rPr>
          <w:rFonts w:ascii="Calibri" w:eastAsia="Calibri" w:hAnsi="Calibri" w:cs="Times New Roman"/>
          <w:lang w:val="es-ES"/>
        </w:rPr>
        <w:t>0</w:t>
      </w:r>
      <w:r w:rsidRPr="00581D15">
        <w:rPr>
          <w:rFonts w:ascii="Calibri" w:eastAsia="Calibri" w:hAnsi="Calibri" w:cs="Times New Roman"/>
          <w:lang w:val="es-ES"/>
        </w:rPr>
        <w:t>x</w:t>
      </w:r>
      <w:r>
        <w:rPr>
          <w:rFonts w:ascii="Calibri" w:eastAsia="Calibri" w:hAnsi="Calibri" w:cs="Times New Roman"/>
          <w:lang w:val="es-ES"/>
        </w:rPr>
        <w:t>)</w:t>
      </w:r>
      <w:r w:rsidRPr="00581D15">
        <w:rPr>
          <w:rFonts w:ascii="Calibri" w:eastAsia="Calibri" w:hAnsi="Calibri" w:cs="Times New Roman"/>
          <w:lang w:val="es-ES"/>
        </w:rPr>
        <w:t xml:space="preserve">. </w:t>
      </w:r>
      <w:r w:rsidRPr="00581D15">
        <w:rPr>
          <w:rFonts w:ascii="Calibri" w:eastAsia="Calibri" w:hAnsi="Calibri" w:cs="Times New Roman"/>
          <w:bCs/>
          <w:lang w:val="es-ES"/>
        </w:rPr>
        <w:t xml:space="preserve">Los análisis de proveniencia de la obsidiana se hicieron en el </w:t>
      </w:r>
      <w:r w:rsidRPr="00581D15">
        <w:rPr>
          <w:rFonts w:ascii="Calibri" w:eastAsia="Calibri" w:hAnsi="Calibri" w:cs="Times New Roman"/>
          <w:bCs/>
        </w:rPr>
        <w:t>Departamento de Servicios Geológicos de la Universidad de Colorado, Estados Unidos, utilizando la espectrometría de masas por plasma iónicamente acoplado (ICP-MS). Este método brinda la composición de tierras raras y elementos traza en partes por millón (ppm), con una precisión para todos los elementos mayor al ±10%. Los resultados se cotejaron con los disponibles para las fuentes conocidas hasta el momento en Patagonia (</w:t>
      </w:r>
      <w:proofErr w:type="spellStart"/>
      <w:r w:rsidRPr="00581D15">
        <w:rPr>
          <w:rFonts w:ascii="Calibri" w:eastAsia="Calibri" w:hAnsi="Calibri" w:cs="Times New Roman"/>
          <w:bCs/>
        </w:rPr>
        <w:t>Bellelli</w:t>
      </w:r>
      <w:proofErr w:type="spellEnd"/>
      <w:r w:rsidRPr="00581D15">
        <w:rPr>
          <w:rFonts w:ascii="Calibri" w:eastAsia="Calibri" w:hAnsi="Calibri" w:cs="Times New Roman"/>
          <w:bCs/>
        </w:rPr>
        <w:t xml:space="preserve"> et al</w:t>
      </w:r>
      <w:r w:rsidRPr="00581D15">
        <w:rPr>
          <w:rFonts w:ascii="Calibri" w:eastAsia="Calibri" w:hAnsi="Calibri" w:cs="Times New Roman"/>
          <w:bCs/>
          <w:i/>
        </w:rPr>
        <w:t>.</w:t>
      </w:r>
      <w:r w:rsidRPr="00581D15">
        <w:rPr>
          <w:rFonts w:ascii="Calibri" w:eastAsia="Calibri" w:hAnsi="Calibri" w:cs="Times New Roman"/>
          <w:bCs/>
        </w:rPr>
        <w:t xml:space="preserve"> 2018).</w:t>
      </w:r>
    </w:p>
    <w:p w:rsidR="00684F04" w:rsidRPr="00581D15" w:rsidRDefault="00684F04" w:rsidP="001939E8">
      <w:pPr>
        <w:spacing w:line="480" w:lineRule="auto"/>
        <w:ind w:firstLine="708"/>
        <w:rPr>
          <w:bCs/>
        </w:rPr>
      </w:pPr>
      <w:r w:rsidRPr="00581D15">
        <w:rPr>
          <w:bCs/>
          <w:lang w:val="es-ES"/>
        </w:rPr>
        <w:t xml:space="preserve">La caracterización tecno-morfológica de los </w:t>
      </w:r>
      <w:proofErr w:type="spellStart"/>
      <w:r w:rsidRPr="00581D15">
        <w:rPr>
          <w:bCs/>
          <w:lang w:val="es-ES"/>
        </w:rPr>
        <w:t>l</w:t>
      </w:r>
      <w:r>
        <w:rPr>
          <w:bCs/>
          <w:lang w:val="es-ES"/>
        </w:rPr>
        <w:t>i</w:t>
      </w:r>
      <w:r w:rsidRPr="00581D15">
        <w:rPr>
          <w:bCs/>
          <w:lang w:val="es-ES"/>
        </w:rPr>
        <w:t>tos</w:t>
      </w:r>
      <w:proofErr w:type="spellEnd"/>
      <w:r w:rsidRPr="00581D15">
        <w:rPr>
          <w:bCs/>
          <w:lang w:val="es-ES"/>
        </w:rPr>
        <w:t xml:space="preserve"> </w:t>
      </w:r>
      <w:r>
        <w:rPr>
          <w:bCs/>
          <w:lang w:val="es-ES"/>
        </w:rPr>
        <w:t>modificados por uso</w:t>
      </w:r>
      <w:r w:rsidRPr="00581D15">
        <w:rPr>
          <w:bCs/>
          <w:lang w:val="es-ES"/>
        </w:rPr>
        <w:t xml:space="preserve"> se basó en </w:t>
      </w:r>
      <w:proofErr w:type="spellStart"/>
      <w:r w:rsidRPr="00581D15">
        <w:rPr>
          <w:bCs/>
          <w:lang w:val="es-ES"/>
        </w:rPr>
        <w:t>Aschero</w:t>
      </w:r>
      <w:proofErr w:type="spellEnd"/>
      <w:r w:rsidRPr="00581D15">
        <w:rPr>
          <w:bCs/>
          <w:lang w:val="es-ES"/>
        </w:rPr>
        <w:t xml:space="preserve"> (1975 y 1983) y consideró las dimensiones y peso, el estado de fragmentación, la materia prima, la </w:t>
      </w:r>
      <w:r w:rsidRPr="00581D15">
        <w:rPr>
          <w:bCs/>
          <w:lang w:val="es-ES"/>
        </w:rPr>
        <w:lastRenderedPageBreak/>
        <w:t xml:space="preserve">serie técnica y la forma general. Se utilizó lupa de mano y lupa binocular para determinar la presencia de manchas pigmentarias. Asimismo, para obtener mayor precisión se aplicó sobre la fotografía de los objetos el programa </w:t>
      </w:r>
      <w:proofErr w:type="spellStart"/>
      <w:r w:rsidR="0037722F" w:rsidRPr="00D66678">
        <w:rPr>
          <w:i/>
          <w:color w:val="000000"/>
        </w:rPr>
        <w:t>Dstretch-ImageJ</w:t>
      </w:r>
      <w:proofErr w:type="spellEnd"/>
      <w:r w:rsidR="0037722F">
        <w:rPr>
          <w:color w:val="000000"/>
        </w:rPr>
        <w:t xml:space="preserve"> (</w:t>
      </w:r>
      <w:proofErr w:type="spellStart"/>
      <w:r w:rsidR="0037722F">
        <w:rPr>
          <w:color w:val="000000"/>
        </w:rPr>
        <w:t>DecorrelationStretch</w:t>
      </w:r>
      <w:proofErr w:type="spellEnd"/>
      <w:r w:rsidR="0037722F">
        <w:rPr>
          <w:color w:val="000000"/>
        </w:rPr>
        <w:t>) (Harman 2008 [2005])</w:t>
      </w:r>
      <w:r w:rsidRPr="00581D15">
        <w:rPr>
          <w:bCs/>
          <w:lang w:val="es-ES"/>
        </w:rPr>
        <w:t xml:space="preserve">. En un caso, se </w:t>
      </w:r>
      <w:r>
        <w:rPr>
          <w:bCs/>
          <w:lang w:val="es-ES"/>
        </w:rPr>
        <w:t>implementó</w:t>
      </w:r>
      <w:r w:rsidRPr="00581D15">
        <w:rPr>
          <w:bCs/>
          <w:lang w:val="es-ES"/>
        </w:rPr>
        <w:t xml:space="preserve"> la técnica de fluorescencia de rayos X en el Laboratorio de la Gerencia Química de la Comisión Nacional de Energía Atómica para determinar la composición mineralógica de la adherencia.</w:t>
      </w:r>
    </w:p>
    <w:p w:rsidR="00684F04" w:rsidRPr="00581D15" w:rsidRDefault="00684F04" w:rsidP="001939E8">
      <w:pPr>
        <w:spacing w:line="480" w:lineRule="auto"/>
        <w:ind w:firstLine="708"/>
        <w:rPr>
          <w:bCs/>
        </w:rPr>
      </w:pPr>
      <w:r w:rsidRPr="00581D15">
        <w:rPr>
          <w:bCs/>
          <w:lang w:val="es-ES"/>
        </w:rPr>
        <w:t xml:space="preserve">Los pigmentos identificados durante el proceso de excavación se diferenciaron entre preparados y no preparados. Hasta su clasificación definitiva a partir del análisis de la composición orgánica, fueron separados de acuerdo con el grado de untuosidad y la apariencia coriácea determinados de manera macroscópica. En laboratorio se los observó con lupa de mano y lupa binocular y se los categorizó </w:t>
      </w:r>
      <w:r w:rsidRPr="00581D15">
        <w:rPr>
          <w:bCs/>
        </w:rPr>
        <w:t xml:space="preserve">de acuerdo con la tabla de colores para sedimentos </w:t>
      </w:r>
      <w:proofErr w:type="spellStart"/>
      <w:r w:rsidRPr="00581D15">
        <w:rPr>
          <w:bCs/>
        </w:rPr>
        <w:t>Munsell</w:t>
      </w:r>
      <w:proofErr w:type="spellEnd"/>
      <w:r w:rsidRPr="00581D15">
        <w:rPr>
          <w:bCs/>
        </w:rPr>
        <w:t xml:space="preserve"> (</w:t>
      </w:r>
      <w:proofErr w:type="spellStart"/>
      <w:r w:rsidRPr="00581D15">
        <w:rPr>
          <w:bCs/>
          <w:lang w:val="es-ES"/>
        </w:rPr>
        <w:t>Munsell</w:t>
      </w:r>
      <w:proofErr w:type="spellEnd"/>
      <w:r w:rsidRPr="00581D15">
        <w:rPr>
          <w:bCs/>
          <w:lang w:val="es-ES"/>
        </w:rPr>
        <w:t xml:space="preserve"> </w:t>
      </w:r>
      <w:proofErr w:type="spellStart"/>
      <w:r w:rsidRPr="00581D15">
        <w:rPr>
          <w:bCs/>
          <w:lang w:val="es-ES"/>
        </w:rPr>
        <w:t>Soil</w:t>
      </w:r>
      <w:proofErr w:type="spellEnd"/>
      <w:r w:rsidRPr="00581D15">
        <w:rPr>
          <w:bCs/>
          <w:lang w:val="es-ES"/>
        </w:rPr>
        <w:t xml:space="preserve"> Color Charts 1988</w:t>
      </w:r>
      <w:r w:rsidRPr="00581D15">
        <w:rPr>
          <w:bCs/>
        </w:rPr>
        <w:t xml:space="preserve">). Con el fin de determinar su composición mineralógica, dos pigmentos se analizaron por medio de </w:t>
      </w:r>
      <w:proofErr w:type="spellStart"/>
      <w:r w:rsidRPr="00581D15">
        <w:rPr>
          <w:bCs/>
        </w:rPr>
        <w:t>espectroscopía</w:t>
      </w:r>
      <w:proofErr w:type="spellEnd"/>
      <w:r w:rsidRPr="00581D15">
        <w:rPr>
          <w:bCs/>
        </w:rPr>
        <w:t xml:space="preserve"> </w:t>
      </w:r>
      <w:proofErr w:type="spellStart"/>
      <w:r w:rsidRPr="00581D15">
        <w:rPr>
          <w:bCs/>
        </w:rPr>
        <w:t>Raman</w:t>
      </w:r>
      <w:proofErr w:type="spellEnd"/>
      <w:r w:rsidRPr="00581D15">
        <w:rPr>
          <w:bCs/>
        </w:rPr>
        <w:t xml:space="preserve"> en el Departamento de Química Analítica de la Universidad de </w:t>
      </w:r>
      <w:proofErr w:type="spellStart"/>
      <w:r w:rsidRPr="00581D15">
        <w:rPr>
          <w:bCs/>
        </w:rPr>
        <w:t>Ghent</w:t>
      </w:r>
      <w:proofErr w:type="spellEnd"/>
      <w:r w:rsidRPr="00581D15">
        <w:rPr>
          <w:bCs/>
        </w:rPr>
        <w:t xml:space="preserve"> (Bélgica).</w:t>
      </w:r>
    </w:p>
    <w:p w:rsidR="00684F04" w:rsidRPr="00581D15" w:rsidRDefault="00684F04" w:rsidP="001939E8">
      <w:pPr>
        <w:spacing w:line="480" w:lineRule="auto"/>
        <w:ind w:firstLine="708"/>
        <w:rPr>
          <w:bCs/>
        </w:rPr>
      </w:pPr>
      <w:r w:rsidRPr="00581D15">
        <w:rPr>
          <w:bCs/>
        </w:rPr>
        <w:t>El análisis zooarqueológico</w:t>
      </w:r>
      <w:r w:rsidR="009F398C" w:rsidRPr="009F398C">
        <w:rPr>
          <w:bCs/>
        </w:rPr>
        <w:t xml:space="preserve"> </w:t>
      </w:r>
      <w:r w:rsidR="009F398C">
        <w:rPr>
          <w:bCs/>
        </w:rPr>
        <w:t>que a</w:t>
      </w:r>
      <w:r w:rsidR="009F398C" w:rsidRPr="00581D15">
        <w:rPr>
          <w:bCs/>
        </w:rPr>
        <w:t xml:space="preserve">quí se presenta </w:t>
      </w:r>
      <w:r w:rsidR="009F398C">
        <w:rPr>
          <w:bCs/>
        </w:rPr>
        <w:t xml:space="preserve">se refiere </w:t>
      </w:r>
      <w:r w:rsidR="009F398C" w:rsidRPr="00581D15">
        <w:rPr>
          <w:bCs/>
        </w:rPr>
        <w:t xml:space="preserve">exclusivamente </w:t>
      </w:r>
      <w:r w:rsidR="009F398C">
        <w:rPr>
          <w:bCs/>
        </w:rPr>
        <w:t>a</w:t>
      </w:r>
      <w:r w:rsidR="009F398C" w:rsidRPr="00581D15">
        <w:rPr>
          <w:bCs/>
        </w:rPr>
        <w:t xml:space="preserve"> los vertebrados de más de 5 kg de peso vivo. Los vertebrados de tamaño más pequeño (fundamentalmente roedores), que constituyen el 90% d</w:t>
      </w:r>
      <w:r w:rsidR="009F398C" w:rsidRPr="00581D15">
        <w:t xml:space="preserve">e los más de </w:t>
      </w:r>
      <w:r w:rsidR="009F398C" w:rsidRPr="00581D15">
        <w:rPr>
          <w:bCs/>
        </w:rPr>
        <w:t>15</w:t>
      </w:r>
      <w:r w:rsidR="00433113">
        <w:rPr>
          <w:bCs/>
        </w:rPr>
        <w:t>.</w:t>
      </w:r>
      <w:r w:rsidR="009F398C" w:rsidRPr="00581D15">
        <w:rPr>
          <w:bCs/>
        </w:rPr>
        <w:t>000 restos óseos recuperados entre los niveles 15 y 25, están siendo estudiados por la Dra. Analía Andrade del IPCSH, CCT Centro Nacional Patagónico - CONICET.</w:t>
      </w:r>
      <w:r w:rsidRPr="00581D15">
        <w:rPr>
          <w:bCs/>
        </w:rPr>
        <w:t xml:space="preserve"> </w:t>
      </w:r>
      <w:r w:rsidR="009F398C">
        <w:rPr>
          <w:bCs/>
        </w:rPr>
        <w:t>Para el conjunto analizado en este trabajo se realizó</w:t>
      </w:r>
      <w:r w:rsidRPr="00581D15">
        <w:rPr>
          <w:bCs/>
        </w:rPr>
        <w:t xml:space="preserve"> la identificación anatómica y taxonómica de los especímenes óseos, la determinación de las clases de edad y el análisis de las modificaciones óseas (</w:t>
      </w:r>
      <w:r>
        <w:rPr>
          <w:bCs/>
        </w:rPr>
        <w:t>Fernández 2018</w:t>
      </w:r>
      <w:r w:rsidRPr="00581D15">
        <w:rPr>
          <w:bCs/>
        </w:rPr>
        <w:t xml:space="preserve">). Estas últimas incluyeron tanto las modificaciones relacionadas con el aprovechamiento humano (huellas de corte y/o percusión, alteraciones térmicas y fracturas) como aquellas derivadas del accionar de agentes y </w:t>
      </w:r>
      <w:r w:rsidRPr="00581D15">
        <w:rPr>
          <w:bCs/>
        </w:rPr>
        <w:lastRenderedPageBreak/>
        <w:t xml:space="preserve">procesos naturales (actividad de carnívoros y roedores, pisoteo, marcas de raíces, modificaciones químicas y meteorización). Las medidas de cuantificación incluyeron aquellas destinadas a evaluar la abundancia taxonómica y anatómica; la intensidad y extensión de la fragmentación y la representación de partes </w:t>
      </w:r>
      <w:proofErr w:type="spellStart"/>
      <w:r w:rsidRPr="00581D15">
        <w:rPr>
          <w:bCs/>
        </w:rPr>
        <w:t>esqueletarias</w:t>
      </w:r>
      <w:proofErr w:type="spellEnd"/>
      <w:r w:rsidRPr="00581D15">
        <w:rPr>
          <w:bCs/>
        </w:rPr>
        <w:t xml:space="preserve"> en función de la anatomía económica de las presas (NISP, MNI, MNE, MAU y %MAU).</w:t>
      </w:r>
    </w:p>
    <w:p w:rsidR="00684F04" w:rsidRPr="00581D15" w:rsidRDefault="00684F04" w:rsidP="001939E8">
      <w:pPr>
        <w:spacing w:line="480" w:lineRule="auto"/>
        <w:ind w:firstLine="708"/>
        <w:rPr>
          <w:bCs/>
          <w:lang w:val="es-ES"/>
        </w:rPr>
      </w:pPr>
      <w:r w:rsidRPr="00581D15">
        <w:rPr>
          <w:bCs/>
          <w:lang w:val="es-ES"/>
        </w:rPr>
        <w:t xml:space="preserve">El estudio de los artefactos óseos siguió los criterios definidos por </w:t>
      </w:r>
      <w:proofErr w:type="spellStart"/>
      <w:r w:rsidRPr="00581D15">
        <w:rPr>
          <w:bCs/>
          <w:lang w:val="es-ES"/>
        </w:rPr>
        <w:t>Scheinsohn</w:t>
      </w:r>
      <w:proofErr w:type="spellEnd"/>
      <w:r w:rsidRPr="00581D15">
        <w:rPr>
          <w:bCs/>
          <w:lang w:val="es-ES"/>
        </w:rPr>
        <w:t xml:space="preserve"> (</w:t>
      </w:r>
      <w:r>
        <w:rPr>
          <w:bCs/>
          <w:lang w:val="es-ES"/>
        </w:rPr>
        <w:t>2010</w:t>
      </w:r>
      <w:r w:rsidRPr="00581D15">
        <w:rPr>
          <w:bCs/>
          <w:lang w:val="es-ES"/>
        </w:rPr>
        <w:t xml:space="preserve">) para su análisis técnico morfológico. Cuando fue posible, se determinó taxonómicamente el hueso soporte al nivel más preciso que se pudo alcanzar. Se consideraron categorías amplias de estructura morfológica: puntas, definidas a partir </w:t>
      </w:r>
      <w:r>
        <w:rPr>
          <w:bCs/>
          <w:lang w:val="es-ES"/>
        </w:rPr>
        <w:t xml:space="preserve">de </w:t>
      </w:r>
      <w:r w:rsidRPr="00581D15">
        <w:rPr>
          <w:bCs/>
          <w:lang w:val="es-ES"/>
        </w:rPr>
        <w:t xml:space="preserve">la </w:t>
      </w:r>
      <w:r w:rsidRPr="00581D15">
        <w:t xml:space="preserve">convergencia de los bordes de una pieza en un extremo conformando un ápice activo; </w:t>
      </w:r>
      <w:r w:rsidRPr="00581D15">
        <w:rPr>
          <w:bCs/>
          <w:lang w:val="es-ES"/>
        </w:rPr>
        <w:t xml:space="preserve">puntas romas, que son puntas con la extremidad embotada y el bisel, que presenta un </w:t>
      </w:r>
      <w:r w:rsidRPr="00581D15">
        <w:t xml:space="preserve">borde trabajado oblicuamente, </w:t>
      </w:r>
      <w:proofErr w:type="spellStart"/>
      <w:r w:rsidRPr="00581D15">
        <w:t>formatizado</w:t>
      </w:r>
      <w:proofErr w:type="spellEnd"/>
      <w:r w:rsidRPr="00581D15">
        <w:t xml:space="preserve"> en uno o dos lados, generalmente por abrasión o pulido y que conforma un filo o arista activo.</w:t>
      </w:r>
      <w:r w:rsidRPr="00581D15">
        <w:rPr>
          <w:bCs/>
          <w:lang w:val="es-ES"/>
        </w:rPr>
        <w:t xml:space="preserve"> A diferencia de la propuesta de </w:t>
      </w:r>
      <w:proofErr w:type="spellStart"/>
      <w:r w:rsidRPr="00581D15">
        <w:rPr>
          <w:bCs/>
          <w:lang w:val="es-ES"/>
        </w:rPr>
        <w:t>Scheinsohn</w:t>
      </w:r>
      <w:proofErr w:type="spellEnd"/>
      <w:r w:rsidRPr="00581D15">
        <w:rPr>
          <w:bCs/>
          <w:lang w:val="es-ES"/>
        </w:rPr>
        <w:t xml:space="preserve"> (</w:t>
      </w:r>
      <w:r>
        <w:rPr>
          <w:bCs/>
          <w:lang w:val="es-ES"/>
        </w:rPr>
        <w:t>2010</w:t>
      </w:r>
      <w:r w:rsidRPr="00581D15">
        <w:rPr>
          <w:bCs/>
          <w:lang w:val="es-ES"/>
        </w:rPr>
        <w:t xml:space="preserve">), también hemos contemplado en el análisis los fragmentos </w:t>
      </w:r>
      <w:proofErr w:type="spellStart"/>
      <w:r w:rsidRPr="00581D15">
        <w:rPr>
          <w:bCs/>
          <w:lang w:val="es-ES"/>
        </w:rPr>
        <w:t>mesiales</w:t>
      </w:r>
      <w:proofErr w:type="spellEnd"/>
      <w:r w:rsidRPr="00581D15">
        <w:rPr>
          <w:bCs/>
          <w:lang w:val="es-ES"/>
        </w:rPr>
        <w:t xml:space="preserve"> de los que se desconoce el tamaño completo y la morfología del artefacto. Asimismo, se relevó la estructura métrica: el ángulo</w:t>
      </w:r>
      <w:r w:rsidRPr="00581D15">
        <w:t xml:space="preserve"> (ANG) del bisel o punta (excepto las romas); el largo máximo (LM) tomado en el sentido del eje longitudinal de la pieza; el ancho máximo (AM) perpendicular al primero, tomado en la zona de máxima extensión de la pieza; el espesor máximo (EM), que corresponde a la distancia entre la cara inferior y superior de la pieza, tomada en la zona de máximo espesor; la longitud de la extremidad activa (LA) y el peso (PESO). Las huellas fueron relevadas a ojo desnudo y con lupa de mano de 10x y 20x. En </w:t>
      </w:r>
      <w:r w:rsidRPr="00581D15">
        <w:rPr>
          <w:bCs/>
          <w:lang w:val="es-ES"/>
        </w:rPr>
        <w:t xml:space="preserve">una próxima etapa se realizarán estudios de </w:t>
      </w:r>
      <w:proofErr w:type="spellStart"/>
      <w:r w:rsidRPr="00581D15">
        <w:rPr>
          <w:bCs/>
          <w:lang w:val="es-ES"/>
        </w:rPr>
        <w:t>microdesgaste</w:t>
      </w:r>
      <w:proofErr w:type="spellEnd"/>
      <w:r w:rsidRPr="00581D15">
        <w:rPr>
          <w:bCs/>
          <w:lang w:val="es-ES"/>
        </w:rPr>
        <w:t>, a fin de determinar la funcionalidad de los artefactos.</w:t>
      </w:r>
    </w:p>
    <w:p w:rsidR="00684F04" w:rsidRPr="00581D15" w:rsidRDefault="00684F04" w:rsidP="001939E8">
      <w:pPr>
        <w:spacing w:line="480" w:lineRule="auto"/>
        <w:ind w:firstLine="708"/>
        <w:rPr>
          <w:rFonts w:ascii="Calibri" w:eastAsia="Calibri" w:hAnsi="Calibri" w:cs="Times New Roman"/>
          <w:bCs/>
          <w:lang w:val="es-ES"/>
        </w:rPr>
      </w:pPr>
      <w:r w:rsidRPr="00581D15">
        <w:rPr>
          <w:rFonts w:ascii="Calibri" w:eastAsia="Calibri" w:hAnsi="Calibri" w:cs="Times New Roman"/>
          <w:bCs/>
          <w:lang w:val="es-ES"/>
        </w:rPr>
        <w:t>El análisis del conjunto malacológico consideró el grado de fragmentación, evidencias de disolución y exfoliación</w:t>
      </w:r>
      <w:r w:rsidR="00433113">
        <w:rPr>
          <w:rFonts w:ascii="Calibri" w:eastAsia="Calibri" w:hAnsi="Calibri" w:cs="Times New Roman"/>
          <w:bCs/>
          <w:lang w:val="es-ES"/>
        </w:rPr>
        <w:t>,</w:t>
      </w:r>
      <w:r w:rsidRPr="00581D15">
        <w:rPr>
          <w:rFonts w:ascii="Calibri" w:eastAsia="Calibri" w:hAnsi="Calibri" w:cs="Times New Roman"/>
          <w:bCs/>
          <w:lang w:val="es-ES"/>
        </w:rPr>
        <w:t xml:space="preserve"> el tamaño (empleando calibre digital) y</w:t>
      </w:r>
      <w:r w:rsidRPr="00581D15">
        <w:rPr>
          <w:bCs/>
          <w:lang w:val="es-ES"/>
        </w:rPr>
        <w:t>,</w:t>
      </w:r>
      <w:r w:rsidRPr="00581D15">
        <w:rPr>
          <w:rFonts w:ascii="Calibri" w:eastAsia="Calibri" w:hAnsi="Calibri" w:cs="Times New Roman"/>
          <w:bCs/>
          <w:lang w:val="es-ES"/>
        </w:rPr>
        <w:t xml:space="preserve"> cuando fue posible</w:t>
      </w:r>
      <w:r w:rsidRPr="00581D15">
        <w:rPr>
          <w:bCs/>
          <w:lang w:val="es-ES"/>
        </w:rPr>
        <w:t xml:space="preserve">, el </w:t>
      </w:r>
      <w:r w:rsidRPr="00581D15">
        <w:rPr>
          <w:rFonts w:ascii="Calibri" w:eastAsia="Calibri" w:hAnsi="Calibri" w:cs="Times New Roman"/>
          <w:bCs/>
          <w:lang w:val="es-ES"/>
        </w:rPr>
        <w:t xml:space="preserve">sector </w:t>
      </w:r>
      <w:r w:rsidRPr="00581D15">
        <w:rPr>
          <w:rFonts w:ascii="Calibri" w:eastAsia="Calibri" w:hAnsi="Calibri" w:cs="Times New Roman"/>
          <w:bCs/>
          <w:lang w:val="es-ES"/>
        </w:rPr>
        <w:lastRenderedPageBreak/>
        <w:t xml:space="preserve">anatómico de los fragmentos </w:t>
      </w:r>
      <w:r w:rsidRPr="00581D15">
        <w:rPr>
          <w:bCs/>
          <w:lang w:val="es-ES"/>
        </w:rPr>
        <w:t xml:space="preserve">y </w:t>
      </w:r>
      <w:r w:rsidRPr="00581D15">
        <w:rPr>
          <w:rFonts w:ascii="Calibri" w:eastAsia="Calibri" w:hAnsi="Calibri" w:cs="Times New Roman"/>
          <w:bCs/>
          <w:lang w:val="es-ES"/>
        </w:rPr>
        <w:t xml:space="preserve">taxón. </w:t>
      </w:r>
      <w:r w:rsidRPr="00581D15">
        <w:rPr>
          <w:bCs/>
          <w:lang w:val="es-ES"/>
        </w:rPr>
        <w:t>Las</w:t>
      </w:r>
      <w:r w:rsidRPr="00581D15">
        <w:rPr>
          <w:rFonts w:ascii="Calibri" w:eastAsia="Calibri" w:hAnsi="Calibri" w:cs="Times New Roman"/>
          <w:bCs/>
          <w:lang w:val="es-ES"/>
        </w:rPr>
        <w:t xml:space="preserve"> huellas técnicas</w:t>
      </w:r>
      <w:r w:rsidRPr="00581D15">
        <w:rPr>
          <w:bCs/>
          <w:lang w:val="es-ES"/>
        </w:rPr>
        <w:t xml:space="preserve"> se relevaron con </w:t>
      </w:r>
      <w:r w:rsidRPr="00581D15">
        <w:rPr>
          <w:rFonts w:ascii="Calibri" w:eastAsia="Calibri" w:hAnsi="Calibri" w:cs="Times New Roman"/>
          <w:bCs/>
          <w:lang w:val="es-ES"/>
        </w:rPr>
        <w:t xml:space="preserve">lupa de mano y lupa binocular. En las perforaciones se consideraron el contorno, la sección, la presencia de estrías concéntricas o </w:t>
      </w:r>
      <w:proofErr w:type="spellStart"/>
      <w:r w:rsidRPr="00581D15">
        <w:rPr>
          <w:rFonts w:ascii="Calibri" w:eastAsia="Calibri" w:hAnsi="Calibri" w:cs="Times New Roman"/>
          <w:bCs/>
          <w:lang w:val="es-ES"/>
        </w:rPr>
        <w:t>microastillamientos</w:t>
      </w:r>
      <w:proofErr w:type="spellEnd"/>
      <w:r w:rsidRPr="00581D15">
        <w:rPr>
          <w:rFonts w:ascii="Calibri" w:eastAsia="Calibri" w:hAnsi="Calibri" w:cs="Times New Roman"/>
          <w:bCs/>
          <w:lang w:val="es-ES"/>
        </w:rPr>
        <w:t xml:space="preserve"> y de surcos de corte o estrías de abrasión en las superficies</w:t>
      </w:r>
      <w:r>
        <w:rPr>
          <w:rFonts w:ascii="Calibri" w:eastAsia="Calibri" w:hAnsi="Calibri" w:cs="Times New Roman"/>
          <w:bCs/>
          <w:lang w:val="es-ES"/>
        </w:rPr>
        <w:t xml:space="preserve"> (</w:t>
      </w:r>
      <w:proofErr w:type="spellStart"/>
      <w:r>
        <w:rPr>
          <w:rFonts w:ascii="Calibri" w:eastAsia="Calibri" w:hAnsi="Calibri" w:cs="Times New Roman"/>
          <w:bCs/>
          <w:lang w:val="es-ES"/>
        </w:rPr>
        <w:t>Leonardt</w:t>
      </w:r>
      <w:proofErr w:type="spellEnd"/>
      <w:r>
        <w:rPr>
          <w:rFonts w:ascii="Calibri" w:eastAsia="Calibri" w:hAnsi="Calibri" w:cs="Times New Roman"/>
          <w:bCs/>
          <w:lang w:val="es-ES"/>
        </w:rPr>
        <w:t xml:space="preserve"> 2016)</w:t>
      </w:r>
      <w:r w:rsidRPr="00581D15">
        <w:rPr>
          <w:rFonts w:ascii="Calibri" w:eastAsia="Calibri" w:hAnsi="Calibri" w:cs="Times New Roman"/>
          <w:bCs/>
          <w:lang w:val="es-ES"/>
        </w:rPr>
        <w:t xml:space="preserve">. Con la finalidad de reconocer posibles desechos de manufactura, los fragmentos de valva fueron analizados siguiendo los criterios propuestos por </w:t>
      </w:r>
      <w:proofErr w:type="spellStart"/>
      <w:r w:rsidRPr="00581D15">
        <w:rPr>
          <w:rFonts w:ascii="Calibri" w:eastAsia="Calibri" w:hAnsi="Calibri" w:cs="Times New Roman"/>
          <w:bCs/>
          <w:lang w:val="es-ES"/>
        </w:rPr>
        <w:t>Leonardt</w:t>
      </w:r>
      <w:proofErr w:type="spellEnd"/>
      <w:r w:rsidRPr="00581D15">
        <w:rPr>
          <w:rFonts w:ascii="Calibri" w:eastAsia="Calibri" w:hAnsi="Calibri" w:cs="Times New Roman"/>
          <w:bCs/>
          <w:lang w:val="es-ES"/>
        </w:rPr>
        <w:t xml:space="preserve"> (2014).</w:t>
      </w:r>
    </w:p>
    <w:p w:rsidR="008C0DD0" w:rsidRDefault="00812C19" w:rsidP="00433113">
      <w:pPr>
        <w:spacing w:line="480" w:lineRule="auto"/>
        <w:rPr>
          <w:lang w:val="es-ES"/>
        </w:rPr>
      </w:pPr>
    </w:p>
    <w:p w:rsidR="00433113" w:rsidRDefault="001B7AA1" w:rsidP="00433113">
      <w:pPr>
        <w:spacing w:line="480" w:lineRule="auto"/>
        <w:rPr>
          <w:lang w:val="es-ES"/>
        </w:rPr>
      </w:pPr>
      <w:r>
        <w:rPr>
          <w:lang w:val="es-ES"/>
        </w:rPr>
        <w:t xml:space="preserve">2. </w:t>
      </w:r>
      <w:r w:rsidR="008A4B7A" w:rsidRPr="00433113">
        <w:rPr>
          <w:b/>
          <w:lang w:val="es-ES"/>
        </w:rPr>
        <w:t>Unidades estratigráficas</w:t>
      </w:r>
    </w:p>
    <w:p w:rsidR="008A4B7A" w:rsidRDefault="008A4B7A" w:rsidP="001939E8">
      <w:pPr>
        <w:spacing w:line="480" w:lineRule="auto"/>
      </w:pPr>
      <w:r>
        <w:t>Las</w:t>
      </w:r>
      <w:r w:rsidRPr="00581D15">
        <w:t xml:space="preserve"> cuatro unidades estratigráficas </w:t>
      </w:r>
      <w:r>
        <w:t xml:space="preserve">definidas </w:t>
      </w:r>
      <w:r w:rsidRPr="00581D15">
        <w:t>(</w:t>
      </w:r>
      <w:r w:rsidRPr="00A2787A">
        <w:t>A, B, C, y D</w:t>
      </w:r>
      <w:r w:rsidRPr="00581D15">
        <w:t>)</w:t>
      </w:r>
      <w:r>
        <w:t xml:space="preserve"> se conforman de la siguiente manera</w:t>
      </w:r>
      <w:r w:rsidRPr="00581D15">
        <w:t>. La más antigua es la Unidad A, que se dispone aproximadamente entre la base de la excavación y el nivel 25 (</w:t>
      </w:r>
      <w:r w:rsidRPr="00A2787A">
        <w:t>3,8 a 2,7 m</w:t>
      </w:r>
      <w:r w:rsidRPr="00581D15">
        <w:t xml:space="preserve"> de profundidad). Está conformada por ceniza volcánica de color blanco lechoso y trizas</w:t>
      </w:r>
      <w:r>
        <w:t>,</w:t>
      </w:r>
      <w:r w:rsidRPr="00581D15">
        <w:t xml:space="preserve"> prácticamente pura, de textura limo arenosa muy fina. Sus características sugieren que fue acumulada en el fondo de un antiguo lago. En la cumbre de esta unidad se distingue una lente sedimentaria (Unidad A2) del mismo material volcánico pero de color rojizo, producto del aporte de sesquióxidos, que sugiere una </w:t>
      </w:r>
      <w:proofErr w:type="spellStart"/>
      <w:r w:rsidRPr="00581D15">
        <w:t>podzolización</w:t>
      </w:r>
      <w:proofErr w:type="spellEnd"/>
      <w:r w:rsidRPr="00581D15">
        <w:t xml:space="preserve"> incipiente y que sería resultado de un proceso de meteorización natural una vez que el sedimento lacustre fue expuesto. No se registra aporte humano y a partir de un fragmento óseo de género y especie indeterminados, hallado a </w:t>
      </w:r>
      <w:proofErr w:type="spellStart"/>
      <w:r w:rsidRPr="00357EBC">
        <w:rPr>
          <w:iCs/>
        </w:rPr>
        <w:t>ca</w:t>
      </w:r>
      <w:proofErr w:type="spellEnd"/>
      <w:r w:rsidRPr="00357EBC">
        <w:t>.</w:t>
      </w:r>
      <w:r w:rsidRPr="00112538">
        <w:t xml:space="preserve"> 2,85 m</w:t>
      </w:r>
      <w:r w:rsidRPr="00581D15">
        <w:t xml:space="preserve"> de profundidad (nivel 26), se dató la parte superior de esta Unidad A </w:t>
      </w:r>
      <w:r w:rsidRPr="00564200">
        <w:t>en 13</w:t>
      </w:r>
      <w:r>
        <w:t>.</w:t>
      </w:r>
      <w:r w:rsidRPr="00564200">
        <w:t xml:space="preserve">683 años cal </w:t>
      </w:r>
      <w:proofErr w:type="spellStart"/>
      <w:r w:rsidRPr="00564200">
        <w:t>aP</w:t>
      </w:r>
      <w:proofErr w:type="spellEnd"/>
      <w:r>
        <w:t xml:space="preserve"> (Tabla 1).</w:t>
      </w:r>
    </w:p>
    <w:p w:rsidR="008A4B7A" w:rsidRDefault="008A4B7A" w:rsidP="001939E8">
      <w:pPr>
        <w:spacing w:line="480" w:lineRule="auto"/>
        <w:ind w:firstLine="708"/>
      </w:pPr>
      <w:r w:rsidRPr="00581D15">
        <w:t xml:space="preserve">La Unidad B abarca entre los niveles 24 y 20/21, aproximadamente entre </w:t>
      </w:r>
      <w:r w:rsidRPr="00C37BA9">
        <w:t>2,70 y 2,2-2,3 m</w:t>
      </w:r>
      <w:r w:rsidRPr="00581D15">
        <w:t xml:space="preserve"> de profundidad. Tiene un contacto basal neto y de buena continuidad lateral y se compone de una grava areno-limosa matriz sostén. Corresponde a un </w:t>
      </w:r>
      <w:proofErr w:type="spellStart"/>
      <w:r w:rsidRPr="00581D15">
        <w:t>redepósito</w:t>
      </w:r>
      <w:proofErr w:type="spellEnd"/>
      <w:r w:rsidRPr="00581D15">
        <w:t xml:space="preserve"> de la Unidad A, resultado d</w:t>
      </w:r>
      <w:r>
        <w:t>e</w:t>
      </w:r>
      <w:r w:rsidRPr="00581D15">
        <w:t xml:space="preserve">l cavado de fogones </w:t>
      </w:r>
      <w:r>
        <w:t>desde la Unidad B que removió sedimento d</w:t>
      </w:r>
      <w:r w:rsidRPr="00581D15">
        <w:t xml:space="preserve">e la Unidad A y </w:t>
      </w:r>
      <w:r>
        <w:t>de</w:t>
      </w:r>
      <w:r w:rsidRPr="00581D15">
        <w:t xml:space="preserve"> la actividad de carnívoros que utilizaron el sitio como madriguera. A diferencia de la Unidad A, hay aporte </w:t>
      </w:r>
      <w:proofErr w:type="spellStart"/>
      <w:r w:rsidRPr="00581D15">
        <w:t>coluvial</w:t>
      </w:r>
      <w:proofErr w:type="spellEnd"/>
      <w:r w:rsidRPr="00581D15">
        <w:t xml:space="preserve"> </w:t>
      </w:r>
      <w:r w:rsidRPr="00581D15">
        <w:lastRenderedPageBreak/>
        <w:t xml:space="preserve">representado por la presencia de </w:t>
      </w:r>
      <w:r w:rsidRPr="00C37BA9">
        <w:t>20% a 30% de clastos de grava</w:t>
      </w:r>
      <w:r w:rsidRPr="00581D15">
        <w:t xml:space="preserve"> y arena compuesto de granitos y tonalitas alterados, de forma irr</w:t>
      </w:r>
      <w:r>
        <w:t>egular y sub-angulares.</w:t>
      </w:r>
    </w:p>
    <w:p w:rsidR="008A4B7A" w:rsidRDefault="008A4B7A" w:rsidP="001939E8">
      <w:pPr>
        <w:spacing w:line="480" w:lineRule="auto"/>
        <w:ind w:firstLine="708"/>
      </w:pPr>
      <w:r w:rsidRPr="00581D15">
        <w:t xml:space="preserve">La Unidad C se dispone entre los niveles 20/19 y 17/16, aproximadamente entre </w:t>
      </w:r>
      <w:r w:rsidRPr="00C37BA9">
        <w:t>2,3 y 1,8 m de</w:t>
      </w:r>
      <w:r w:rsidRPr="00581D15">
        <w:t xml:space="preserve"> profundidad. Se apoya en forma neta en la Unidad B y es una grava arenosa matriz sostén con clastos de formas irregulares y sub-angulares y alterados, similares a los de la Unidad B. Presenta </w:t>
      </w:r>
      <w:proofErr w:type="spellStart"/>
      <w:r w:rsidRPr="00581D15">
        <w:t>podzolización</w:t>
      </w:r>
      <w:proofErr w:type="spellEnd"/>
      <w:r w:rsidRPr="00581D15">
        <w:t xml:space="preserve"> incipiente -por eso es más rojiza- y, a diferencia de las unidades previas y posteriores, posee trizas volcánicas en un </w:t>
      </w:r>
      <w:r w:rsidRPr="00C37BA9">
        <w:t xml:space="preserve">30%. Tiene aporte </w:t>
      </w:r>
      <w:proofErr w:type="spellStart"/>
      <w:r w:rsidRPr="00C37BA9">
        <w:t>coluvial</w:t>
      </w:r>
      <w:proofErr w:type="spellEnd"/>
      <w:r w:rsidRPr="00C37BA9">
        <w:t xml:space="preserve"> (40%)</w:t>
      </w:r>
      <w:r w:rsidRPr="00581D15">
        <w:t xml:space="preserve"> y no se observa mezcla con el material de la Unidad A. Posee lentes de carbones y ceniza que le imprimen una cierta estratificación interna, sin embargo, la matriz situad</w:t>
      </w:r>
      <w:r>
        <w:t>a entre estos lentes es masiva.</w:t>
      </w:r>
    </w:p>
    <w:p w:rsidR="008A4B7A" w:rsidRDefault="008A4B7A" w:rsidP="001939E8">
      <w:pPr>
        <w:spacing w:line="480" w:lineRule="auto"/>
      </w:pPr>
      <w:r w:rsidRPr="00581D15">
        <w:t>La unidad D se dispone por encima y llega hasta la superficie. Sediment</w:t>
      </w:r>
      <w:r>
        <w:t>ológicamente</w:t>
      </w:r>
      <w:r w:rsidRPr="00581D15">
        <w:t xml:space="preserve"> corresponde a grava arenosa clasto sostén, de estructura masiva. El aporte </w:t>
      </w:r>
      <w:proofErr w:type="spellStart"/>
      <w:r w:rsidRPr="00581D15">
        <w:t>coluvial</w:t>
      </w:r>
      <w:proofErr w:type="spellEnd"/>
      <w:r w:rsidRPr="00581D15">
        <w:t xml:space="preserve"> es mayor que en las </w:t>
      </w:r>
      <w:r>
        <w:t>u</w:t>
      </w:r>
      <w:r w:rsidRPr="00581D15">
        <w:t xml:space="preserve">nidades anteriores y está representado por clastos de granitos y tonalitas, alterados, de forma irregular y </w:t>
      </w:r>
      <w:proofErr w:type="spellStart"/>
      <w:r>
        <w:t>sub</w:t>
      </w:r>
      <w:r w:rsidRPr="00083385">
        <w:t>redondeados</w:t>
      </w:r>
      <w:proofErr w:type="spellEnd"/>
      <w:r w:rsidRPr="00581D15">
        <w:t>. Es de color gris, debido</w:t>
      </w:r>
      <w:r>
        <w:t xml:space="preserve"> al alto contenido de </w:t>
      </w:r>
      <w:proofErr w:type="spellStart"/>
      <w:r>
        <w:t>microcarbo</w:t>
      </w:r>
      <w:r w:rsidRPr="00581D15">
        <w:t>n</w:t>
      </w:r>
      <w:r>
        <w:t>es</w:t>
      </w:r>
      <w:proofErr w:type="spellEnd"/>
      <w:r w:rsidRPr="00581D15">
        <w:t xml:space="preserve">, de tamaño de limo fino y arcilla. El análisis microscópico indica homogeneidad en su composición. Las trizas están presentes entre un </w:t>
      </w:r>
      <w:r w:rsidRPr="00C37BA9">
        <w:t>5</w:t>
      </w:r>
      <w:r>
        <w:t>%</w:t>
      </w:r>
      <w:r w:rsidRPr="00C37BA9">
        <w:t xml:space="preserve"> y 10%</w:t>
      </w:r>
      <w:r w:rsidRPr="00581D15">
        <w:t xml:space="preserve"> lo que sugiere cierto grado de mezcla de los sedimentos. La parte basal de esta </w:t>
      </w:r>
      <w:r w:rsidR="00180130" w:rsidRPr="00581D15">
        <w:t xml:space="preserve">Unidad </w:t>
      </w:r>
      <w:r w:rsidRPr="00581D15">
        <w:t>se corresponde con el nivel 15</w:t>
      </w:r>
      <w:r>
        <w:t>.</w:t>
      </w:r>
    </w:p>
    <w:p w:rsidR="00EB6A50" w:rsidRDefault="00EB6A50" w:rsidP="008A4B7A">
      <w:pPr>
        <w:spacing w:line="480" w:lineRule="auto"/>
        <w:jc w:val="both"/>
      </w:pPr>
    </w:p>
    <w:p w:rsidR="008246FF" w:rsidRDefault="008246FF" w:rsidP="008A4B7A">
      <w:pPr>
        <w:spacing w:line="480" w:lineRule="auto"/>
        <w:jc w:val="both"/>
      </w:pPr>
      <w:r>
        <w:t xml:space="preserve">3.1 </w:t>
      </w:r>
      <w:r w:rsidRPr="008E692E">
        <w:rPr>
          <w:i/>
        </w:rPr>
        <w:t xml:space="preserve">Caracterización de los </w:t>
      </w:r>
      <w:r w:rsidR="00FA17BE" w:rsidRPr="008E692E">
        <w:rPr>
          <w:i/>
        </w:rPr>
        <w:t>desechos de talla</w:t>
      </w:r>
      <w:r w:rsidRPr="008E692E">
        <w:rPr>
          <w:i/>
        </w:rPr>
        <w:t xml:space="preserve"> líticos</w:t>
      </w:r>
    </w:p>
    <w:p w:rsidR="00D36F0C" w:rsidRDefault="00F7006A" w:rsidP="001939E8">
      <w:pPr>
        <w:spacing w:line="480" w:lineRule="auto"/>
      </w:pPr>
      <w:r>
        <w:t>En el Holoceno temprano s</w:t>
      </w:r>
      <w:r w:rsidR="00FA17BE">
        <w:t xml:space="preserve">e recuperaron 266 </w:t>
      </w:r>
      <w:r w:rsidR="00D36F0C" w:rsidRPr="00D36F0C">
        <w:t>desechos de talla</w:t>
      </w:r>
      <w:r w:rsidR="00FA17BE">
        <w:t xml:space="preserve">, principalmente lascas </w:t>
      </w:r>
      <w:r w:rsidR="00FA17BE" w:rsidRPr="00826FA8">
        <w:t>angulares, de arista y planas</w:t>
      </w:r>
      <w:r w:rsidR="00FA17BE">
        <w:t xml:space="preserve"> (9</w:t>
      </w:r>
      <w:r w:rsidR="00AC2DB5">
        <w:t>0</w:t>
      </w:r>
      <w:r w:rsidR="00FA17BE">
        <w:t>%)</w:t>
      </w:r>
      <w:r w:rsidR="00FA17BE" w:rsidRPr="00826FA8">
        <w:t xml:space="preserve">, de las cuales </w:t>
      </w:r>
      <w:r w:rsidR="00FA17BE">
        <w:t xml:space="preserve">sólo 4% </w:t>
      </w:r>
      <w:r w:rsidR="00FA17BE" w:rsidRPr="00826FA8">
        <w:t>presenta corteza</w:t>
      </w:r>
      <w:r w:rsidR="00FA17BE">
        <w:t xml:space="preserve">. </w:t>
      </w:r>
      <w:r w:rsidR="00866510">
        <w:t xml:space="preserve">Se registraron </w:t>
      </w:r>
      <w:r w:rsidR="00F2235A">
        <w:t>diez</w:t>
      </w:r>
      <w:r w:rsidR="00866510">
        <w:t xml:space="preserve"> </w:t>
      </w:r>
      <w:r w:rsidR="00D36F0C" w:rsidRPr="00D36F0C">
        <w:t>variedad</w:t>
      </w:r>
      <w:r w:rsidR="00866510">
        <w:t>es</w:t>
      </w:r>
      <w:r w:rsidR="00D36F0C" w:rsidRPr="00D36F0C">
        <w:t xml:space="preserve"> de roca</w:t>
      </w:r>
      <w:r w:rsidR="00FA17BE">
        <w:t xml:space="preserve">, </w:t>
      </w:r>
      <w:r w:rsidR="00866510">
        <w:t xml:space="preserve">aunque </w:t>
      </w:r>
      <w:r w:rsidR="00F2235A">
        <w:t xml:space="preserve">más de </w:t>
      </w:r>
      <w:r w:rsidR="00866510">
        <w:t xml:space="preserve">dos tercios de la muestra </w:t>
      </w:r>
      <w:proofErr w:type="gramStart"/>
      <w:r w:rsidR="00866510">
        <w:t>corresponde</w:t>
      </w:r>
      <w:proofErr w:type="gramEnd"/>
      <w:r w:rsidR="00866510">
        <w:t xml:space="preserve"> a sílice, basalto y calcedonia. Estas tres, más la obsidiana</w:t>
      </w:r>
      <w:r w:rsidR="00F2235A">
        <w:t>,</w:t>
      </w:r>
      <w:r w:rsidR="00866510">
        <w:t xml:space="preserve"> dan cuenta de </w:t>
      </w:r>
      <w:r w:rsidR="00F2235A">
        <w:t xml:space="preserve">más del </w:t>
      </w:r>
      <w:r w:rsidR="00866510">
        <w:t>90% de los desechos.</w:t>
      </w:r>
      <w:r w:rsidR="00F2235A">
        <w:t xml:space="preserve"> En el 3% de los desechos no </w:t>
      </w:r>
      <w:r w:rsidR="00F2235A">
        <w:lastRenderedPageBreak/>
        <w:t>pudo determinarse la materia prima</w:t>
      </w:r>
      <w:r w:rsidR="00866510">
        <w:t xml:space="preserve"> </w:t>
      </w:r>
      <w:r w:rsidR="00866510" w:rsidRPr="00D36F0C">
        <w:t>(Tabla Suplementaria 2)</w:t>
      </w:r>
      <w:r w:rsidR="00866510">
        <w:t>.</w:t>
      </w:r>
      <w:r w:rsidR="00AC2DB5">
        <w:t xml:space="preserve"> </w:t>
      </w:r>
      <w:r w:rsidR="00F2235A">
        <w:t>Mayormente s</w:t>
      </w:r>
      <w:r w:rsidR="00AC2DB5">
        <w:t xml:space="preserve">on de tamaño reducido y los </w:t>
      </w:r>
      <w:r w:rsidR="00D36F0C" w:rsidRPr="00D36F0C">
        <w:t xml:space="preserve">pocos </w:t>
      </w:r>
      <w:r w:rsidR="00F2235A">
        <w:t>de</w:t>
      </w:r>
      <w:r w:rsidR="00D36F0C" w:rsidRPr="00D36F0C">
        <w:t xml:space="preserve"> tamaño mediano </w:t>
      </w:r>
      <w:r w:rsidR="00F2235A">
        <w:t>o</w:t>
      </w:r>
      <w:r w:rsidR="00D36F0C" w:rsidRPr="00D36F0C">
        <w:t xml:space="preserve"> mediano grande son de basalto y andesita, </w:t>
      </w:r>
      <w:r w:rsidR="00AC2DB5">
        <w:t xml:space="preserve">que como se señala en el manuscrito, son </w:t>
      </w:r>
      <w:r w:rsidR="00D36F0C" w:rsidRPr="00D36F0C">
        <w:t>consideradas rocas locales</w:t>
      </w:r>
      <w:r w:rsidR="00AC2DB5">
        <w:t xml:space="preserve"> debido</w:t>
      </w:r>
      <w:r w:rsidR="00D36F0C" w:rsidRPr="00D36F0C">
        <w:t xml:space="preserve"> </w:t>
      </w:r>
      <w:r w:rsidR="00AC2DB5">
        <w:t>a</w:t>
      </w:r>
      <w:r w:rsidR="00D36F0C" w:rsidRPr="00D36F0C">
        <w:t xml:space="preserve"> </w:t>
      </w:r>
      <w:r w:rsidR="00AC2DB5">
        <w:t>su presencia</w:t>
      </w:r>
      <w:r w:rsidR="00D36F0C" w:rsidRPr="00D36F0C">
        <w:t xml:space="preserve"> en las playas del río </w:t>
      </w:r>
      <w:r w:rsidR="00D36F0C" w:rsidRPr="002D0129">
        <w:t>Manso (</w:t>
      </w:r>
      <w:proofErr w:type="spellStart"/>
      <w:r w:rsidR="00D36F0C" w:rsidRPr="002D0129">
        <w:t>Carbal</w:t>
      </w:r>
      <w:r w:rsidR="00AC2DB5" w:rsidRPr="002D0129">
        <w:t>lido</w:t>
      </w:r>
      <w:proofErr w:type="spellEnd"/>
      <w:r w:rsidR="00AC2DB5" w:rsidRPr="002D0129">
        <w:t xml:space="preserve"> Calatayud y Pereyra </w:t>
      </w:r>
      <w:r w:rsidR="00C00955" w:rsidRPr="002D0129">
        <w:t>2012</w:t>
      </w:r>
      <w:r w:rsidR="00AC2DB5" w:rsidRPr="002D0129">
        <w:t>).</w:t>
      </w:r>
    </w:p>
    <w:tbl>
      <w:tblPr>
        <w:tblStyle w:val="Tablaconcuadrcula"/>
        <w:tblpPr w:leftFromText="141" w:rightFromText="141" w:vertAnchor="text" w:horzAnchor="page" w:tblpX="6103" w:tblpY="253"/>
        <w:tblW w:w="0" w:type="auto"/>
        <w:tblLayout w:type="fixed"/>
        <w:tblLook w:val="04A0"/>
      </w:tblPr>
      <w:tblGrid>
        <w:gridCol w:w="2553"/>
        <w:gridCol w:w="1276"/>
      </w:tblGrid>
      <w:tr w:rsidR="00517694" w:rsidRPr="009224E7" w:rsidTr="00517694">
        <w:tc>
          <w:tcPr>
            <w:tcW w:w="2553" w:type="dxa"/>
          </w:tcPr>
          <w:p w:rsidR="00517694" w:rsidRPr="009224E7" w:rsidRDefault="00517694" w:rsidP="00517694">
            <w:pPr>
              <w:ind w:right="6144"/>
            </w:pPr>
            <w:r w:rsidRPr="009224E7">
              <w:t>N</w:t>
            </w:r>
          </w:p>
        </w:tc>
        <w:tc>
          <w:tcPr>
            <w:tcW w:w="1276" w:type="dxa"/>
          </w:tcPr>
          <w:p w:rsidR="00517694" w:rsidRPr="009224E7" w:rsidRDefault="00517694" w:rsidP="00517694">
            <w:pPr>
              <w:jc w:val="right"/>
            </w:pPr>
            <w:r>
              <w:t>14</w:t>
            </w:r>
            <w:r w:rsidRPr="009224E7">
              <w:t>3</w:t>
            </w:r>
          </w:p>
        </w:tc>
      </w:tr>
      <w:tr w:rsidR="00517694" w:rsidRPr="009224E7" w:rsidTr="00517694">
        <w:tc>
          <w:tcPr>
            <w:tcW w:w="2553" w:type="dxa"/>
          </w:tcPr>
          <w:p w:rsidR="00517694" w:rsidRPr="009224E7" w:rsidRDefault="00517694" w:rsidP="00517694">
            <w:pPr>
              <w:tabs>
                <w:tab w:val="left" w:pos="1100"/>
              </w:tabs>
            </w:pPr>
            <w:r w:rsidRPr="009224E7">
              <w:t>Mínimo</w:t>
            </w:r>
          </w:p>
        </w:tc>
        <w:tc>
          <w:tcPr>
            <w:tcW w:w="1276" w:type="dxa"/>
          </w:tcPr>
          <w:p w:rsidR="00517694" w:rsidRPr="009224E7" w:rsidRDefault="00517694" w:rsidP="00517694">
            <w:pPr>
              <w:jc w:val="right"/>
            </w:pPr>
            <w:r>
              <w:t>3</w:t>
            </w:r>
          </w:p>
        </w:tc>
      </w:tr>
      <w:tr w:rsidR="00517694" w:rsidRPr="009224E7" w:rsidTr="00517694">
        <w:tc>
          <w:tcPr>
            <w:tcW w:w="2553" w:type="dxa"/>
          </w:tcPr>
          <w:p w:rsidR="00517694" w:rsidRPr="009224E7" w:rsidRDefault="00517694" w:rsidP="00517694">
            <w:r w:rsidRPr="009224E7">
              <w:t>Máximo</w:t>
            </w:r>
          </w:p>
        </w:tc>
        <w:tc>
          <w:tcPr>
            <w:tcW w:w="1276" w:type="dxa"/>
          </w:tcPr>
          <w:p w:rsidR="00517694" w:rsidRPr="009224E7" w:rsidRDefault="00517694" w:rsidP="00517694">
            <w:pPr>
              <w:jc w:val="right"/>
            </w:pPr>
            <w:r>
              <w:t>41</w:t>
            </w:r>
          </w:p>
        </w:tc>
      </w:tr>
      <w:tr w:rsidR="00517694" w:rsidRPr="009224E7" w:rsidTr="00517694">
        <w:tc>
          <w:tcPr>
            <w:tcW w:w="2553" w:type="dxa"/>
          </w:tcPr>
          <w:p w:rsidR="00517694" w:rsidRPr="009224E7" w:rsidRDefault="00517694" w:rsidP="00517694">
            <w:r w:rsidRPr="009224E7">
              <w:t>Suma</w:t>
            </w:r>
          </w:p>
        </w:tc>
        <w:tc>
          <w:tcPr>
            <w:tcW w:w="1276" w:type="dxa"/>
          </w:tcPr>
          <w:p w:rsidR="00517694" w:rsidRPr="009224E7" w:rsidRDefault="00517694" w:rsidP="00517694">
            <w:pPr>
              <w:jc w:val="right"/>
            </w:pPr>
            <w:r>
              <w:t>1610</w:t>
            </w:r>
          </w:p>
        </w:tc>
      </w:tr>
      <w:tr w:rsidR="00517694" w:rsidRPr="009224E7" w:rsidTr="00517694">
        <w:tc>
          <w:tcPr>
            <w:tcW w:w="2553" w:type="dxa"/>
          </w:tcPr>
          <w:p w:rsidR="00517694" w:rsidRPr="009224E7" w:rsidRDefault="00517694" w:rsidP="00517694">
            <w:r w:rsidRPr="009224E7">
              <w:t>Promedio</w:t>
            </w:r>
          </w:p>
        </w:tc>
        <w:tc>
          <w:tcPr>
            <w:tcW w:w="1276" w:type="dxa"/>
          </w:tcPr>
          <w:p w:rsidR="00517694" w:rsidRPr="009224E7" w:rsidRDefault="00517694" w:rsidP="00517694">
            <w:pPr>
              <w:jc w:val="right"/>
            </w:pPr>
            <w:r>
              <w:rPr>
                <w:lang w:val="en-US"/>
              </w:rPr>
              <w:t>11,</w:t>
            </w:r>
            <w:r w:rsidRPr="00D36F0C">
              <w:rPr>
                <w:lang w:val="en-US"/>
              </w:rPr>
              <w:t>25874</w:t>
            </w:r>
          </w:p>
        </w:tc>
      </w:tr>
      <w:tr w:rsidR="00517694" w:rsidRPr="009224E7" w:rsidTr="00517694">
        <w:tc>
          <w:tcPr>
            <w:tcW w:w="2553" w:type="dxa"/>
          </w:tcPr>
          <w:p w:rsidR="00517694" w:rsidRPr="009224E7" w:rsidRDefault="00517694" w:rsidP="00517694">
            <w:r w:rsidRPr="009224E7">
              <w:t>Error estándar</w:t>
            </w:r>
          </w:p>
        </w:tc>
        <w:tc>
          <w:tcPr>
            <w:tcW w:w="1276" w:type="dxa"/>
          </w:tcPr>
          <w:p w:rsidR="00517694" w:rsidRPr="009224E7" w:rsidRDefault="00517694" w:rsidP="00517694">
            <w:pPr>
              <w:jc w:val="right"/>
            </w:pPr>
            <w:r w:rsidRPr="008F34D9">
              <w:rPr>
                <w:lang w:val="en-US"/>
              </w:rPr>
              <w:t>0</w:t>
            </w:r>
            <w:r>
              <w:rPr>
                <w:lang w:val="en-US"/>
              </w:rPr>
              <w:t>,</w:t>
            </w:r>
            <w:r w:rsidRPr="008F34D9">
              <w:rPr>
                <w:lang w:val="en-US"/>
              </w:rPr>
              <w:t>5764223</w:t>
            </w:r>
          </w:p>
        </w:tc>
      </w:tr>
      <w:tr w:rsidR="00517694" w:rsidRPr="009224E7" w:rsidTr="00517694">
        <w:tc>
          <w:tcPr>
            <w:tcW w:w="2553" w:type="dxa"/>
          </w:tcPr>
          <w:p w:rsidR="00517694" w:rsidRPr="009224E7" w:rsidRDefault="00517694" w:rsidP="00517694">
            <w:r w:rsidRPr="009224E7">
              <w:t>Varianza</w:t>
            </w:r>
          </w:p>
        </w:tc>
        <w:tc>
          <w:tcPr>
            <w:tcW w:w="1276" w:type="dxa"/>
          </w:tcPr>
          <w:p w:rsidR="00517694" w:rsidRPr="009224E7" w:rsidRDefault="00517694" w:rsidP="00517694">
            <w:pPr>
              <w:jc w:val="right"/>
            </w:pPr>
            <w:r w:rsidRPr="008F34D9">
              <w:rPr>
                <w:lang w:val="en-US"/>
              </w:rPr>
              <w:t>47</w:t>
            </w:r>
            <w:r>
              <w:rPr>
                <w:lang w:val="en-US"/>
              </w:rPr>
              <w:t>,</w:t>
            </w:r>
            <w:r w:rsidRPr="008F34D9">
              <w:rPr>
                <w:lang w:val="en-US"/>
              </w:rPr>
              <w:t>51357</w:t>
            </w:r>
          </w:p>
        </w:tc>
      </w:tr>
      <w:tr w:rsidR="00517694" w:rsidRPr="009224E7" w:rsidTr="00517694">
        <w:tc>
          <w:tcPr>
            <w:tcW w:w="2553" w:type="dxa"/>
          </w:tcPr>
          <w:p w:rsidR="00517694" w:rsidRPr="009224E7" w:rsidRDefault="00517694" w:rsidP="00517694">
            <w:r w:rsidRPr="009224E7">
              <w:t>Desvío estándar</w:t>
            </w:r>
          </w:p>
        </w:tc>
        <w:tc>
          <w:tcPr>
            <w:tcW w:w="1276" w:type="dxa"/>
          </w:tcPr>
          <w:p w:rsidR="00517694" w:rsidRPr="009224E7" w:rsidRDefault="00517694" w:rsidP="00517694">
            <w:pPr>
              <w:jc w:val="right"/>
            </w:pPr>
            <w:r w:rsidRPr="008F34D9">
              <w:rPr>
                <w:lang w:val="en-US"/>
              </w:rPr>
              <w:t>6</w:t>
            </w:r>
            <w:r>
              <w:rPr>
                <w:lang w:val="en-US"/>
              </w:rPr>
              <w:t>,</w:t>
            </w:r>
            <w:r w:rsidRPr="008F34D9">
              <w:rPr>
                <w:lang w:val="en-US"/>
              </w:rPr>
              <w:t>893009</w:t>
            </w:r>
          </w:p>
        </w:tc>
      </w:tr>
      <w:tr w:rsidR="00517694" w:rsidRPr="009224E7" w:rsidTr="00517694">
        <w:tc>
          <w:tcPr>
            <w:tcW w:w="2553" w:type="dxa"/>
          </w:tcPr>
          <w:p w:rsidR="00517694" w:rsidRPr="009224E7" w:rsidRDefault="00517694" w:rsidP="00517694">
            <w:r w:rsidRPr="009224E7">
              <w:t>Mediana</w:t>
            </w:r>
          </w:p>
        </w:tc>
        <w:tc>
          <w:tcPr>
            <w:tcW w:w="1276" w:type="dxa"/>
          </w:tcPr>
          <w:p w:rsidR="00517694" w:rsidRPr="009224E7" w:rsidRDefault="00517694" w:rsidP="00517694">
            <w:pPr>
              <w:jc w:val="right"/>
            </w:pPr>
            <w:r>
              <w:t>10</w:t>
            </w:r>
          </w:p>
        </w:tc>
      </w:tr>
      <w:tr w:rsidR="00517694" w:rsidRPr="009224E7" w:rsidTr="00517694">
        <w:tc>
          <w:tcPr>
            <w:tcW w:w="2553" w:type="dxa"/>
          </w:tcPr>
          <w:p w:rsidR="00517694" w:rsidRPr="009224E7" w:rsidRDefault="00517694" w:rsidP="00517694">
            <w:r>
              <w:t>Percentil 25</w:t>
            </w:r>
          </w:p>
        </w:tc>
        <w:tc>
          <w:tcPr>
            <w:tcW w:w="1276" w:type="dxa"/>
          </w:tcPr>
          <w:p w:rsidR="00517694" w:rsidRPr="009224E7" w:rsidRDefault="00517694" w:rsidP="00517694">
            <w:pPr>
              <w:jc w:val="right"/>
            </w:pPr>
            <w:r>
              <w:t>6</w:t>
            </w:r>
          </w:p>
        </w:tc>
      </w:tr>
      <w:tr w:rsidR="00517694" w:rsidRPr="009224E7" w:rsidTr="00517694">
        <w:tc>
          <w:tcPr>
            <w:tcW w:w="2553" w:type="dxa"/>
          </w:tcPr>
          <w:p w:rsidR="00517694" w:rsidRPr="009224E7" w:rsidRDefault="00517694" w:rsidP="00517694">
            <w:r>
              <w:t>Percentil 75</w:t>
            </w:r>
          </w:p>
        </w:tc>
        <w:tc>
          <w:tcPr>
            <w:tcW w:w="1276" w:type="dxa"/>
          </w:tcPr>
          <w:p w:rsidR="00517694" w:rsidRPr="009224E7" w:rsidRDefault="00517694" w:rsidP="00517694">
            <w:pPr>
              <w:jc w:val="right"/>
            </w:pPr>
            <w:r>
              <w:t>14</w:t>
            </w:r>
          </w:p>
        </w:tc>
      </w:tr>
      <w:tr w:rsidR="00517694" w:rsidRPr="009224E7" w:rsidTr="00517694">
        <w:tc>
          <w:tcPr>
            <w:tcW w:w="2553" w:type="dxa"/>
          </w:tcPr>
          <w:p w:rsidR="00517694" w:rsidRPr="009224E7" w:rsidRDefault="00517694" w:rsidP="00517694">
            <w:r w:rsidRPr="00351E86">
              <w:rPr>
                <w:lang w:val="en-US"/>
              </w:rPr>
              <w:t>Skewness</w:t>
            </w:r>
          </w:p>
        </w:tc>
        <w:tc>
          <w:tcPr>
            <w:tcW w:w="1276" w:type="dxa"/>
          </w:tcPr>
          <w:p w:rsidR="00517694" w:rsidRPr="009224E7" w:rsidRDefault="00517694" w:rsidP="00517694">
            <w:pPr>
              <w:jc w:val="right"/>
            </w:pPr>
            <w:r>
              <w:rPr>
                <w:lang w:val="en-US"/>
              </w:rPr>
              <w:t>1,</w:t>
            </w:r>
            <w:r w:rsidRPr="008F34D9">
              <w:rPr>
                <w:lang w:val="en-US"/>
              </w:rPr>
              <w:t>881424</w:t>
            </w:r>
          </w:p>
        </w:tc>
      </w:tr>
      <w:tr w:rsidR="00517694" w:rsidRPr="00351E86" w:rsidTr="00517694">
        <w:tc>
          <w:tcPr>
            <w:tcW w:w="2553" w:type="dxa"/>
          </w:tcPr>
          <w:p w:rsidR="00517694" w:rsidRPr="00351E86" w:rsidRDefault="00517694" w:rsidP="00517694">
            <w:pPr>
              <w:rPr>
                <w:lang w:val="en-US"/>
              </w:rPr>
            </w:pPr>
            <w:r w:rsidRPr="00351E86">
              <w:rPr>
                <w:lang w:val="en-US"/>
              </w:rPr>
              <w:t>Kurtosis</w:t>
            </w:r>
          </w:p>
        </w:tc>
        <w:tc>
          <w:tcPr>
            <w:tcW w:w="1276" w:type="dxa"/>
          </w:tcPr>
          <w:p w:rsidR="00517694" w:rsidRPr="00351E86" w:rsidRDefault="00517694" w:rsidP="00517694">
            <w:pPr>
              <w:jc w:val="right"/>
              <w:rPr>
                <w:lang w:val="en-US"/>
              </w:rPr>
            </w:pPr>
            <w:r>
              <w:rPr>
                <w:lang w:val="en-US"/>
              </w:rPr>
              <w:t>4,</w:t>
            </w:r>
            <w:r w:rsidRPr="008F34D9">
              <w:rPr>
                <w:lang w:val="en-US"/>
              </w:rPr>
              <w:t>561532</w:t>
            </w:r>
          </w:p>
        </w:tc>
      </w:tr>
      <w:tr w:rsidR="00517694" w:rsidRPr="00351E86" w:rsidTr="00517694">
        <w:tc>
          <w:tcPr>
            <w:tcW w:w="2553" w:type="dxa"/>
          </w:tcPr>
          <w:p w:rsidR="00517694" w:rsidRPr="00351E86" w:rsidRDefault="00517694" w:rsidP="00517694">
            <w:pPr>
              <w:rPr>
                <w:lang w:val="en-US"/>
              </w:rPr>
            </w:pPr>
            <w:r>
              <w:rPr>
                <w:lang w:val="en-US"/>
              </w:rPr>
              <w:t xml:space="preserve">Media </w:t>
            </w:r>
            <w:proofErr w:type="spellStart"/>
            <w:r>
              <w:rPr>
                <w:lang w:val="en-US"/>
              </w:rPr>
              <w:t>geométrica</w:t>
            </w:r>
            <w:proofErr w:type="spellEnd"/>
          </w:p>
        </w:tc>
        <w:tc>
          <w:tcPr>
            <w:tcW w:w="1276" w:type="dxa"/>
          </w:tcPr>
          <w:p w:rsidR="00517694" w:rsidRPr="00351E86" w:rsidRDefault="00517694" w:rsidP="00517694">
            <w:pPr>
              <w:jc w:val="right"/>
              <w:rPr>
                <w:lang w:val="en-US"/>
              </w:rPr>
            </w:pPr>
            <w:r w:rsidRPr="008F34D9">
              <w:rPr>
                <w:lang w:val="en-US"/>
              </w:rPr>
              <w:t>9</w:t>
            </w:r>
            <w:r>
              <w:rPr>
                <w:lang w:val="en-US"/>
              </w:rPr>
              <w:t>,</w:t>
            </w:r>
            <w:r w:rsidRPr="008F34D9">
              <w:rPr>
                <w:lang w:val="en-US"/>
              </w:rPr>
              <w:t>672048</w:t>
            </w:r>
          </w:p>
        </w:tc>
      </w:tr>
      <w:tr w:rsidR="00517694" w:rsidRPr="00351E86" w:rsidTr="00517694">
        <w:tc>
          <w:tcPr>
            <w:tcW w:w="2553" w:type="dxa"/>
          </w:tcPr>
          <w:p w:rsidR="00517694" w:rsidRPr="00351E86" w:rsidRDefault="00517694" w:rsidP="00517694">
            <w:pPr>
              <w:rPr>
                <w:lang w:val="en-US"/>
              </w:rPr>
            </w:pPr>
            <w:proofErr w:type="spellStart"/>
            <w:r>
              <w:rPr>
                <w:lang w:val="en-US"/>
              </w:rPr>
              <w:t>Coeficiente</w:t>
            </w:r>
            <w:proofErr w:type="spellEnd"/>
            <w:r>
              <w:rPr>
                <w:lang w:val="en-US"/>
              </w:rPr>
              <w:t xml:space="preserve"> de </w:t>
            </w:r>
            <w:proofErr w:type="spellStart"/>
            <w:r>
              <w:rPr>
                <w:lang w:val="en-US"/>
              </w:rPr>
              <w:t>variación</w:t>
            </w:r>
            <w:proofErr w:type="spellEnd"/>
          </w:p>
        </w:tc>
        <w:tc>
          <w:tcPr>
            <w:tcW w:w="1276" w:type="dxa"/>
          </w:tcPr>
          <w:p w:rsidR="00517694" w:rsidRPr="00351E86" w:rsidRDefault="00517694" w:rsidP="00517694">
            <w:pPr>
              <w:jc w:val="right"/>
              <w:rPr>
                <w:lang w:val="en-US"/>
              </w:rPr>
            </w:pPr>
            <w:r>
              <w:t>61,22362</w:t>
            </w:r>
          </w:p>
        </w:tc>
      </w:tr>
    </w:tbl>
    <w:p w:rsidR="00517694" w:rsidRDefault="00517694" w:rsidP="00D36F0C">
      <w:r>
        <w:rPr>
          <w:noProof/>
          <w:lang w:eastAsia="es-AR"/>
        </w:rPr>
        <w:drawing>
          <wp:anchor distT="0" distB="0" distL="114300" distR="114300" simplePos="0" relativeHeight="251658240" behindDoc="0" locked="0" layoutInCell="1" allowOverlap="1">
            <wp:simplePos x="0" y="0"/>
            <wp:positionH relativeFrom="column">
              <wp:posOffset>18415</wp:posOffset>
            </wp:positionH>
            <wp:positionV relativeFrom="paragraph">
              <wp:posOffset>242570</wp:posOffset>
            </wp:positionV>
            <wp:extent cx="2374900" cy="2108835"/>
            <wp:effectExtent l="19050" t="0" r="6350" b="0"/>
            <wp:wrapSquare wrapText="bothSides"/>
            <wp:docPr id="2"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5" cstate="print"/>
                    <a:srcRect l="6724" t="13525" r="11857" b="8402"/>
                    <a:stretch>
                      <a:fillRect/>
                    </a:stretch>
                  </pic:blipFill>
                  <pic:spPr bwMode="auto">
                    <a:xfrm>
                      <a:off x="0" y="0"/>
                      <a:ext cx="2374900" cy="2108835"/>
                    </a:xfrm>
                    <a:prstGeom prst="rect">
                      <a:avLst/>
                    </a:prstGeom>
                    <a:noFill/>
                    <a:ln w="9525">
                      <a:noFill/>
                      <a:miter lim="800000"/>
                      <a:headEnd/>
                      <a:tailEnd/>
                    </a:ln>
                  </pic:spPr>
                </pic:pic>
              </a:graphicData>
            </a:graphic>
          </wp:anchor>
        </w:drawing>
      </w:r>
    </w:p>
    <w:p w:rsidR="00517694" w:rsidRDefault="00517694" w:rsidP="00D36F0C"/>
    <w:p w:rsidR="00D36F0C" w:rsidRDefault="00D36F0C" w:rsidP="00D36F0C"/>
    <w:p w:rsidR="00517694" w:rsidRDefault="00517694" w:rsidP="00D36F0C"/>
    <w:p w:rsidR="00517694" w:rsidRDefault="00517694" w:rsidP="00D36F0C"/>
    <w:p w:rsidR="00517694" w:rsidRDefault="00517694" w:rsidP="00D36F0C"/>
    <w:p w:rsidR="00517694" w:rsidRDefault="00517694" w:rsidP="00D36F0C"/>
    <w:p w:rsidR="00517694" w:rsidRDefault="00517694" w:rsidP="00D36F0C"/>
    <w:p w:rsidR="00517694" w:rsidRDefault="00517694" w:rsidP="00D36F0C"/>
    <w:p w:rsidR="00517694" w:rsidRDefault="00517694" w:rsidP="00D36F0C"/>
    <w:p w:rsidR="00D36F0C" w:rsidRDefault="00315488" w:rsidP="00D36F0C">
      <w:r>
        <w:t>Gráfico de caja y estadística descriptiva</w:t>
      </w:r>
      <w:r w:rsidR="00F7006A">
        <w:t xml:space="preserve"> del largo de los desechos de talla enteros del Holoceno temprano.</w:t>
      </w:r>
      <w:r w:rsidR="003F4303">
        <w:t xml:space="preserve"> Medidas expresadas en milímetros.</w:t>
      </w:r>
    </w:p>
    <w:p w:rsidR="00D36F0C" w:rsidRDefault="00D36F0C" w:rsidP="00D36F0C"/>
    <w:p w:rsidR="00D36F0C" w:rsidRDefault="005527C8" w:rsidP="001939E8">
      <w:pPr>
        <w:spacing w:line="480" w:lineRule="auto"/>
        <w:ind w:firstLine="708"/>
      </w:pPr>
      <w:r>
        <w:t>En</w:t>
      </w:r>
      <w:r w:rsidR="00D36F0C" w:rsidRPr="00D36F0C">
        <w:t xml:space="preserve"> l</w:t>
      </w:r>
      <w:r>
        <w:t>os niveles del</w:t>
      </w:r>
      <w:r w:rsidR="00D36F0C" w:rsidRPr="00D36F0C">
        <w:t xml:space="preserve"> Holoceno medio </w:t>
      </w:r>
      <w:r>
        <w:t xml:space="preserve">se recuperaron </w:t>
      </w:r>
      <w:r w:rsidR="00D36F0C" w:rsidRPr="00D36F0C">
        <w:t>94 desechos de talla</w:t>
      </w:r>
      <w:r>
        <w:t xml:space="preserve">, la mayoría </w:t>
      </w:r>
      <w:r w:rsidRPr="005527C8">
        <w:t>lascas angulares, de arista y planas (97%)</w:t>
      </w:r>
      <w:r>
        <w:t xml:space="preserve">, de los cuales sólo 5% posee </w:t>
      </w:r>
      <w:r w:rsidR="00D36F0C" w:rsidRPr="00D36F0C">
        <w:t xml:space="preserve">reserva de corteza. </w:t>
      </w:r>
      <w:r>
        <w:t xml:space="preserve">Hay </w:t>
      </w:r>
      <w:r w:rsidR="00E00911">
        <w:t>ocho</w:t>
      </w:r>
      <w:r>
        <w:t xml:space="preserve"> tipos de rocas representados pero </w:t>
      </w:r>
      <w:proofErr w:type="gramStart"/>
      <w:r>
        <w:t>los</w:t>
      </w:r>
      <w:proofErr w:type="gramEnd"/>
      <w:r>
        <w:t xml:space="preserve"> sílices y la calcedonia</w:t>
      </w:r>
      <w:r w:rsidR="00171791">
        <w:t xml:space="preserve"> se reparten en partes iguales el 78% de la muestra.</w:t>
      </w:r>
      <w:r w:rsidR="00E00911">
        <w:t xml:space="preserve"> En este lapso disminuye </w:t>
      </w:r>
      <w:r w:rsidR="00D36F0C" w:rsidRPr="00D36F0C">
        <w:t>la proporción de rocas locales</w:t>
      </w:r>
      <w:r w:rsidR="00E00911">
        <w:t xml:space="preserve"> (</w:t>
      </w:r>
      <w:r w:rsidR="00E00911" w:rsidRPr="00D36F0C">
        <w:t>basalto y andesita</w:t>
      </w:r>
      <w:r w:rsidR="008E692E">
        <w:t xml:space="preserve">; </w:t>
      </w:r>
      <w:r w:rsidR="0095529A" w:rsidRPr="00D36F0C">
        <w:t>Tabla Suplementaria 2)</w:t>
      </w:r>
      <w:r w:rsidR="00D36F0C" w:rsidRPr="00D36F0C">
        <w:t xml:space="preserve">. </w:t>
      </w:r>
      <w:r w:rsidR="0095529A">
        <w:t xml:space="preserve">Los tamaños de los </w:t>
      </w:r>
      <w:r w:rsidR="00E00911">
        <w:t xml:space="preserve">desechos </w:t>
      </w:r>
      <w:r w:rsidR="0095529A">
        <w:t>son similares a los observados en el Holoceno temprano</w:t>
      </w:r>
      <w:r w:rsidR="00D36F0C" w:rsidRPr="00D36F0C">
        <w:t>.</w:t>
      </w:r>
    </w:p>
    <w:p w:rsidR="00D10EDD" w:rsidRDefault="00D10EDD" w:rsidP="00D36F0C">
      <w:pPr>
        <w:spacing w:line="480" w:lineRule="auto"/>
        <w:jc w:val="both"/>
      </w:pPr>
    </w:p>
    <w:p w:rsidR="0095529A" w:rsidRDefault="0095529A" w:rsidP="00D36F0C">
      <w:pPr>
        <w:spacing w:line="480" w:lineRule="auto"/>
        <w:jc w:val="both"/>
      </w:pPr>
    </w:p>
    <w:tbl>
      <w:tblPr>
        <w:tblStyle w:val="Tablaconcuadrcula"/>
        <w:tblpPr w:leftFromText="141" w:rightFromText="141" w:vertAnchor="text" w:horzAnchor="margin" w:tblpXSpec="right" w:tblpY="185"/>
        <w:tblW w:w="0" w:type="auto"/>
        <w:tblLayout w:type="fixed"/>
        <w:tblLook w:val="04A0"/>
      </w:tblPr>
      <w:tblGrid>
        <w:gridCol w:w="2553"/>
        <w:gridCol w:w="1134"/>
      </w:tblGrid>
      <w:tr w:rsidR="00E00911" w:rsidTr="00822CC8">
        <w:tc>
          <w:tcPr>
            <w:tcW w:w="2553" w:type="dxa"/>
          </w:tcPr>
          <w:p w:rsidR="00E00911" w:rsidRPr="009224E7" w:rsidRDefault="00E00911" w:rsidP="00822CC8">
            <w:pPr>
              <w:ind w:right="6144"/>
            </w:pPr>
            <w:r w:rsidRPr="009224E7">
              <w:t>N</w:t>
            </w:r>
          </w:p>
        </w:tc>
        <w:tc>
          <w:tcPr>
            <w:tcW w:w="1134" w:type="dxa"/>
          </w:tcPr>
          <w:p w:rsidR="00E00911" w:rsidRPr="009224E7" w:rsidRDefault="00E00911" w:rsidP="00822CC8">
            <w:pPr>
              <w:jc w:val="right"/>
            </w:pPr>
            <w:r w:rsidRPr="009224E7">
              <w:t>53</w:t>
            </w:r>
          </w:p>
        </w:tc>
      </w:tr>
      <w:tr w:rsidR="00E00911" w:rsidTr="00822CC8">
        <w:tc>
          <w:tcPr>
            <w:tcW w:w="2553" w:type="dxa"/>
          </w:tcPr>
          <w:p w:rsidR="00E00911" w:rsidRPr="009224E7" w:rsidRDefault="00E00911" w:rsidP="00822CC8">
            <w:pPr>
              <w:tabs>
                <w:tab w:val="left" w:pos="1100"/>
              </w:tabs>
            </w:pPr>
            <w:r w:rsidRPr="009224E7">
              <w:t>Mínimo</w:t>
            </w:r>
          </w:p>
        </w:tc>
        <w:tc>
          <w:tcPr>
            <w:tcW w:w="1134" w:type="dxa"/>
          </w:tcPr>
          <w:p w:rsidR="00E00911" w:rsidRPr="009224E7" w:rsidRDefault="00E00911" w:rsidP="00822CC8">
            <w:pPr>
              <w:jc w:val="right"/>
            </w:pPr>
            <w:r w:rsidRPr="009224E7">
              <w:t>3</w:t>
            </w:r>
          </w:p>
        </w:tc>
      </w:tr>
      <w:tr w:rsidR="00E00911" w:rsidTr="00822CC8">
        <w:tc>
          <w:tcPr>
            <w:tcW w:w="2553" w:type="dxa"/>
          </w:tcPr>
          <w:p w:rsidR="00E00911" w:rsidRPr="009224E7" w:rsidRDefault="00E00911" w:rsidP="00822CC8">
            <w:r w:rsidRPr="009224E7">
              <w:t>Máximo</w:t>
            </w:r>
          </w:p>
        </w:tc>
        <w:tc>
          <w:tcPr>
            <w:tcW w:w="1134" w:type="dxa"/>
          </w:tcPr>
          <w:p w:rsidR="00E00911" w:rsidRPr="009224E7" w:rsidRDefault="00E00911" w:rsidP="00822CC8">
            <w:pPr>
              <w:jc w:val="right"/>
            </w:pPr>
            <w:r w:rsidRPr="009224E7">
              <w:t>52</w:t>
            </w:r>
          </w:p>
        </w:tc>
      </w:tr>
      <w:tr w:rsidR="00E00911" w:rsidTr="00822CC8">
        <w:tc>
          <w:tcPr>
            <w:tcW w:w="2553" w:type="dxa"/>
          </w:tcPr>
          <w:p w:rsidR="00E00911" w:rsidRPr="009224E7" w:rsidRDefault="00E00911" w:rsidP="00822CC8">
            <w:r w:rsidRPr="009224E7">
              <w:t>Suma</w:t>
            </w:r>
          </w:p>
        </w:tc>
        <w:tc>
          <w:tcPr>
            <w:tcW w:w="1134" w:type="dxa"/>
          </w:tcPr>
          <w:p w:rsidR="00E00911" w:rsidRPr="009224E7" w:rsidRDefault="00E00911" w:rsidP="00822CC8">
            <w:pPr>
              <w:jc w:val="right"/>
            </w:pPr>
            <w:r w:rsidRPr="009224E7">
              <w:t>526</w:t>
            </w:r>
          </w:p>
        </w:tc>
      </w:tr>
      <w:tr w:rsidR="00E00911" w:rsidTr="00822CC8">
        <w:tc>
          <w:tcPr>
            <w:tcW w:w="2553" w:type="dxa"/>
          </w:tcPr>
          <w:p w:rsidR="00E00911" w:rsidRPr="009224E7" w:rsidRDefault="00E00911" w:rsidP="00822CC8">
            <w:r w:rsidRPr="009224E7">
              <w:t>Promedio</w:t>
            </w:r>
          </w:p>
        </w:tc>
        <w:tc>
          <w:tcPr>
            <w:tcW w:w="1134" w:type="dxa"/>
          </w:tcPr>
          <w:p w:rsidR="00E00911" w:rsidRPr="009224E7" w:rsidRDefault="00E00911" w:rsidP="00822CC8">
            <w:pPr>
              <w:jc w:val="right"/>
            </w:pPr>
            <w:r w:rsidRPr="009224E7">
              <w:t>9,924528</w:t>
            </w:r>
          </w:p>
        </w:tc>
      </w:tr>
      <w:tr w:rsidR="00E00911" w:rsidTr="00822CC8">
        <w:tc>
          <w:tcPr>
            <w:tcW w:w="2553" w:type="dxa"/>
          </w:tcPr>
          <w:p w:rsidR="00E00911" w:rsidRPr="009224E7" w:rsidRDefault="00E00911" w:rsidP="00822CC8">
            <w:r w:rsidRPr="009224E7">
              <w:t>Error estándar</w:t>
            </w:r>
          </w:p>
        </w:tc>
        <w:tc>
          <w:tcPr>
            <w:tcW w:w="1134" w:type="dxa"/>
          </w:tcPr>
          <w:p w:rsidR="00E00911" w:rsidRPr="009224E7" w:rsidRDefault="00E00911" w:rsidP="00822CC8">
            <w:pPr>
              <w:jc w:val="right"/>
            </w:pPr>
            <w:r w:rsidRPr="009224E7">
              <w:t>1,08245</w:t>
            </w:r>
          </w:p>
        </w:tc>
      </w:tr>
      <w:tr w:rsidR="00E00911" w:rsidTr="00822CC8">
        <w:tc>
          <w:tcPr>
            <w:tcW w:w="2553" w:type="dxa"/>
          </w:tcPr>
          <w:p w:rsidR="00E00911" w:rsidRPr="009224E7" w:rsidRDefault="00E00911" w:rsidP="00822CC8">
            <w:r w:rsidRPr="009224E7">
              <w:t>Varianza</w:t>
            </w:r>
          </w:p>
        </w:tc>
        <w:tc>
          <w:tcPr>
            <w:tcW w:w="1134" w:type="dxa"/>
          </w:tcPr>
          <w:p w:rsidR="00E00911" w:rsidRPr="009224E7" w:rsidRDefault="00E00911" w:rsidP="00822CC8">
            <w:pPr>
              <w:jc w:val="right"/>
            </w:pPr>
            <w:r w:rsidRPr="009224E7">
              <w:t>62,09996</w:t>
            </w:r>
          </w:p>
        </w:tc>
      </w:tr>
      <w:tr w:rsidR="00E00911" w:rsidTr="00822CC8">
        <w:tc>
          <w:tcPr>
            <w:tcW w:w="2553" w:type="dxa"/>
          </w:tcPr>
          <w:p w:rsidR="00E00911" w:rsidRPr="0095529A" w:rsidRDefault="00E00911" w:rsidP="00822CC8">
            <w:r w:rsidRPr="0095529A">
              <w:t>Desvío estándar</w:t>
            </w:r>
          </w:p>
        </w:tc>
        <w:tc>
          <w:tcPr>
            <w:tcW w:w="1134" w:type="dxa"/>
          </w:tcPr>
          <w:p w:rsidR="00E00911" w:rsidRPr="009224E7" w:rsidRDefault="00E00911" w:rsidP="00822CC8">
            <w:pPr>
              <w:jc w:val="right"/>
            </w:pPr>
            <w:r w:rsidRPr="009224E7">
              <w:t>7,880353</w:t>
            </w:r>
          </w:p>
        </w:tc>
      </w:tr>
      <w:tr w:rsidR="00E00911" w:rsidTr="00822CC8">
        <w:tc>
          <w:tcPr>
            <w:tcW w:w="2553" w:type="dxa"/>
          </w:tcPr>
          <w:p w:rsidR="00E00911" w:rsidRPr="0095529A" w:rsidRDefault="00E00911" w:rsidP="00822CC8">
            <w:r w:rsidRPr="0095529A">
              <w:t>Mediana</w:t>
            </w:r>
          </w:p>
        </w:tc>
        <w:tc>
          <w:tcPr>
            <w:tcW w:w="1134" w:type="dxa"/>
          </w:tcPr>
          <w:p w:rsidR="00E00911" w:rsidRPr="009224E7" w:rsidRDefault="00E00911" w:rsidP="00822CC8">
            <w:pPr>
              <w:jc w:val="right"/>
            </w:pPr>
            <w:r w:rsidRPr="009224E7">
              <w:t>8</w:t>
            </w:r>
          </w:p>
        </w:tc>
      </w:tr>
      <w:tr w:rsidR="00E00911" w:rsidTr="00822CC8">
        <w:tc>
          <w:tcPr>
            <w:tcW w:w="2553" w:type="dxa"/>
          </w:tcPr>
          <w:p w:rsidR="00E00911" w:rsidRPr="0095529A" w:rsidRDefault="00E00911" w:rsidP="00822CC8">
            <w:r w:rsidRPr="0095529A">
              <w:t>Percentil 25</w:t>
            </w:r>
          </w:p>
        </w:tc>
        <w:tc>
          <w:tcPr>
            <w:tcW w:w="1134" w:type="dxa"/>
          </w:tcPr>
          <w:p w:rsidR="00E00911" w:rsidRPr="009224E7" w:rsidRDefault="00E00911" w:rsidP="00822CC8">
            <w:pPr>
              <w:jc w:val="right"/>
            </w:pPr>
            <w:r>
              <w:t>5,5</w:t>
            </w:r>
          </w:p>
        </w:tc>
      </w:tr>
      <w:tr w:rsidR="00E00911" w:rsidTr="00822CC8">
        <w:tc>
          <w:tcPr>
            <w:tcW w:w="2553" w:type="dxa"/>
          </w:tcPr>
          <w:p w:rsidR="00E00911" w:rsidRPr="0095529A" w:rsidRDefault="00E00911" w:rsidP="00822CC8">
            <w:r w:rsidRPr="0095529A">
              <w:t>Percentil 75</w:t>
            </w:r>
          </w:p>
        </w:tc>
        <w:tc>
          <w:tcPr>
            <w:tcW w:w="1134" w:type="dxa"/>
          </w:tcPr>
          <w:p w:rsidR="00E00911" w:rsidRPr="009224E7" w:rsidRDefault="00E00911" w:rsidP="00822CC8">
            <w:pPr>
              <w:jc w:val="right"/>
            </w:pPr>
            <w:r>
              <w:t>11</w:t>
            </w:r>
          </w:p>
        </w:tc>
      </w:tr>
      <w:tr w:rsidR="00E00911" w:rsidTr="00822CC8">
        <w:tc>
          <w:tcPr>
            <w:tcW w:w="2553" w:type="dxa"/>
          </w:tcPr>
          <w:p w:rsidR="00E00911" w:rsidRPr="0095529A" w:rsidRDefault="00E00911" w:rsidP="00822CC8">
            <w:proofErr w:type="spellStart"/>
            <w:r w:rsidRPr="0095529A">
              <w:t>Skewness</w:t>
            </w:r>
            <w:proofErr w:type="spellEnd"/>
          </w:p>
        </w:tc>
        <w:tc>
          <w:tcPr>
            <w:tcW w:w="1134" w:type="dxa"/>
          </w:tcPr>
          <w:p w:rsidR="00E00911" w:rsidRPr="009224E7" w:rsidRDefault="00E00911" w:rsidP="00822CC8">
            <w:pPr>
              <w:jc w:val="right"/>
            </w:pPr>
            <w:r w:rsidRPr="00351E86">
              <w:rPr>
                <w:lang w:val="en-US"/>
              </w:rPr>
              <w:t>3</w:t>
            </w:r>
            <w:r>
              <w:rPr>
                <w:lang w:val="en-US"/>
              </w:rPr>
              <w:t>,</w:t>
            </w:r>
            <w:r w:rsidRPr="00351E86">
              <w:rPr>
                <w:lang w:val="en-US"/>
              </w:rPr>
              <w:t>358837</w:t>
            </w:r>
          </w:p>
        </w:tc>
      </w:tr>
      <w:tr w:rsidR="00E00911" w:rsidTr="00822CC8">
        <w:tc>
          <w:tcPr>
            <w:tcW w:w="2553" w:type="dxa"/>
          </w:tcPr>
          <w:p w:rsidR="00E00911" w:rsidRPr="0095529A" w:rsidRDefault="00E00911" w:rsidP="00822CC8">
            <w:proofErr w:type="spellStart"/>
            <w:r w:rsidRPr="0095529A">
              <w:t>Kurtosis</w:t>
            </w:r>
            <w:proofErr w:type="spellEnd"/>
          </w:p>
        </w:tc>
        <w:tc>
          <w:tcPr>
            <w:tcW w:w="1134" w:type="dxa"/>
          </w:tcPr>
          <w:p w:rsidR="00E00911" w:rsidRPr="00351E86" w:rsidRDefault="00E00911" w:rsidP="00822CC8">
            <w:pPr>
              <w:jc w:val="right"/>
              <w:rPr>
                <w:lang w:val="en-US"/>
              </w:rPr>
            </w:pPr>
            <w:r w:rsidRPr="00351E86">
              <w:rPr>
                <w:lang w:val="en-US"/>
              </w:rPr>
              <w:t>15</w:t>
            </w:r>
            <w:r>
              <w:rPr>
                <w:lang w:val="en-US"/>
              </w:rPr>
              <w:t>,</w:t>
            </w:r>
            <w:r w:rsidRPr="00351E86">
              <w:rPr>
                <w:lang w:val="en-US"/>
              </w:rPr>
              <w:t>31429</w:t>
            </w:r>
          </w:p>
        </w:tc>
      </w:tr>
      <w:tr w:rsidR="00E00911" w:rsidTr="00822CC8">
        <w:tc>
          <w:tcPr>
            <w:tcW w:w="2553" w:type="dxa"/>
          </w:tcPr>
          <w:p w:rsidR="00E00911" w:rsidRPr="0095529A" w:rsidRDefault="00E00911" w:rsidP="00822CC8">
            <w:r w:rsidRPr="0095529A">
              <w:t>Media geométrica</w:t>
            </w:r>
          </w:p>
        </w:tc>
        <w:tc>
          <w:tcPr>
            <w:tcW w:w="1134" w:type="dxa"/>
          </w:tcPr>
          <w:p w:rsidR="00E00911" w:rsidRPr="00351E86" w:rsidRDefault="00E00911" w:rsidP="00822CC8">
            <w:pPr>
              <w:jc w:val="right"/>
              <w:rPr>
                <w:lang w:val="en-US"/>
              </w:rPr>
            </w:pPr>
            <w:r w:rsidRPr="00351E86">
              <w:rPr>
                <w:lang w:val="en-US"/>
              </w:rPr>
              <w:t>8</w:t>
            </w:r>
            <w:r>
              <w:rPr>
                <w:lang w:val="en-US"/>
              </w:rPr>
              <w:t>,</w:t>
            </w:r>
            <w:r w:rsidRPr="00351E86">
              <w:rPr>
                <w:lang w:val="en-US"/>
              </w:rPr>
              <w:t>219637</w:t>
            </w:r>
          </w:p>
        </w:tc>
      </w:tr>
      <w:tr w:rsidR="00E00911" w:rsidTr="00822CC8">
        <w:tc>
          <w:tcPr>
            <w:tcW w:w="2553" w:type="dxa"/>
          </w:tcPr>
          <w:p w:rsidR="00E00911" w:rsidRPr="0095529A" w:rsidRDefault="00E00911" w:rsidP="00822CC8">
            <w:r w:rsidRPr="0095529A">
              <w:t>Coeficiente de variación</w:t>
            </w:r>
          </w:p>
        </w:tc>
        <w:tc>
          <w:tcPr>
            <w:tcW w:w="1134" w:type="dxa"/>
          </w:tcPr>
          <w:p w:rsidR="00E00911" w:rsidRPr="00351E86" w:rsidRDefault="00E00911" w:rsidP="00822CC8">
            <w:pPr>
              <w:jc w:val="right"/>
              <w:rPr>
                <w:lang w:val="en-US"/>
              </w:rPr>
            </w:pPr>
            <w:r w:rsidRPr="00D10EDD">
              <w:rPr>
                <w:lang w:val="en-US"/>
              </w:rPr>
              <w:t>79</w:t>
            </w:r>
            <w:r>
              <w:rPr>
                <w:lang w:val="en-US"/>
              </w:rPr>
              <w:t>,</w:t>
            </w:r>
            <w:r w:rsidRPr="00D10EDD">
              <w:rPr>
                <w:lang w:val="en-US"/>
              </w:rPr>
              <w:t>4028</w:t>
            </w:r>
          </w:p>
        </w:tc>
      </w:tr>
    </w:tbl>
    <w:p w:rsidR="00D10EDD" w:rsidRDefault="00D10EDD" w:rsidP="00D10EDD">
      <w:r>
        <w:rPr>
          <w:noProof/>
          <w:lang w:eastAsia="es-AR"/>
        </w:rPr>
        <w:drawing>
          <wp:anchor distT="0" distB="0" distL="114300" distR="114300" simplePos="0" relativeHeight="251659264" behindDoc="0" locked="0" layoutInCell="1" allowOverlap="1">
            <wp:simplePos x="0" y="0"/>
            <wp:positionH relativeFrom="column">
              <wp:posOffset>18415</wp:posOffset>
            </wp:positionH>
            <wp:positionV relativeFrom="paragraph">
              <wp:posOffset>186055</wp:posOffset>
            </wp:positionV>
            <wp:extent cx="2643505" cy="2292350"/>
            <wp:effectExtent l="19050" t="0" r="4445" b="0"/>
            <wp:wrapSquare wrapText="bothSides"/>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6" cstate="print"/>
                    <a:srcRect l="7104" t="14959" r="11398" b="9016"/>
                    <a:stretch>
                      <a:fillRect/>
                    </a:stretch>
                  </pic:blipFill>
                  <pic:spPr bwMode="auto">
                    <a:xfrm>
                      <a:off x="0" y="0"/>
                      <a:ext cx="2643505" cy="2292350"/>
                    </a:xfrm>
                    <a:prstGeom prst="rect">
                      <a:avLst/>
                    </a:prstGeom>
                    <a:noFill/>
                    <a:ln w="9525">
                      <a:noFill/>
                      <a:miter lim="800000"/>
                      <a:headEnd/>
                      <a:tailEnd/>
                    </a:ln>
                  </pic:spPr>
                </pic:pic>
              </a:graphicData>
            </a:graphic>
          </wp:anchor>
        </w:drawing>
      </w:r>
    </w:p>
    <w:p w:rsidR="00D10EDD" w:rsidRDefault="00D10EDD" w:rsidP="00D10EDD">
      <w:pPr>
        <w:spacing w:after="0" w:line="240" w:lineRule="auto"/>
        <w:ind w:right="6144"/>
        <w:rPr>
          <w:lang w:val="pt-BR"/>
        </w:rPr>
      </w:pPr>
    </w:p>
    <w:p w:rsidR="009224E7" w:rsidRDefault="009224E7" w:rsidP="00D36F0C">
      <w:pPr>
        <w:spacing w:line="480" w:lineRule="auto"/>
        <w:jc w:val="both"/>
      </w:pPr>
    </w:p>
    <w:p w:rsidR="00E00911" w:rsidRDefault="00E00911" w:rsidP="00D36F0C">
      <w:pPr>
        <w:spacing w:line="480" w:lineRule="auto"/>
        <w:jc w:val="both"/>
      </w:pPr>
    </w:p>
    <w:p w:rsidR="00E00911" w:rsidRDefault="00E00911" w:rsidP="00D36F0C">
      <w:pPr>
        <w:spacing w:line="480" w:lineRule="auto"/>
        <w:jc w:val="both"/>
      </w:pPr>
    </w:p>
    <w:p w:rsidR="00E00911" w:rsidRDefault="00E00911" w:rsidP="00D36F0C">
      <w:pPr>
        <w:spacing w:line="480" w:lineRule="auto"/>
        <w:jc w:val="both"/>
      </w:pPr>
    </w:p>
    <w:p w:rsidR="00E00911" w:rsidRDefault="00E00911" w:rsidP="00D36F0C">
      <w:pPr>
        <w:spacing w:line="480" w:lineRule="auto"/>
        <w:jc w:val="both"/>
      </w:pPr>
    </w:p>
    <w:p w:rsidR="00E00911" w:rsidRDefault="00E00911" w:rsidP="00E00911">
      <w:r>
        <w:t>Gráfico de caja y estadística descriptiva del largo de los desechos de talla enteros del Holoceno medio.</w:t>
      </w:r>
      <w:r w:rsidR="003F4303">
        <w:t xml:space="preserve"> Medidas expresadas en milímetros.</w:t>
      </w:r>
    </w:p>
    <w:p w:rsidR="00E00911" w:rsidRDefault="00E00911" w:rsidP="00D36F0C">
      <w:pPr>
        <w:spacing w:line="480" w:lineRule="auto"/>
        <w:jc w:val="both"/>
      </w:pPr>
    </w:p>
    <w:p w:rsidR="00AF5E39" w:rsidRDefault="00AF5E39" w:rsidP="00D36F0C">
      <w:pPr>
        <w:spacing w:line="480" w:lineRule="auto"/>
        <w:jc w:val="both"/>
      </w:pPr>
      <w:r>
        <w:t xml:space="preserve">3.2 </w:t>
      </w:r>
      <w:proofErr w:type="spellStart"/>
      <w:r w:rsidRPr="008E692E">
        <w:rPr>
          <w:i/>
        </w:rPr>
        <w:t>Litos</w:t>
      </w:r>
      <w:proofErr w:type="spellEnd"/>
      <w:r w:rsidRPr="008E692E">
        <w:rPr>
          <w:i/>
        </w:rPr>
        <w:t xml:space="preserve"> modificados por uso</w:t>
      </w:r>
    </w:p>
    <w:p w:rsidR="000B34EA" w:rsidRDefault="00AF5E39" w:rsidP="001939E8">
      <w:pPr>
        <w:spacing w:line="480" w:lineRule="auto"/>
      </w:pPr>
      <w:r>
        <w:t>Los</w:t>
      </w:r>
      <w:r w:rsidR="00D36F0C" w:rsidRPr="00D36F0C">
        <w:t xml:space="preserve"> cuatro </w:t>
      </w:r>
      <w:proofErr w:type="spellStart"/>
      <w:r w:rsidR="00D36F0C" w:rsidRPr="00D36F0C">
        <w:t>litos</w:t>
      </w:r>
      <w:proofErr w:type="spellEnd"/>
      <w:r w:rsidR="00D36F0C" w:rsidRPr="00D36F0C">
        <w:t xml:space="preserve"> modificados por uso </w:t>
      </w:r>
      <w:r>
        <w:t xml:space="preserve">son </w:t>
      </w:r>
      <w:r w:rsidRPr="00D36F0C">
        <w:t>de granito</w:t>
      </w:r>
      <w:r w:rsidR="000B34EA">
        <w:t xml:space="preserve"> y </w:t>
      </w:r>
      <w:r w:rsidR="005B3195">
        <w:t xml:space="preserve">a simple vista se observa que </w:t>
      </w:r>
      <w:r w:rsidR="00822CC8">
        <w:t xml:space="preserve">poseen </w:t>
      </w:r>
      <w:r w:rsidR="000B34EA" w:rsidRPr="00D36F0C">
        <w:t>pigmento rojo adherido</w:t>
      </w:r>
      <w:r>
        <w:t xml:space="preserve">. Aunque </w:t>
      </w:r>
      <w:r w:rsidR="005B3195">
        <w:t xml:space="preserve">las piezas </w:t>
      </w:r>
      <w:r>
        <w:t>p</w:t>
      </w:r>
      <w:r w:rsidR="00D36F0C" w:rsidRPr="00D36F0C">
        <w:t xml:space="preserve">rovienen de </w:t>
      </w:r>
      <w:r>
        <w:t>d</w:t>
      </w:r>
      <w:r w:rsidR="00D36F0C" w:rsidRPr="00D36F0C">
        <w:t>os niveles diferentes</w:t>
      </w:r>
      <w:r>
        <w:t xml:space="preserve"> (16 y 17)</w:t>
      </w:r>
      <w:r w:rsidR="00D36F0C" w:rsidRPr="00D36F0C">
        <w:t>, en el plano vertical sólo están separad</w:t>
      </w:r>
      <w:r w:rsidR="005B3195">
        <w:t>a</w:t>
      </w:r>
      <w:r w:rsidR="00D36F0C" w:rsidRPr="00D36F0C">
        <w:t xml:space="preserve">s </w:t>
      </w:r>
      <w:r w:rsidR="000B34EA">
        <w:t xml:space="preserve">como máximo </w:t>
      </w:r>
      <w:r w:rsidR="00D36F0C" w:rsidRPr="00D36F0C">
        <w:t>por 8 cm</w:t>
      </w:r>
      <w:r w:rsidR="000B34EA">
        <w:t>. E</w:t>
      </w:r>
      <w:r>
        <w:t>n</w:t>
      </w:r>
      <w:r w:rsidR="00D36F0C" w:rsidRPr="00D36F0C">
        <w:t xml:space="preserve"> el plano horizontal, l</w:t>
      </w:r>
      <w:r w:rsidR="005B3195">
        <w:t>a</w:t>
      </w:r>
      <w:r w:rsidR="00D36F0C" w:rsidRPr="00D36F0C">
        <w:t xml:space="preserve">s </w:t>
      </w:r>
      <w:r w:rsidR="000B34EA">
        <w:t>d</w:t>
      </w:r>
      <w:r w:rsidR="00D36F0C" w:rsidRPr="00D36F0C">
        <w:t xml:space="preserve">el nivel 16 </w:t>
      </w:r>
      <w:r w:rsidR="000B34EA">
        <w:t>distan</w:t>
      </w:r>
      <w:r w:rsidR="00D36F0C" w:rsidRPr="00D36F0C">
        <w:t xml:space="preserve"> 15 cm un</w:t>
      </w:r>
      <w:r w:rsidR="005B3195">
        <w:t>a</w:t>
      </w:r>
      <w:r w:rsidR="00D36F0C" w:rsidRPr="00D36F0C">
        <w:t xml:space="preserve"> de otr</w:t>
      </w:r>
      <w:r w:rsidR="005B3195">
        <w:t>a</w:t>
      </w:r>
      <w:r w:rsidR="000B34EA">
        <w:t xml:space="preserve"> y l</w:t>
      </w:r>
      <w:r w:rsidR="005B3195">
        <w:t xml:space="preserve">as del nivel 17 están separadas </w:t>
      </w:r>
      <w:r w:rsidR="000B34EA">
        <w:t>40 cm (</w:t>
      </w:r>
      <w:r w:rsidR="00142A4C" w:rsidRPr="00A56913">
        <w:t xml:space="preserve">Tabla Suplementaria </w:t>
      </w:r>
      <w:r w:rsidR="005E06AE">
        <w:t>4</w:t>
      </w:r>
      <w:r w:rsidR="000B34EA">
        <w:t>)</w:t>
      </w:r>
      <w:r w:rsidR="00D36F0C" w:rsidRPr="00D36F0C">
        <w:t>.</w:t>
      </w:r>
    </w:p>
    <w:p w:rsidR="000B34EA" w:rsidRDefault="00CC22ED" w:rsidP="001939E8">
      <w:pPr>
        <w:spacing w:line="480" w:lineRule="auto"/>
      </w:pPr>
      <w:r>
        <w:t xml:space="preserve">Pieza </w:t>
      </w:r>
      <w:r w:rsidR="00D36F0C" w:rsidRPr="00D36F0C">
        <w:t>1124</w:t>
      </w:r>
      <w:r w:rsidR="005B3195">
        <w:t>:</w:t>
      </w:r>
      <w:r w:rsidR="00D36F0C" w:rsidRPr="00D36F0C">
        <w:t xml:space="preserve"> es </w:t>
      </w:r>
      <w:proofErr w:type="spellStart"/>
      <w:r w:rsidR="00D36F0C" w:rsidRPr="00D36F0C">
        <w:t>subesféric</w:t>
      </w:r>
      <w:r w:rsidR="005B3195">
        <w:t>o</w:t>
      </w:r>
      <w:proofErr w:type="spellEnd"/>
      <w:r w:rsidR="005B3195">
        <w:t xml:space="preserve"> aplanado, con </w:t>
      </w:r>
      <w:r w:rsidR="00D36F0C" w:rsidRPr="00D36F0C">
        <w:t>manchas de pigmento</w:t>
      </w:r>
      <w:r w:rsidR="000B34EA">
        <w:t xml:space="preserve"> </w:t>
      </w:r>
      <w:r w:rsidR="005B3195">
        <w:t xml:space="preserve">que </w:t>
      </w:r>
      <w:r w:rsidR="000B34EA">
        <w:t>se disponen en ambos extremos.</w:t>
      </w:r>
    </w:p>
    <w:p w:rsidR="000B34EA" w:rsidRDefault="00CC22ED" w:rsidP="001939E8">
      <w:pPr>
        <w:spacing w:line="480" w:lineRule="auto"/>
      </w:pPr>
      <w:r>
        <w:t xml:space="preserve">Pieza </w:t>
      </w:r>
      <w:r w:rsidR="00D36F0C" w:rsidRPr="00D36F0C">
        <w:t>1128</w:t>
      </w:r>
      <w:r w:rsidR="005B3195">
        <w:t>:</w:t>
      </w:r>
      <w:r w:rsidR="00D36F0C" w:rsidRPr="00D36F0C">
        <w:t xml:space="preserve"> tiene forma elipsoidal aplanada, cerca de un tercio de su superficie presenta pérdida de masa y el pigmento se encuentra distribuido en uno de los extremos y parte de la superficie. </w:t>
      </w:r>
      <w:r w:rsidR="000B34EA">
        <w:t xml:space="preserve">Como ya se señaló en el manuscrito, </w:t>
      </w:r>
      <w:r w:rsidR="005B3195">
        <w:t xml:space="preserve">por </w:t>
      </w:r>
      <w:r w:rsidR="0037722F">
        <w:t>f</w:t>
      </w:r>
      <w:r w:rsidR="005B3195">
        <w:t xml:space="preserve">luorescencia de </w:t>
      </w:r>
      <w:r w:rsidR="0037722F">
        <w:t>r</w:t>
      </w:r>
      <w:r w:rsidR="005B3195">
        <w:t xml:space="preserve">ayos X </w:t>
      </w:r>
      <w:r w:rsidR="000B34EA" w:rsidRPr="00D36F0C">
        <w:t xml:space="preserve">se determinó la presencia de carbón y </w:t>
      </w:r>
      <w:proofErr w:type="spellStart"/>
      <w:r w:rsidR="000B34EA" w:rsidRPr="00D36F0C">
        <w:t>hematita</w:t>
      </w:r>
      <w:proofErr w:type="spellEnd"/>
      <w:r w:rsidR="000B34EA">
        <w:t xml:space="preserve"> </w:t>
      </w:r>
      <w:r w:rsidR="00D36F0C" w:rsidRPr="00D36F0C">
        <w:t>adherido</w:t>
      </w:r>
      <w:r w:rsidR="000B34EA">
        <w:t>s</w:t>
      </w:r>
      <w:r w:rsidR="00D36F0C" w:rsidRPr="00D36F0C">
        <w:t>.</w:t>
      </w:r>
    </w:p>
    <w:p w:rsidR="000B34EA" w:rsidRDefault="00CC22ED" w:rsidP="001939E8">
      <w:pPr>
        <w:spacing w:line="480" w:lineRule="auto"/>
      </w:pPr>
      <w:r>
        <w:lastRenderedPageBreak/>
        <w:t xml:space="preserve">Pieza </w:t>
      </w:r>
      <w:r w:rsidR="00D36F0C" w:rsidRPr="00D36F0C">
        <w:t>796</w:t>
      </w:r>
      <w:r w:rsidR="005B3195">
        <w:t>:</w:t>
      </w:r>
      <w:r w:rsidR="00D36F0C" w:rsidRPr="00D36F0C">
        <w:t xml:space="preserve"> es </w:t>
      </w:r>
      <w:r w:rsidR="005B3195">
        <w:t>e</w:t>
      </w:r>
      <w:r w:rsidR="00D36F0C" w:rsidRPr="00D36F0C">
        <w:t>l más pequeñ</w:t>
      </w:r>
      <w:r w:rsidR="005B3195">
        <w:t>o de lo</w:t>
      </w:r>
      <w:r w:rsidR="00D36F0C" w:rsidRPr="00D36F0C">
        <w:t xml:space="preserve">s cuatro, </w:t>
      </w:r>
      <w:r w:rsidR="005B3195">
        <w:t xml:space="preserve">tienen </w:t>
      </w:r>
      <w:r w:rsidR="00D36F0C" w:rsidRPr="00D36F0C">
        <w:t>forma esférica y presenta manchas pigmentarias en dos lados opuestos.</w:t>
      </w:r>
    </w:p>
    <w:p w:rsidR="000B34EA" w:rsidRDefault="00CC22ED" w:rsidP="001939E8">
      <w:pPr>
        <w:spacing w:line="480" w:lineRule="auto"/>
      </w:pPr>
      <w:r>
        <w:t xml:space="preserve">Pieza </w:t>
      </w:r>
      <w:r w:rsidR="00D36F0C" w:rsidRPr="00D36F0C">
        <w:t>1132</w:t>
      </w:r>
      <w:r w:rsidR="005B3195">
        <w:t>:</w:t>
      </w:r>
      <w:r w:rsidR="000B34EA">
        <w:t xml:space="preserve"> es</w:t>
      </w:r>
      <w:r w:rsidR="00D36F0C" w:rsidRPr="00D36F0C">
        <w:t xml:space="preserve"> de forma elipsoidal</w:t>
      </w:r>
      <w:r w:rsidR="000B34EA">
        <w:t xml:space="preserve"> y</w:t>
      </w:r>
      <w:r w:rsidR="005B3195">
        <w:t xml:space="preserve"> fue hallado</w:t>
      </w:r>
      <w:r w:rsidR="00D36F0C" w:rsidRPr="00D36F0C">
        <w:t xml:space="preserve"> sobre una acumulación de cenizas y pequeños carbones. La ceniza enmasca</w:t>
      </w:r>
      <w:r w:rsidR="000B34EA">
        <w:t>ra</w:t>
      </w:r>
      <w:r w:rsidR="00D36F0C" w:rsidRPr="00D36F0C">
        <w:t xml:space="preserve"> un sector que presenta pigmento rojo adherido</w:t>
      </w:r>
      <w:r w:rsidR="005B3195">
        <w:t>,</w:t>
      </w:r>
      <w:r w:rsidR="00D36F0C" w:rsidRPr="00D36F0C">
        <w:t xml:space="preserve"> que se extiende desde uno de los extremos y a lo largo de un borde</w:t>
      </w:r>
      <w:r w:rsidR="000B34EA">
        <w:t>.</w:t>
      </w:r>
      <w:r w:rsidR="00D36F0C" w:rsidRPr="00D36F0C">
        <w:t xml:space="preserve"> </w:t>
      </w:r>
      <w:r w:rsidR="000B34EA" w:rsidRPr="00D36F0C">
        <w:t xml:space="preserve">También </w:t>
      </w:r>
      <w:r w:rsidR="00D36F0C" w:rsidRPr="00D36F0C">
        <w:t>posee manchas de carbón en las distintas caras.</w:t>
      </w:r>
    </w:p>
    <w:p w:rsidR="00D36F0C" w:rsidRPr="00D36F0C" w:rsidRDefault="00D36F0C" w:rsidP="001939E8">
      <w:pPr>
        <w:spacing w:line="480" w:lineRule="auto"/>
      </w:pPr>
      <w:r w:rsidRPr="00D36F0C">
        <w:t>En los cuatro casos la aplicación del programa</w:t>
      </w:r>
      <w:r w:rsidR="00276CE4">
        <w:t xml:space="preserve"> </w:t>
      </w:r>
      <w:proofErr w:type="spellStart"/>
      <w:r w:rsidR="00276CE4" w:rsidRPr="00DF09D6">
        <w:rPr>
          <w:i/>
          <w:color w:val="000000"/>
        </w:rPr>
        <w:t>Dstretch-ImageJ</w:t>
      </w:r>
      <w:proofErr w:type="spellEnd"/>
      <w:r w:rsidR="00276CE4">
        <w:rPr>
          <w:color w:val="000000"/>
        </w:rPr>
        <w:t xml:space="preserve"> (</w:t>
      </w:r>
      <w:proofErr w:type="spellStart"/>
      <w:r w:rsidR="00276CE4">
        <w:rPr>
          <w:color w:val="000000"/>
        </w:rPr>
        <w:t>DecorrelationStretch</w:t>
      </w:r>
      <w:proofErr w:type="spellEnd"/>
      <w:r w:rsidR="00276CE4">
        <w:rPr>
          <w:color w:val="000000"/>
        </w:rPr>
        <w:t>) (Harman 2008 [2005])</w:t>
      </w:r>
      <w:r w:rsidRPr="00D36F0C">
        <w:t xml:space="preserve"> sobre fotografías de distintos planos de las piezas mostró una mayor extensión de la coloración rojiza que lo que puede verse a simple vista</w:t>
      </w:r>
      <w:r w:rsidR="000B34EA">
        <w:t xml:space="preserve"> (Figura Suplementaria 2)</w:t>
      </w:r>
      <w:r w:rsidRPr="00D36F0C">
        <w:t>.</w:t>
      </w:r>
    </w:p>
    <w:p w:rsidR="008246FF" w:rsidRDefault="008246FF" w:rsidP="008A4B7A">
      <w:pPr>
        <w:spacing w:line="480" w:lineRule="auto"/>
        <w:jc w:val="both"/>
      </w:pPr>
    </w:p>
    <w:p w:rsidR="008246FF" w:rsidRDefault="008246FF" w:rsidP="008A4B7A">
      <w:pPr>
        <w:spacing w:line="480" w:lineRule="auto"/>
        <w:jc w:val="both"/>
      </w:pPr>
      <w:r>
        <w:t>3.</w:t>
      </w:r>
      <w:r w:rsidR="000B34EA">
        <w:t>3</w:t>
      </w:r>
      <w:r>
        <w:t xml:space="preserve"> </w:t>
      </w:r>
      <w:r w:rsidRPr="008E692E">
        <w:rPr>
          <w:i/>
        </w:rPr>
        <w:t>Caracterización de los artefactos óseos</w:t>
      </w:r>
    </w:p>
    <w:p w:rsidR="008246FF" w:rsidRDefault="008246FF" w:rsidP="00D81B3C">
      <w:pPr>
        <w:spacing w:line="480" w:lineRule="auto"/>
      </w:pPr>
      <w:r>
        <w:t>Holoceno temprano</w:t>
      </w:r>
      <w:r w:rsidR="00822CC8">
        <w:t>:</w:t>
      </w:r>
    </w:p>
    <w:p w:rsidR="008246FF" w:rsidRDefault="00CC22ED" w:rsidP="00D81B3C">
      <w:pPr>
        <w:spacing w:line="480" w:lineRule="auto"/>
        <w:rPr>
          <w:lang w:val="es-ES"/>
        </w:rPr>
      </w:pPr>
      <w:r>
        <w:t xml:space="preserve">Pieza </w:t>
      </w:r>
      <w:r w:rsidR="008246FF" w:rsidRPr="00B61093">
        <w:t>1192</w:t>
      </w:r>
      <w:r w:rsidR="00822CC8">
        <w:t>:</w:t>
      </w:r>
      <w:r w:rsidR="008246FF">
        <w:t xml:space="preserve"> está </w:t>
      </w:r>
      <w:r w:rsidR="008246FF" w:rsidRPr="00581D15">
        <w:rPr>
          <w:lang w:val="es-ES"/>
        </w:rPr>
        <w:t>confeccionad</w:t>
      </w:r>
      <w:r w:rsidR="00822CC8">
        <w:rPr>
          <w:lang w:val="es-ES"/>
        </w:rPr>
        <w:t>o</w:t>
      </w:r>
      <w:r w:rsidR="008246FF" w:rsidRPr="00581D15">
        <w:rPr>
          <w:lang w:val="es-ES"/>
        </w:rPr>
        <w:t xml:space="preserve"> sobre la porción proximal de una tibia de </w:t>
      </w:r>
      <w:proofErr w:type="spellStart"/>
      <w:r w:rsidR="002828F5" w:rsidRPr="002828F5">
        <w:rPr>
          <w:lang w:val="es-ES"/>
        </w:rPr>
        <w:t>Canidae</w:t>
      </w:r>
      <w:proofErr w:type="spellEnd"/>
      <w:r w:rsidR="008246FF" w:rsidRPr="00581D15">
        <w:rPr>
          <w:lang w:val="es-ES"/>
        </w:rPr>
        <w:t>, muy probablemente de zorro</w:t>
      </w:r>
      <w:r w:rsidR="008246FF">
        <w:rPr>
          <w:lang w:val="es-ES"/>
        </w:rPr>
        <w:t>. S</w:t>
      </w:r>
      <w:r w:rsidR="008246FF" w:rsidRPr="00581D15">
        <w:t xml:space="preserve">i bien carece de </w:t>
      </w:r>
      <w:r w:rsidR="008246FF" w:rsidRPr="00581D15">
        <w:rPr>
          <w:lang w:val="es-ES"/>
        </w:rPr>
        <w:t>la porción distal, posee bordes que tienden a ser convergentes,</w:t>
      </w:r>
      <w:r w:rsidR="008246FF" w:rsidRPr="00581D15">
        <w:t xml:space="preserve"> correspondiendo a la morfología </w:t>
      </w:r>
      <w:r w:rsidR="008246FF" w:rsidRPr="00581D15">
        <w:rPr>
          <w:lang w:val="es-ES"/>
        </w:rPr>
        <w:t>punta. Presenta una huella de corte debajo de la epífisis que podría interpretarse como de desarticulación, junto con otras huellas dispuestas de manera oblicua y longitudinal al eje mayor del hueso, que podrían ser resultado del uso del instrumento. Además, todo el contorno de la diáfisis y el fondo del canal medular presentan las superficies sedosas y brillantes</w:t>
      </w:r>
      <w:r w:rsidR="008246FF">
        <w:rPr>
          <w:lang w:val="es-ES"/>
        </w:rPr>
        <w:t xml:space="preserve"> (Figura 5a)</w:t>
      </w:r>
      <w:r w:rsidR="000B34EA">
        <w:rPr>
          <w:lang w:val="es-ES"/>
        </w:rPr>
        <w:t>.</w:t>
      </w:r>
    </w:p>
    <w:p w:rsidR="008246FF" w:rsidRDefault="00CC22ED" w:rsidP="00D81B3C">
      <w:pPr>
        <w:spacing w:line="480" w:lineRule="auto"/>
        <w:rPr>
          <w:lang w:val="es-ES"/>
        </w:rPr>
      </w:pPr>
      <w:r>
        <w:t xml:space="preserve">Pieza </w:t>
      </w:r>
      <w:r w:rsidR="008246FF" w:rsidRPr="00B61093">
        <w:t>1141</w:t>
      </w:r>
      <w:r w:rsidR="00822CC8">
        <w:t>:</w:t>
      </w:r>
      <w:r w:rsidR="008246FF">
        <w:t xml:space="preserve"> es una</w:t>
      </w:r>
      <w:r w:rsidR="008246FF" w:rsidRPr="00581D15">
        <w:t xml:space="preserve"> punta</w:t>
      </w:r>
      <w:r w:rsidR="008246FF" w:rsidRPr="00581D15">
        <w:rPr>
          <w:lang w:val="es-ES"/>
        </w:rPr>
        <w:t xml:space="preserve"> realizada sobre la diáfisis proximal de una tibia de un vertebrado pequeño</w:t>
      </w:r>
      <w:r w:rsidR="008246FF">
        <w:rPr>
          <w:lang w:val="es-ES"/>
        </w:rPr>
        <w:t xml:space="preserve"> (Figura 5</w:t>
      </w:r>
      <w:r w:rsidR="008246FF" w:rsidRPr="00A2787A">
        <w:rPr>
          <w:lang w:val="es-ES"/>
        </w:rPr>
        <w:t>b</w:t>
      </w:r>
      <w:r w:rsidR="008246FF">
        <w:rPr>
          <w:lang w:val="es-ES"/>
        </w:rPr>
        <w:t>).</w:t>
      </w:r>
    </w:p>
    <w:p w:rsidR="008246FF" w:rsidRDefault="00CC22ED" w:rsidP="00D81B3C">
      <w:pPr>
        <w:spacing w:line="480" w:lineRule="auto"/>
        <w:rPr>
          <w:lang w:val="es-ES"/>
        </w:rPr>
      </w:pPr>
      <w:r>
        <w:rPr>
          <w:lang w:val="es-ES"/>
        </w:rPr>
        <w:lastRenderedPageBreak/>
        <w:t xml:space="preserve">Pieza </w:t>
      </w:r>
      <w:r w:rsidR="008246FF">
        <w:rPr>
          <w:lang w:val="es-ES"/>
        </w:rPr>
        <w:t>1151</w:t>
      </w:r>
      <w:r w:rsidR="00822CC8">
        <w:rPr>
          <w:lang w:val="es-ES"/>
        </w:rPr>
        <w:t>:</w:t>
      </w:r>
      <w:r w:rsidR="008246FF">
        <w:rPr>
          <w:lang w:val="es-ES"/>
        </w:rPr>
        <w:t xml:space="preserve"> es una </w:t>
      </w:r>
      <w:r w:rsidR="008246FF" w:rsidRPr="00581D15">
        <w:rPr>
          <w:lang w:val="es-ES"/>
        </w:rPr>
        <w:t xml:space="preserve">punta elaborada sobre </w:t>
      </w:r>
      <w:r w:rsidR="008246FF">
        <w:rPr>
          <w:lang w:val="es-ES"/>
        </w:rPr>
        <w:t xml:space="preserve">un </w:t>
      </w:r>
      <w:r w:rsidR="008246FF" w:rsidRPr="00581D15">
        <w:rPr>
          <w:lang w:val="es-ES"/>
        </w:rPr>
        <w:t xml:space="preserve">hueso de vertebrado de tamaño mediano-grande. </w:t>
      </w:r>
      <w:r w:rsidR="008246FF">
        <w:rPr>
          <w:lang w:val="es-ES"/>
        </w:rPr>
        <w:t xml:space="preserve">Esta </w:t>
      </w:r>
      <w:r w:rsidR="008246FF" w:rsidRPr="00581D15">
        <w:rPr>
          <w:lang w:val="es-ES"/>
        </w:rPr>
        <w:t>pie</w:t>
      </w:r>
      <w:r w:rsidR="008246FF">
        <w:rPr>
          <w:lang w:val="es-ES"/>
        </w:rPr>
        <w:t>z</w:t>
      </w:r>
      <w:r w:rsidR="008246FF" w:rsidRPr="00581D15">
        <w:rPr>
          <w:lang w:val="es-ES"/>
        </w:rPr>
        <w:t>a está completa y fue fabricada sobre un segmento de tejido cortical de unos 14 c</w:t>
      </w:r>
      <w:r w:rsidR="008246FF">
        <w:rPr>
          <w:lang w:val="es-ES"/>
        </w:rPr>
        <w:t>m</w:t>
      </w:r>
      <w:r w:rsidR="008246FF" w:rsidRPr="00581D15">
        <w:rPr>
          <w:lang w:val="es-ES"/>
        </w:rPr>
        <w:t xml:space="preserve"> de largo y combina un extremo romo y otro aguzad</w:t>
      </w:r>
      <w:r w:rsidR="008246FF">
        <w:rPr>
          <w:lang w:val="es-ES"/>
        </w:rPr>
        <w:t>o. Este último presenta numeroso</w:t>
      </w:r>
      <w:r w:rsidR="008246FF" w:rsidRPr="00581D15">
        <w:rPr>
          <w:lang w:val="es-ES"/>
        </w:rPr>
        <w:t xml:space="preserve">s </w:t>
      </w:r>
      <w:r w:rsidR="008246FF">
        <w:rPr>
          <w:lang w:val="es-ES"/>
        </w:rPr>
        <w:t>surcos</w:t>
      </w:r>
      <w:r w:rsidR="008246FF" w:rsidRPr="00581D15">
        <w:rPr>
          <w:lang w:val="es-ES"/>
        </w:rPr>
        <w:t xml:space="preserve"> rodean</w:t>
      </w:r>
      <w:r w:rsidR="008246FF">
        <w:rPr>
          <w:lang w:val="es-ES"/>
        </w:rPr>
        <w:t>do</w:t>
      </w:r>
      <w:r w:rsidR="008246FF" w:rsidRPr="00581D15">
        <w:rPr>
          <w:lang w:val="es-ES"/>
        </w:rPr>
        <w:t xml:space="preserve"> la circunferencia de la punta, huellas que podrían ser el resultado de un movimiento rotatorio</w:t>
      </w:r>
      <w:r w:rsidR="008246FF">
        <w:rPr>
          <w:lang w:val="es-ES"/>
        </w:rPr>
        <w:t xml:space="preserve"> (</w:t>
      </w:r>
      <w:r w:rsidR="008246FF" w:rsidRPr="00A2787A">
        <w:rPr>
          <w:lang w:val="es-ES"/>
        </w:rPr>
        <w:t xml:space="preserve">Figura </w:t>
      </w:r>
      <w:r w:rsidR="008246FF">
        <w:t>5</w:t>
      </w:r>
      <w:r w:rsidR="008246FF" w:rsidRPr="00A2787A">
        <w:t>c</w:t>
      </w:r>
      <w:r w:rsidR="008246FF">
        <w:t>)</w:t>
      </w:r>
      <w:r w:rsidR="008246FF" w:rsidRPr="00581D15">
        <w:rPr>
          <w:lang w:val="es-ES"/>
        </w:rPr>
        <w:t>.</w:t>
      </w:r>
    </w:p>
    <w:p w:rsidR="008246FF" w:rsidRDefault="00CC22ED" w:rsidP="00D81B3C">
      <w:pPr>
        <w:spacing w:line="480" w:lineRule="auto"/>
        <w:rPr>
          <w:lang w:val="es-ES"/>
        </w:rPr>
      </w:pPr>
      <w:r>
        <w:rPr>
          <w:lang w:val="es-ES"/>
        </w:rPr>
        <w:t xml:space="preserve">Pieza </w:t>
      </w:r>
      <w:r w:rsidR="008246FF" w:rsidRPr="00B61093">
        <w:rPr>
          <w:lang w:val="es-ES"/>
        </w:rPr>
        <w:t>1168</w:t>
      </w:r>
      <w:r w:rsidR="00822CC8">
        <w:rPr>
          <w:lang w:val="es-ES"/>
        </w:rPr>
        <w:t>:</w:t>
      </w:r>
      <w:r w:rsidR="008246FF" w:rsidRPr="00581D15">
        <w:rPr>
          <w:lang w:val="es-ES"/>
        </w:rPr>
        <w:t xml:space="preserve"> es una punta con forma de triángulo isósceles </w:t>
      </w:r>
      <w:proofErr w:type="gramStart"/>
      <w:r w:rsidR="008246FF" w:rsidRPr="00581D15">
        <w:rPr>
          <w:lang w:val="es-ES"/>
        </w:rPr>
        <w:t>confeccionada</w:t>
      </w:r>
      <w:proofErr w:type="gramEnd"/>
      <w:r w:rsidR="008246FF" w:rsidRPr="00581D15">
        <w:rPr>
          <w:lang w:val="es-ES"/>
        </w:rPr>
        <w:t xml:space="preserve"> sobre una sección de tejido cortical de unos </w:t>
      </w:r>
      <w:r w:rsidR="008246FF" w:rsidRPr="00B61093">
        <w:rPr>
          <w:lang w:val="es-ES"/>
        </w:rPr>
        <w:t xml:space="preserve">4 </w:t>
      </w:r>
      <w:r w:rsidR="008246FF">
        <w:rPr>
          <w:lang w:val="es-ES"/>
        </w:rPr>
        <w:t>mm</w:t>
      </w:r>
      <w:r w:rsidR="008246FF" w:rsidRPr="00581D15">
        <w:rPr>
          <w:lang w:val="es-ES"/>
        </w:rPr>
        <w:t xml:space="preserve"> de espesor, principal indicio del tamaño del hueso soporte</w:t>
      </w:r>
      <w:r w:rsidR="008246FF">
        <w:rPr>
          <w:lang w:val="es-ES"/>
        </w:rPr>
        <w:t xml:space="preserve"> (vertebrado mediano-grande)</w:t>
      </w:r>
      <w:r w:rsidR="008246FF" w:rsidRPr="00581D15">
        <w:rPr>
          <w:lang w:val="es-ES"/>
        </w:rPr>
        <w:t>. En esta pieza destaca la presencia sobre ambas caras de pequeñas depresiones circulares, de tamaño regular, que se disponen siguiendo un zigzag y que conforman un patrón decorativo de tipo geométrico. Cerca del ápice los círculos están desgastados, indicando que el uso afectó la decoración de la pieza</w:t>
      </w:r>
      <w:r w:rsidR="008246FF">
        <w:rPr>
          <w:lang w:val="es-ES"/>
        </w:rPr>
        <w:t xml:space="preserve"> (Figura 5d)</w:t>
      </w:r>
      <w:r w:rsidR="008246FF" w:rsidRPr="00581D15">
        <w:rPr>
          <w:lang w:val="es-ES"/>
        </w:rPr>
        <w:t>.</w:t>
      </w:r>
    </w:p>
    <w:p w:rsidR="008246FF" w:rsidRDefault="00CC22ED" w:rsidP="00D81B3C">
      <w:pPr>
        <w:spacing w:line="480" w:lineRule="auto"/>
        <w:rPr>
          <w:lang w:val="es-ES"/>
        </w:rPr>
      </w:pPr>
      <w:r>
        <w:rPr>
          <w:lang w:val="es-ES"/>
        </w:rPr>
        <w:t xml:space="preserve">Pieza </w:t>
      </w:r>
      <w:r w:rsidR="008246FF" w:rsidRPr="00B61093">
        <w:rPr>
          <w:lang w:val="es-ES"/>
        </w:rPr>
        <w:t>1169</w:t>
      </w:r>
      <w:r w:rsidR="00822CC8">
        <w:rPr>
          <w:lang w:val="es-ES"/>
        </w:rPr>
        <w:t>:</w:t>
      </w:r>
      <w:r w:rsidR="008246FF" w:rsidRPr="00581D15">
        <w:rPr>
          <w:lang w:val="es-ES"/>
        </w:rPr>
        <w:t xml:space="preserve"> corresponde a un bisel realizado sobre un fragmento de diáfisis proximal de tibia de ungulado</w:t>
      </w:r>
      <w:r w:rsidR="008246FF">
        <w:rPr>
          <w:lang w:val="es-ES"/>
        </w:rPr>
        <w:t xml:space="preserve"> cuyo</w:t>
      </w:r>
      <w:r w:rsidR="008246FF" w:rsidRPr="00581D15">
        <w:rPr>
          <w:lang w:val="es-ES"/>
        </w:rPr>
        <w:t xml:space="preserve"> tamaño </w:t>
      </w:r>
      <w:r w:rsidR="008246FF">
        <w:rPr>
          <w:lang w:val="es-ES"/>
        </w:rPr>
        <w:t xml:space="preserve">entra dentro </w:t>
      </w:r>
      <w:r w:rsidR="008246FF" w:rsidRPr="00581D15">
        <w:rPr>
          <w:lang w:val="es-ES"/>
        </w:rPr>
        <w:t>de</w:t>
      </w:r>
      <w:r w:rsidR="008246FF">
        <w:rPr>
          <w:lang w:val="es-ES"/>
        </w:rPr>
        <w:t xml:space="preserve">l rango del </w:t>
      </w:r>
      <w:r w:rsidR="008246FF" w:rsidRPr="00581D15">
        <w:rPr>
          <w:lang w:val="es-ES"/>
        </w:rPr>
        <w:t>guanaco (</w:t>
      </w:r>
      <w:r w:rsidR="008246FF" w:rsidRPr="00581D15">
        <w:rPr>
          <w:i/>
          <w:iCs/>
          <w:lang w:val="es-ES"/>
        </w:rPr>
        <w:t xml:space="preserve">Lama </w:t>
      </w:r>
      <w:proofErr w:type="spellStart"/>
      <w:r w:rsidR="008246FF" w:rsidRPr="00581D15">
        <w:rPr>
          <w:i/>
          <w:iCs/>
          <w:lang w:val="es-ES"/>
        </w:rPr>
        <w:t>guanicoe</w:t>
      </w:r>
      <w:proofErr w:type="spellEnd"/>
      <w:r w:rsidR="008246FF" w:rsidRPr="00581D15">
        <w:rPr>
          <w:lang w:val="es-ES"/>
        </w:rPr>
        <w:t xml:space="preserve">) o </w:t>
      </w:r>
      <w:r w:rsidR="008246FF">
        <w:rPr>
          <w:lang w:val="es-ES"/>
        </w:rPr>
        <w:t xml:space="preserve">del </w:t>
      </w:r>
      <w:r w:rsidR="008246FF" w:rsidRPr="00581D15">
        <w:rPr>
          <w:lang w:val="es-ES"/>
        </w:rPr>
        <w:t>huemul. Los bordes del canal medular y el extremo del bisel, ubicado en la porción distal de la diáfisis, presentan la superficie sedosa y brillosa, así como numerosas incisiones semejantes a huellas de corte, de longitud, orientación y profundidad variable</w:t>
      </w:r>
      <w:r w:rsidR="008246FF">
        <w:rPr>
          <w:lang w:val="es-ES"/>
        </w:rPr>
        <w:t xml:space="preserve"> (</w:t>
      </w:r>
      <w:r w:rsidR="008246FF" w:rsidRPr="00A2787A">
        <w:rPr>
          <w:lang w:val="es-ES"/>
        </w:rPr>
        <w:t xml:space="preserve">Figura </w:t>
      </w:r>
      <w:r w:rsidR="008246FF">
        <w:rPr>
          <w:lang w:val="es-ES"/>
        </w:rPr>
        <w:t>5</w:t>
      </w:r>
      <w:r w:rsidR="008246FF" w:rsidRPr="00A2787A">
        <w:rPr>
          <w:lang w:val="es-ES"/>
        </w:rPr>
        <w:t>e</w:t>
      </w:r>
      <w:r w:rsidR="008246FF" w:rsidRPr="00581D15">
        <w:rPr>
          <w:lang w:val="es-ES"/>
        </w:rPr>
        <w:t>).</w:t>
      </w:r>
    </w:p>
    <w:p w:rsidR="008246FF" w:rsidRDefault="008246FF" w:rsidP="008246FF">
      <w:pPr>
        <w:spacing w:line="480" w:lineRule="auto"/>
        <w:jc w:val="both"/>
        <w:rPr>
          <w:lang w:val="es-ES"/>
        </w:rPr>
      </w:pPr>
      <w:r>
        <w:rPr>
          <w:lang w:val="es-ES"/>
        </w:rPr>
        <w:t>Holoceno medio:</w:t>
      </w:r>
    </w:p>
    <w:p w:rsidR="008246FF" w:rsidRDefault="00CC22ED" w:rsidP="00D81B3C">
      <w:pPr>
        <w:spacing w:line="480" w:lineRule="auto"/>
        <w:rPr>
          <w:lang w:val="es-ES"/>
        </w:rPr>
      </w:pPr>
      <w:r>
        <w:rPr>
          <w:lang w:val="es-ES"/>
        </w:rPr>
        <w:t xml:space="preserve">Pieza </w:t>
      </w:r>
      <w:r w:rsidR="008246FF" w:rsidRPr="00B61093">
        <w:rPr>
          <w:lang w:val="es-ES"/>
        </w:rPr>
        <w:t>1121</w:t>
      </w:r>
      <w:r w:rsidR="00822CC8">
        <w:rPr>
          <w:lang w:val="es-ES"/>
        </w:rPr>
        <w:t>:</w:t>
      </w:r>
      <w:r w:rsidR="008246FF">
        <w:rPr>
          <w:lang w:val="es-ES"/>
        </w:rPr>
        <w:t xml:space="preserve"> es</w:t>
      </w:r>
      <w:r w:rsidR="008246FF" w:rsidRPr="00581D15">
        <w:rPr>
          <w:lang w:val="es-ES"/>
        </w:rPr>
        <w:t xml:space="preserve"> una punta realizada sobre un hueso largo de un pequeño vertebrado (</w:t>
      </w:r>
      <w:r w:rsidR="008246FF" w:rsidRPr="00A2787A">
        <w:rPr>
          <w:lang w:val="es-ES"/>
        </w:rPr>
        <w:t xml:space="preserve">Figura </w:t>
      </w:r>
      <w:r w:rsidR="008246FF">
        <w:rPr>
          <w:lang w:val="es-ES"/>
        </w:rPr>
        <w:t>7a</w:t>
      </w:r>
      <w:r w:rsidR="008246FF" w:rsidRPr="00581D15">
        <w:rPr>
          <w:lang w:val="es-ES"/>
        </w:rPr>
        <w:t>)</w:t>
      </w:r>
      <w:r w:rsidR="008246FF">
        <w:rPr>
          <w:lang w:val="es-ES"/>
        </w:rPr>
        <w:t>.</w:t>
      </w:r>
    </w:p>
    <w:p w:rsidR="008246FF" w:rsidRDefault="00CC22ED" w:rsidP="00D81B3C">
      <w:pPr>
        <w:spacing w:line="480" w:lineRule="auto"/>
        <w:rPr>
          <w:lang w:val="es-ES"/>
        </w:rPr>
      </w:pPr>
      <w:r>
        <w:rPr>
          <w:lang w:val="es-ES"/>
        </w:rPr>
        <w:t xml:space="preserve">Pieza </w:t>
      </w:r>
      <w:r w:rsidR="008246FF">
        <w:rPr>
          <w:lang w:val="es-ES"/>
        </w:rPr>
        <w:t>790</w:t>
      </w:r>
      <w:r w:rsidR="00822CC8">
        <w:rPr>
          <w:lang w:val="es-ES"/>
        </w:rPr>
        <w:t>:</w:t>
      </w:r>
      <w:r w:rsidR="008246FF">
        <w:rPr>
          <w:lang w:val="es-ES"/>
        </w:rPr>
        <w:t xml:space="preserve"> es </w:t>
      </w:r>
      <w:r w:rsidR="008246FF" w:rsidRPr="00581D15">
        <w:rPr>
          <w:lang w:val="es-ES"/>
        </w:rPr>
        <w:t xml:space="preserve">una punta muy pequeña que mide menos de 1,5 </w:t>
      </w:r>
      <w:r w:rsidR="008246FF">
        <w:rPr>
          <w:lang w:val="es-ES"/>
        </w:rPr>
        <w:t>cm.</w:t>
      </w:r>
      <w:r w:rsidR="008246FF" w:rsidRPr="00581D15">
        <w:rPr>
          <w:lang w:val="es-ES"/>
        </w:rPr>
        <w:t xml:space="preserve"> </w:t>
      </w:r>
      <w:r w:rsidR="008246FF">
        <w:rPr>
          <w:lang w:val="es-ES"/>
        </w:rPr>
        <w:t>A</w:t>
      </w:r>
      <w:r w:rsidR="008246FF" w:rsidRPr="00581D15">
        <w:rPr>
          <w:lang w:val="es-ES"/>
        </w:rPr>
        <w:t xml:space="preserve"> pesar de estar fragmentada, el ancho y el espesor permiten deducir el pequeño tamaño que habría tenido la pieza completa</w:t>
      </w:r>
      <w:r w:rsidR="008246FF">
        <w:rPr>
          <w:lang w:val="es-ES"/>
        </w:rPr>
        <w:t xml:space="preserve"> </w:t>
      </w:r>
      <w:r w:rsidR="008246FF" w:rsidRPr="00581D15">
        <w:rPr>
          <w:lang w:val="es-ES"/>
        </w:rPr>
        <w:t>(</w:t>
      </w:r>
      <w:r w:rsidR="008246FF" w:rsidRPr="00A2787A">
        <w:rPr>
          <w:lang w:val="es-ES"/>
        </w:rPr>
        <w:t xml:space="preserve">Figura </w:t>
      </w:r>
      <w:r w:rsidR="008246FF">
        <w:rPr>
          <w:lang w:val="es-ES"/>
        </w:rPr>
        <w:t>7b</w:t>
      </w:r>
      <w:r w:rsidR="008246FF" w:rsidRPr="00581D15">
        <w:rPr>
          <w:lang w:val="es-ES"/>
        </w:rPr>
        <w:t>)</w:t>
      </w:r>
      <w:r w:rsidR="008246FF">
        <w:rPr>
          <w:lang w:val="es-ES"/>
        </w:rPr>
        <w:t>.</w:t>
      </w:r>
    </w:p>
    <w:p w:rsidR="008246FF" w:rsidRDefault="00CC22ED" w:rsidP="00D81B3C">
      <w:pPr>
        <w:spacing w:line="480" w:lineRule="auto"/>
        <w:rPr>
          <w:lang w:val="es-ES"/>
        </w:rPr>
      </w:pPr>
      <w:r>
        <w:rPr>
          <w:lang w:val="es-ES"/>
        </w:rPr>
        <w:lastRenderedPageBreak/>
        <w:t xml:space="preserve">Piezas </w:t>
      </w:r>
      <w:r w:rsidR="008246FF" w:rsidRPr="00B61093">
        <w:rPr>
          <w:lang w:val="es-ES"/>
        </w:rPr>
        <w:t>1198 y 791</w:t>
      </w:r>
      <w:r w:rsidR="00822CC8">
        <w:rPr>
          <w:lang w:val="es-ES"/>
        </w:rPr>
        <w:t>:</w:t>
      </w:r>
      <w:r w:rsidR="008246FF">
        <w:rPr>
          <w:lang w:val="es-ES"/>
        </w:rPr>
        <w:t xml:space="preserve"> remontan entre sí y corresponden a</w:t>
      </w:r>
      <w:r w:rsidR="008246FF" w:rsidRPr="00581D15">
        <w:rPr>
          <w:lang w:val="es-ES"/>
        </w:rPr>
        <w:t xml:space="preserve"> dos fragmentos </w:t>
      </w:r>
      <w:proofErr w:type="spellStart"/>
      <w:r w:rsidR="008246FF" w:rsidRPr="00581D15">
        <w:rPr>
          <w:lang w:val="es-ES"/>
        </w:rPr>
        <w:t>mesiales</w:t>
      </w:r>
      <w:proofErr w:type="spellEnd"/>
      <w:r w:rsidR="008246FF" w:rsidRPr="00581D15">
        <w:rPr>
          <w:lang w:val="es-ES"/>
        </w:rPr>
        <w:t xml:space="preserve"> de un instrumento cuya forma final es desconocida. </w:t>
      </w:r>
      <w:r w:rsidR="008246FF">
        <w:rPr>
          <w:lang w:val="es-ES"/>
        </w:rPr>
        <w:t>F</w:t>
      </w:r>
      <w:r w:rsidR="008246FF" w:rsidRPr="00581D15">
        <w:rPr>
          <w:lang w:val="es-ES"/>
        </w:rPr>
        <w:t xml:space="preserve">ueron recuperadas en dos unidades de excavación contiguas del nivel 17, presentan bordes </w:t>
      </w:r>
      <w:proofErr w:type="spellStart"/>
      <w:r w:rsidR="008246FF" w:rsidRPr="00581D15">
        <w:rPr>
          <w:lang w:val="es-ES"/>
        </w:rPr>
        <w:t>s</w:t>
      </w:r>
      <w:r w:rsidR="008246FF" w:rsidRPr="00F86224">
        <w:rPr>
          <w:lang w:val="es-ES"/>
        </w:rPr>
        <w:t>ubparalelos</w:t>
      </w:r>
      <w:proofErr w:type="spellEnd"/>
      <w:r w:rsidR="008246FF" w:rsidRPr="00581D15">
        <w:rPr>
          <w:lang w:val="es-ES"/>
        </w:rPr>
        <w:t xml:space="preserve"> y están quemadas. Poseen huellas, unas largas y longitudinales y otras cortas y oblicuas, sobre los bordes de externos y en el borde del canal medular</w:t>
      </w:r>
      <w:r w:rsidR="008246FF">
        <w:rPr>
          <w:lang w:val="es-ES"/>
        </w:rPr>
        <w:t>, las que a simple vista no pueden atribuirse a confección o uso</w:t>
      </w:r>
      <w:r w:rsidR="008246FF" w:rsidRPr="00581D15">
        <w:rPr>
          <w:lang w:val="es-ES"/>
        </w:rPr>
        <w:t>. El espesor del tejido cortical sugiere que para su confección se utilizó un hueso de vertebrado mediano o grande</w:t>
      </w:r>
      <w:r w:rsidR="008246FF">
        <w:rPr>
          <w:lang w:val="es-ES"/>
        </w:rPr>
        <w:t xml:space="preserve"> </w:t>
      </w:r>
      <w:r w:rsidR="008246FF" w:rsidRPr="00581D15">
        <w:rPr>
          <w:lang w:val="es-ES"/>
        </w:rPr>
        <w:t>(</w:t>
      </w:r>
      <w:r w:rsidR="008246FF" w:rsidRPr="00F86224">
        <w:rPr>
          <w:lang w:val="es-ES"/>
        </w:rPr>
        <w:t xml:space="preserve">Figura </w:t>
      </w:r>
      <w:r w:rsidR="008246FF">
        <w:rPr>
          <w:lang w:val="es-ES"/>
        </w:rPr>
        <w:t>7c)</w:t>
      </w:r>
      <w:r w:rsidR="008246FF" w:rsidRPr="00581D15">
        <w:rPr>
          <w:lang w:val="es-ES"/>
        </w:rPr>
        <w:t>.</w:t>
      </w:r>
    </w:p>
    <w:p w:rsidR="008246FF" w:rsidRPr="008246FF" w:rsidRDefault="008246FF" w:rsidP="008A4B7A">
      <w:pPr>
        <w:spacing w:line="480" w:lineRule="auto"/>
        <w:jc w:val="both"/>
        <w:rPr>
          <w:lang w:val="es-ES"/>
        </w:rPr>
      </w:pPr>
    </w:p>
    <w:p w:rsidR="00EB6A50" w:rsidRPr="00760532" w:rsidRDefault="00EB6A50" w:rsidP="00EB6A50">
      <w:pPr>
        <w:spacing w:line="480" w:lineRule="auto"/>
        <w:jc w:val="center"/>
        <w:rPr>
          <w:b/>
          <w:bCs/>
          <w:lang w:val="pt-BR"/>
        </w:rPr>
      </w:pPr>
      <w:r w:rsidRPr="00760532">
        <w:rPr>
          <w:b/>
          <w:bCs/>
          <w:lang w:val="pt-BR"/>
        </w:rPr>
        <w:t>Referencias citadas</w:t>
      </w:r>
    </w:p>
    <w:p w:rsidR="00EB6A50" w:rsidRPr="00760532" w:rsidRDefault="00EB6A50" w:rsidP="008246FF">
      <w:pPr>
        <w:rPr>
          <w:rFonts w:cs="Times New Roman"/>
          <w:bCs/>
          <w:lang w:val="pt-BR"/>
        </w:rPr>
      </w:pPr>
      <w:proofErr w:type="spellStart"/>
      <w:r w:rsidRPr="00760532">
        <w:rPr>
          <w:rFonts w:cs="Times New Roman"/>
          <w:bCs/>
          <w:lang w:val="pt-BR"/>
        </w:rPr>
        <w:t>Andrefsky</w:t>
      </w:r>
      <w:proofErr w:type="spellEnd"/>
      <w:r w:rsidRPr="00760532">
        <w:rPr>
          <w:rFonts w:cs="Times New Roman"/>
          <w:bCs/>
          <w:lang w:val="pt-BR"/>
        </w:rPr>
        <w:t>, William Jr.</w:t>
      </w:r>
    </w:p>
    <w:p w:rsidR="00EB6A50" w:rsidRPr="00EB6A50" w:rsidRDefault="00EB6A50" w:rsidP="008246FF">
      <w:pPr>
        <w:rPr>
          <w:rFonts w:cs="Times New Roman"/>
          <w:bCs/>
        </w:rPr>
      </w:pPr>
      <w:r w:rsidRPr="00760532">
        <w:rPr>
          <w:rFonts w:cs="Times New Roman"/>
          <w:bCs/>
          <w:lang w:val="pt-BR"/>
        </w:rPr>
        <w:tab/>
      </w:r>
      <w:r w:rsidRPr="00581D15">
        <w:rPr>
          <w:rFonts w:cs="Times New Roman"/>
          <w:bCs/>
          <w:lang w:val="en-US"/>
        </w:rPr>
        <w:t>2001</w:t>
      </w:r>
      <w:r w:rsidRPr="00581D15">
        <w:rPr>
          <w:rFonts w:cs="Times New Roman"/>
          <w:bCs/>
          <w:lang w:val="en-US"/>
        </w:rPr>
        <w:tab/>
        <w:t xml:space="preserve">Emerging Directions in </w:t>
      </w:r>
      <w:proofErr w:type="spellStart"/>
      <w:r w:rsidRPr="00581D15">
        <w:rPr>
          <w:rFonts w:cs="Times New Roman"/>
          <w:bCs/>
          <w:lang w:val="en-US"/>
        </w:rPr>
        <w:t>Debitage</w:t>
      </w:r>
      <w:proofErr w:type="spellEnd"/>
      <w:r w:rsidRPr="00581D15">
        <w:rPr>
          <w:rFonts w:cs="Times New Roman"/>
          <w:bCs/>
          <w:lang w:val="en-US"/>
        </w:rPr>
        <w:t xml:space="preserve"> Analysis. </w:t>
      </w:r>
      <w:proofErr w:type="gramStart"/>
      <w:r w:rsidRPr="00581D15">
        <w:rPr>
          <w:rFonts w:cs="Times New Roman"/>
          <w:bCs/>
          <w:lang w:val="en-US"/>
        </w:rPr>
        <w:t xml:space="preserve">En </w:t>
      </w:r>
      <w:proofErr w:type="spellStart"/>
      <w:r w:rsidRPr="00581D15">
        <w:rPr>
          <w:rFonts w:cs="Times New Roman"/>
          <w:bCs/>
          <w:i/>
          <w:lang w:val="en-US"/>
        </w:rPr>
        <w:t>Lithic</w:t>
      </w:r>
      <w:proofErr w:type="spellEnd"/>
      <w:r w:rsidRPr="00581D15">
        <w:rPr>
          <w:rFonts w:cs="Times New Roman"/>
          <w:bCs/>
          <w:i/>
          <w:lang w:val="en-US"/>
        </w:rPr>
        <w:t xml:space="preserve"> </w:t>
      </w:r>
      <w:proofErr w:type="spellStart"/>
      <w:r w:rsidRPr="00581D15">
        <w:rPr>
          <w:rFonts w:cs="Times New Roman"/>
          <w:bCs/>
          <w:i/>
          <w:lang w:val="en-US"/>
        </w:rPr>
        <w:t>Debitage</w:t>
      </w:r>
      <w:proofErr w:type="spellEnd"/>
      <w:r w:rsidRPr="00581D15">
        <w:rPr>
          <w:rFonts w:cs="Times New Roman"/>
          <w:bCs/>
          <w:i/>
          <w:lang w:val="en-US"/>
        </w:rPr>
        <w:t>.</w:t>
      </w:r>
      <w:proofErr w:type="gramEnd"/>
      <w:r w:rsidRPr="00581D15">
        <w:rPr>
          <w:rFonts w:cs="Times New Roman"/>
          <w:bCs/>
          <w:i/>
          <w:lang w:val="en-US"/>
        </w:rPr>
        <w:t xml:space="preserve"> Context, Form, Meaning, </w:t>
      </w:r>
      <w:proofErr w:type="spellStart"/>
      <w:r w:rsidRPr="00581D15">
        <w:rPr>
          <w:rFonts w:cs="Times New Roman"/>
          <w:bCs/>
          <w:lang w:val="en-US"/>
        </w:rPr>
        <w:t>editado</w:t>
      </w:r>
      <w:proofErr w:type="spellEnd"/>
      <w:r w:rsidRPr="00581D15">
        <w:rPr>
          <w:rFonts w:cs="Times New Roman"/>
          <w:bCs/>
          <w:lang w:val="en-US"/>
        </w:rPr>
        <w:t xml:space="preserve"> </w:t>
      </w:r>
      <w:proofErr w:type="spellStart"/>
      <w:r w:rsidRPr="00581D15">
        <w:rPr>
          <w:rFonts w:cs="Times New Roman"/>
          <w:bCs/>
          <w:lang w:val="en-US"/>
        </w:rPr>
        <w:t>por</w:t>
      </w:r>
      <w:proofErr w:type="spellEnd"/>
      <w:r w:rsidRPr="00581D15">
        <w:rPr>
          <w:rFonts w:cs="Times New Roman"/>
          <w:bCs/>
          <w:lang w:val="en-US"/>
        </w:rPr>
        <w:t xml:space="preserve"> W</w:t>
      </w:r>
      <w:r w:rsidR="005E06AE">
        <w:rPr>
          <w:rFonts w:cs="Times New Roman"/>
          <w:bCs/>
          <w:lang w:val="en-US"/>
        </w:rPr>
        <w:t>illiam</w:t>
      </w:r>
      <w:r w:rsidRPr="00581D15">
        <w:rPr>
          <w:rFonts w:cs="Times New Roman"/>
          <w:bCs/>
          <w:lang w:val="en-US"/>
        </w:rPr>
        <w:t xml:space="preserve"> </w:t>
      </w:r>
      <w:proofErr w:type="spellStart"/>
      <w:r w:rsidRPr="00581D15">
        <w:rPr>
          <w:rFonts w:cs="Times New Roman"/>
          <w:bCs/>
          <w:lang w:val="en-US"/>
        </w:rPr>
        <w:t>Andrefsky</w:t>
      </w:r>
      <w:proofErr w:type="spellEnd"/>
      <w:r w:rsidRPr="00581D15">
        <w:rPr>
          <w:rFonts w:cs="Times New Roman"/>
          <w:bCs/>
          <w:lang w:val="en-US"/>
        </w:rPr>
        <w:t xml:space="preserve"> Jr., pp. 2-14. </w:t>
      </w:r>
      <w:proofErr w:type="spellStart"/>
      <w:r w:rsidRPr="00EB6A50">
        <w:rPr>
          <w:rFonts w:cs="Times New Roman"/>
          <w:bCs/>
        </w:rPr>
        <w:t>The</w:t>
      </w:r>
      <w:proofErr w:type="spellEnd"/>
      <w:r w:rsidRPr="00EB6A50">
        <w:rPr>
          <w:rFonts w:cs="Times New Roman"/>
          <w:bCs/>
        </w:rPr>
        <w:t xml:space="preserve"> </w:t>
      </w:r>
      <w:proofErr w:type="spellStart"/>
      <w:r w:rsidRPr="00EB6A50">
        <w:rPr>
          <w:rFonts w:cs="Times New Roman"/>
          <w:bCs/>
        </w:rPr>
        <w:t>University</w:t>
      </w:r>
      <w:proofErr w:type="spellEnd"/>
      <w:r w:rsidRPr="00EB6A50">
        <w:rPr>
          <w:rFonts w:cs="Times New Roman"/>
          <w:bCs/>
        </w:rPr>
        <w:t xml:space="preserve"> of Utah </w:t>
      </w:r>
      <w:proofErr w:type="spellStart"/>
      <w:r w:rsidRPr="00EB6A50">
        <w:rPr>
          <w:rFonts w:cs="Times New Roman"/>
          <w:bCs/>
        </w:rPr>
        <w:t>Press</w:t>
      </w:r>
      <w:proofErr w:type="spellEnd"/>
      <w:r w:rsidRPr="00EB6A50">
        <w:rPr>
          <w:rFonts w:cs="Times New Roman"/>
          <w:bCs/>
        </w:rPr>
        <w:t>, Salt Lake City.</w:t>
      </w:r>
    </w:p>
    <w:p w:rsidR="00EB6A50" w:rsidRPr="00EB6A50" w:rsidRDefault="00EB6A50" w:rsidP="008246FF">
      <w:pPr>
        <w:rPr>
          <w:bCs/>
        </w:rPr>
      </w:pPr>
    </w:p>
    <w:p w:rsidR="00EB6A50" w:rsidRPr="00525128" w:rsidRDefault="00EB6A50" w:rsidP="008246FF">
      <w:pPr>
        <w:rPr>
          <w:rFonts w:ascii="Calibri" w:eastAsia="Calibri" w:hAnsi="Calibri" w:cs="Times New Roman"/>
        </w:rPr>
      </w:pPr>
      <w:proofErr w:type="spellStart"/>
      <w:r w:rsidRPr="00525128">
        <w:rPr>
          <w:rFonts w:ascii="Calibri" w:eastAsia="Calibri" w:hAnsi="Calibri" w:cs="Times New Roman"/>
        </w:rPr>
        <w:t>Aschero</w:t>
      </w:r>
      <w:proofErr w:type="spellEnd"/>
      <w:r w:rsidRPr="00525128">
        <w:rPr>
          <w:rFonts w:ascii="Calibri" w:eastAsia="Calibri" w:hAnsi="Calibri" w:cs="Times New Roman"/>
        </w:rPr>
        <w:t>, Carlos</w:t>
      </w:r>
    </w:p>
    <w:p w:rsidR="00EB6A50" w:rsidRPr="00525128" w:rsidRDefault="00EB6A50" w:rsidP="008246FF">
      <w:pPr>
        <w:tabs>
          <w:tab w:val="left" w:pos="0"/>
        </w:tabs>
        <w:rPr>
          <w:rFonts w:ascii="Calibri" w:eastAsia="Calibri" w:hAnsi="Calibri" w:cs="Times New Roman"/>
        </w:rPr>
      </w:pPr>
      <w:r w:rsidRPr="00525128">
        <w:rPr>
          <w:rFonts w:ascii="Calibri" w:eastAsia="Calibri" w:hAnsi="Calibri" w:cs="Times New Roman"/>
        </w:rPr>
        <w:tab/>
        <w:t>1975</w:t>
      </w:r>
      <w:r w:rsidRPr="00525128">
        <w:rPr>
          <w:rFonts w:ascii="Calibri" w:eastAsia="Calibri" w:hAnsi="Calibri" w:cs="Times New Roman"/>
        </w:rPr>
        <w:tab/>
      </w:r>
      <w:r w:rsidRPr="00525128">
        <w:rPr>
          <w:rFonts w:ascii="Calibri" w:eastAsia="Calibri" w:hAnsi="Calibri" w:cs="Times New Roman"/>
          <w:i/>
        </w:rPr>
        <w:t>Ensayo para una clasificación morfológica de artefactos líticos</w:t>
      </w:r>
      <w:r w:rsidRPr="00525128">
        <w:rPr>
          <w:rFonts w:ascii="Calibri" w:eastAsia="Calibri" w:hAnsi="Calibri" w:cs="Times New Roman"/>
        </w:rPr>
        <w:t xml:space="preserve"> </w:t>
      </w:r>
      <w:r w:rsidRPr="00525128">
        <w:rPr>
          <w:rFonts w:ascii="Calibri" w:eastAsia="Calibri" w:hAnsi="Calibri" w:cs="Times New Roman"/>
          <w:i/>
        </w:rPr>
        <w:t>aplicada a estudios tipológicos comparativos</w:t>
      </w:r>
      <w:r w:rsidRPr="00525128">
        <w:rPr>
          <w:rFonts w:ascii="Calibri" w:eastAsia="Calibri" w:hAnsi="Calibri" w:cs="Times New Roman"/>
        </w:rPr>
        <w:t xml:space="preserve">. </w:t>
      </w:r>
      <w:r w:rsidR="001C4BD9" w:rsidRPr="00525128">
        <w:rPr>
          <w:rFonts w:ascii="Calibri" w:eastAsia="Calibri" w:hAnsi="Calibri" w:cs="Times New Roman"/>
        </w:rPr>
        <w:t>Manuscrito en archivo</w:t>
      </w:r>
      <w:r w:rsidR="001C4BD9">
        <w:rPr>
          <w:rFonts w:ascii="Calibri" w:eastAsia="Calibri" w:hAnsi="Calibri" w:cs="Times New Roman"/>
        </w:rPr>
        <w:t>,</w:t>
      </w:r>
      <w:r w:rsidR="001C4BD9" w:rsidRPr="00525128">
        <w:rPr>
          <w:rFonts w:ascii="Calibri" w:eastAsia="Calibri" w:hAnsi="Calibri" w:cs="Times New Roman"/>
        </w:rPr>
        <w:t xml:space="preserve"> </w:t>
      </w:r>
      <w:r w:rsidRPr="00525128">
        <w:rPr>
          <w:rFonts w:ascii="Calibri" w:eastAsia="Calibri" w:hAnsi="Calibri" w:cs="Times New Roman"/>
        </w:rPr>
        <w:t>Informe presentado al C</w:t>
      </w:r>
      <w:r w:rsidR="001C4BD9">
        <w:rPr>
          <w:rFonts w:ascii="Calibri" w:eastAsia="Calibri" w:hAnsi="Calibri" w:cs="Times New Roman"/>
        </w:rPr>
        <w:t xml:space="preserve">onsejo </w:t>
      </w:r>
      <w:r w:rsidRPr="00525128">
        <w:rPr>
          <w:rFonts w:ascii="Calibri" w:eastAsia="Calibri" w:hAnsi="Calibri" w:cs="Times New Roman"/>
        </w:rPr>
        <w:t>N</w:t>
      </w:r>
      <w:r w:rsidR="001C4BD9">
        <w:rPr>
          <w:rFonts w:ascii="Calibri" w:eastAsia="Calibri" w:hAnsi="Calibri" w:cs="Times New Roman"/>
        </w:rPr>
        <w:t xml:space="preserve">acional de </w:t>
      </w:r>
      <w:r w:rsidRPr="00525128">
        <w:rPr>
          <w:rFonts w:ascii="Calibri" w:eastAsia="Calibri" w:hAnsi="Calibri" w:cs="Times New Roman"/>
        </w:rPr>
        <w:t>I</w:t>
      </w:r>
      <w:r w:rsidR="001C4BD9">
        <w:rPr>
          <w:rFonts w:ascii="Calibri" w:eastAsia="Calibri" w:hAnsi="Calibri" w:cs="Times New Roman"/>
        </w:rPr>
        <w:t xml:space="preserve">nvestigaciones </w:t>
      </w:r>
      <w:r w:rsidRPr="00525128">
        <w:rPr>
          <w:rFonts w:ascii="Calibri" w:eastAsia="Calibri" w:hAnsi="Calibri" w:cs="Times New Roman"/>
        </w:rPr>
        <w:t>C</w:t>
      </w:r>
      <w:r w:rsidR="001C4BD9">
        <w:rPr>
          <w:rFonts w:ascii="Calibri" w:eastAsia="Calibri" w:hAnsi="Calibri" w:cs="Times New Roman"/>
        </w:rPr>
        <w:t xml:space="preserve">ientíficas y </w:t>
      </w:r>
      <w:r w:rsidRPr="00525128">
        <w:rPr>
          <w:rFonts w:ascii="Calibri" w:eastAsia="Calibri" w:hAnsi="Calibri" w:cs="Times New Roman"/>
        </w:rPr>
        <w:t>T</w:t>
      </w:r>
      <w:r w:rsidR="001C4BD9">
        <w:rPr>
          <w:rFonts w:ascii="Calibri" w:eastAsia="Calibri" w:hAnsi="Calibri" w:cs="Times New Roman"/>
        </w:rPr>
        <w:t>écnicas</w:t>
      </w:r>
      <w:r w:rsidRPr="00525128">
        <w:rPr>
          <w:rFonts w:ascii="Calibri" w:eastAsia="Calibri" w:hAnsi="Calibri" w:cs="Times New Roman"/>
        </w:rPr>
        <w:t xml:space="preserve">. </w:t>
      </w:r>
      <w:r w:rsidR="001C4BD9">
        <w:rPr>
          <w:rFonts w:ascii="Calibri" w:eastAsia="Calibri" w:hAnsi="Calibri" w:cs="Times New Roman"/>
        </w:rPr>
        <w:t>(</w:t>
      </w:r>
      <w:r w:rsidRPr="00525128">
        <w:rPr>
          <w:rFonts w:ascii="Calibri" w:eastAsia="Calibri" w:hAnsi="Calibri" w:cs="Times New Roman"/>
        </w:rPr>
        <w:t>CONICET</w:t>
      </w:r>
      <w:r w:rsidR="001C4BD9">
        <w:rPr>
          <w:rFonts w:ascii="Calibri" w:eastAsia="Calibri" w:hAnsi="Calibri" w:cs="Times New Roman"/>
        </w:rPr>
        <w:t>)</w:t>
      </w:r>
      <w:r w:rsidRPr="00525128">
        <w:rPr>
          <w:rFonts w:ascii="Calibri" w:eastAsia="Calibri" w:hAnsi="Calibri" w:cs="Times New Roman"/>
        </w:rPr>
        <w:t>.</w:t>
      </w:r>
      <w:r w:rsidR="001C4BD9">
        <w:rPr>
          <w:rFonts w:ascii="Calibri" w:eastAsia="Calibri" w:hAnsi="Calibri" w:cs="Times New Roman"/>
        </w:rPr>
        <w:t xml:space="preserve"> Buenos Aires</w:t>
      </w:r>
    </w:p>
    <w:p w:rsidR="00EB6A50" w:rsidRDefault="00EB6A50" w:rsidP="008246FF">
      <w:pPr>
        <w:rPr>
          <w:rFonts w:ascii="Calibri" w:eastAsia="Calibri" w:hAnsi="Calibri" w:cs="Times New Roman"/>
        </w:rPr>
      </w:pPr>
      <w:r w:rsidRPr="00525128">
        <w:rPr>
          <w:rFonts w:ascii="Calibri" w:eastAsia="Calibri" w:hAnsi="Calibri" w:cs="Times New Roman"/>
        </w:rPr>
        <w:tab/>
        <w:t>1983</w:t>
      </w:r>
      <w:r w:rsidRPr="00525128">
        <w:rPr>
          <w:rFonts w:ascii="Calibri" w:eastAsia="Calibri" w:hAnsi="Calibri" w:cs="Times New Roman"/>
        </w:rPr>
        <w:tab/>
      </w:r>
      <w:r w:rsidRPr="00525128">
        <w:rPr>
          <w:rFonts w:ascii="Calibri" w:eastAsia="Calibri" w:hAnsi="Calibri" w:cs="Times New Roman"/>
          <w:i/>
        </w:rPr>
        <w:t>Ensayo para una clasificación morfológica de artefactos líticos. Apéndice A y B.</w:t>
      </w:r>
      <w:r w:rsidRPr="00525128">
        <w:rPr>
          <w:rFonts w:ascii="Calibri" w:eastAsia="Calibri" w:hAnsi="Calibri" w:cs="Times New Roman"/>
        </w:rPr>
        <w:t xml:space="preserve"> Manuscrito en archivo de la Cátedra de Ergología y Tecnología. Facultad de Filosofía y Letras, U</w:t>
      </w:r>
      <w:r w:rsidR="001C4BD9">
        <w:rPr>
          <w:rFonts w:ascii="Calibri" w:eastAsia="Calibri" w:hAnsi="Calibri" w:cs="Times New Roman"/>
        </w:rPr>
        <w:t xml:space="preserve">niversidad Nacional de </w:t>
      </w:r>
      <w:r w:rsidRPr="00525128">
        <w:rPr>
          <w:rFonts w:ascii="Calibri" w:eastAsia="Calibri" w:hAnsi="Calibri" w:cs="Times New Roman"/>
        </w:rPr>
        <w:t>B</w:t>
      </w:r>
      <w:r w:rsidR="001C4BD9">
        <w:rPr>
          <w:rFonts w:ascii="Calibri" w:eastAsia="Calibri" w:hAnsi="Calibri" w:cs="Times New Roman"/>
        </w:rPr>
        <w:t xml:space="preserve">uenos </w:t>
      </w:r>
      <w:r w:rsidRPr="00525128">
        <w:rPr>
          <w:rFonts w:ascii="Calibri" w:eastAsia="Calibri" w:hAnsi="Calibri" w:cs="Times New Roman"/>
        </w:rPr>
        <w:t>A</w:t>
      </w:r>
      <w:r w:rsidR="001C4BD9">
        <w:rPr>
          <w:rFonts w:ascii="Calibri" w:eastAsia="Calibri" w:hAnsi="Calibri" w:cs="Times New Roman"/>
        </w:rPr>
        <w:t>ires</w:t>
      </w:r>
      <w:r w:rsidRPr="00525128">
        <w:rPr>
          <w:rFonts w:ascii="Calibri" w:eastAsia="Calibri" w:hAnsi="Calibri" w:cs="Times New Roman"/>
        </w:rPr>
        <w:t>.</w:t>
      </w:r>
    </w:p>
    <w:p w:rsidR="00EB6A50" w:rsidRDefault="00EB6A50" w:rsidP="008246FF">
      <w:pPr>
        <w:rPr>
          <w:rFonts w:ascii="Calibri" w:eastAsia="Calibri" w:hAnsi="Calibri" w:cs="Times New Roman"/>
        </w:rPr>
      </w:pPr>
    </w:p>
    <w:p w:rsidR="00EB6A50" w:rsidRPr="00581D15" w:rsidRDefault="00EB6A50" w:rsidP="008246FF">
      <w:pPr>
        <w:tabs>
          <w:tab w:val="left" w:pos="0"/>
        </w:tabs>
        <w:rPr>
          <w:rFonts w:cs="Times New Roman"/>
          <w:lang w:val="es-ES"/>
        </w:rPr>
      </w:pPr>
      <w:proofErr w:type="spellStart"/>
      <w:r w:rsidRPr="00581D15">
        <w:rPr>
          <w:rFonts w:cs="Times New Roman"/>
          <w:lang w:val="es-ES"/>
        </w:rPr>
        <w:t>Aschero</w:t>
      </w:r>
      <w:proofErr w:type="spellEnd"/>
      <w:r w:rsidRPr="00581D15">
        <w:rPr>
          <w:rFonts w:cs="Times New Roman"/>
          <w:lang w:val="es-ES"/>
        </w:rPr>
        <w:t xml:space="preserve">, Carlos y Salomón </w:t>
      </w:r>
      <w:proofErr w:type="spellStart"/>
      <w:r w:rsidRPr="00581D15">
        <w:rPr>
          <w:rFonts w:cs="Times New Roman"/>
          <w:lang w:val="es-ES"/>
        </w:rPr>
        <w:t>Hocsman</w:t>
      </w:r>
      <w:proofErr w:type="spellEnd"/>
    </w:p>
    <w:p w:rsidR="00EB6A50" w:rsidRPr="00581D15" w:rsidRDefault="00EB6A50" w:rsidP="008246FF">
      <w:pPr>
        <w:tabs>
          <w:tab w:val="left" w:pos="0"/>
        </w:tabs>
        <w:rPr>
          <w:rFonts w:cs="Times New Roman"/>
          <w:lang w:val="es-ES"/>
        </w:rPr>
      </w:pPr>
      <w:r w:rsidRPr="00581D15">
        <w:rPr>
          <w:rFonts w:cs="Times New Roman"/>
          <w:lang w:val="es-ES"/>
        </w:rPr>
        <w:tab/>
        <w:t>2004</w:t>
      </w:r>
      <w:r w:rsidRPr="00581D15">
        <w:rPr>
          <w:rFonts w:cs="Times New Roman"/>
          <w:lang w:val="es-ES"/>
        </w:rPr>
        <w:tab/>
        <w:t xml:space="preserve">Revisando cuestiones tipológicas en torno a la clasificación de artefactos bifaciales. En </w:t>
      </w:r>
      <w:r w:rsidRPr="00581D15">
        <w:rPr>
          <w:rFonts w:cs="Times New Roman"/>
          <w:i/>
          <w:lang w:val="es-ES"/>
        </w:rPr>
        <w:t>Temas de Arqueología. Análisis Lítico</w:t>
      </w:r>
      <w:r w:rsidRPr="00581D15">
        <w:rPr>
          <w:rFonts w:cs="Times New Roman"/>
          <w:lang w:val="es-ES"/>
        </w:rPr>
        <w:t>, compilado por A</w:t>
      </w:r>
      <w:r w:rsidR="005E06AE">
        <w:rPr>
          <w:rFonts w:cs="Times New Roman"/>
          <w:lang w:val="es-ES"/>
        </w:rPr>
        <w:t>lejandro</w:t>
      </w:r>
      <w:r w:rsidRPr="00581D15">
        <w:rPr>
          <w:rFonts w:cs="Times New Roman"/>
          <w:lang w:val="es-ES"/>
        </w:rPr>
        <w:t xml:space="preserve"> Acosta, D</w:t>
      </w:r>
      <w:r w:rsidR="005E06AE">
        <w:rPr>
          <w:rFonts w:cs="Times New Roman"/>
          <w:lang w:val="es-ES"/>
        </w:rPr>
        <w:t>aniel</w:t>
      </w:r>
      <w:r w:rsidRPr="00581D15">
        <w:rPr>
          <w:rFonts w:cs="Times New Roman"/>
          <w:lang w:val="es-ES"/>
        </w:rPr>
        <w:t xml:space="preserve"> </w:t>
      </w:r>
      <w:proofErr w:type="spellStart"/>
      <w:r w:rsidRPr="00581D15">
        <w:rPr>
          <w:rFonts w:cs="Times New Roman"/>
          <w:lang w:val="es-ES"/>
        </w:rPr>
        <w:t>Loponte</w:t>
      </w:r>
      <w:proofErr w:type="spellEnd"/>
      <w:r w:rsidRPr="00581D15">
        <w:rPr>
          <w:rFonts w:cs="Times New Roman"/>
          <w:lang w:val="es-ES"/>
        </w:rPr>
        <w:t xml:space="preserve"> y M</w:t>
      </w:r>
      <w:r w:rsidR="005E06AE">
        <w:rPr>
          <w:rFonts w:cs="Times New Roman"/>
          <w:lang w:val="es-ES"/>
        </w:rPr>
        <w:t>ariano</w:t>
      </w:r>
      <w:r w:rsidR="005E06AE" w:rsidRPr="00581D15">
        <w:rPr>
          <w:rFonts w:cs="Times New Roman"/>
          <w:lang w:val="es-ES"/>
        </w:rPr>
        <w:t xml:space="preserve"> </w:t>
      </w:r>
      <w:r w:rsidRPr="00581D15">
        <w:rPr>
          <w:rFonts w:cs="Times New Roman"/>
          <w:lang w:val="es-ES"/>
        </w:rPr>
        <w:t>Ramos, pp. 7-25. Sociedad Argentina de Antropología, Instituto Nacional de Antropología y Pensamiento Latinoamericano y Departamento de Ciencias Sociales – Universidad Nacional de Luján, Luján.</w:t>
      </w:r>
    </w:p>
    <w:p w:rsidR="00EB6A50" w:rsidRDefault="00EB6A50" w:rsidP="008246FF">
      <w:pPr>
        <w:rPr>
          <w:rFonts w:ascii="Calibri" w:eastAsia="Calibri" w:hAnsi="Calibri" w:cs="Times New Roman"/>
          <w:lang w:val="es-ES"/>
        </w:rPr>
      </w:pPr>
    </w:p>
    <w:p w:rsidR="00EB6A50" w:rsidRPr="00581D15" w:rsidRDefault="00EB6A50" w:rsidP="008246FF">
      <w:pPr>
        <w:rPr>
          <w:bCs/>
        </w:rPr>
      </w:pPr>
      <w:proofErr w:type="spellStart"/>
      <w:r w:rsidRPr="00581D15">
        <w:rPr>
          <w:bCs/>
        </w:rPr>
        <w:t>Bellelli</w:t>
      </w:r>
      <w:proofErr w:type="spellEnd"/>
      <w:r w:rsidRPr="00581D15">
        <w:rPr>
          <w:bCs/>
        </w:rPr>
        <w:t xml:space="preserve">, Cristina, Gabriela </w:t>
      </w:r>
      <w:proofErr w:type="spellStart"/>
      <w:r w:rsidRPr="00581D15">
        <w:rPr>
          <w:bCs/>
        </w:rPr>
        <w:t>Guráieb</w:t>
      </w:r>
      <w:proofErr w:type="spellEnd"/>
      <w:r w:rsidRPr="00581D15">
        <w:rPr>
          <w:bCs/>
        </w:rPr>
        <w:t xml:space="preserve"> y Jorge García</w:t>
      </w:r>
    </w:p>
    <w:p w:rsidR="00EB6A50" w:rsidRDefault="00EB6A50" w:rsidP="008246FF">
      <w:pPr>
        <w:rPr>
          <w:bCs/>
        </w:rPr>
      </w:pPr>
      <w:r w:rsidRPr="00581D15">
        <w:rPr>
          <w:bCs/>
        </w:rPr>
        <w:tab/>
        <w:t>1985-1987</w:t>
      </w:r>
      <w:r w:rsidRPr="00581D15">
        <w:rPr>
          <w:bCs/>
        </w:rPr>
        <w:tab/>
        <w:t xml:space="preserve">Propuesta para el análisis y procesamiento por computadora de desechos de talla lítica (DELCO - Desechos de talla líticos computarizados). </w:t>
      </w:r>
      <w:r w:rsidRPr="00581D15">
        <w:rPr>
          <w:bCs/>
          <w:i/>
          <w:iCs/>
        </w:rPr>
        <w:t>Arqueología Contemporánea</w:t>
      </w:r>
      <w:r w:rsidRPr="00581D15">
        <w:rPr>
          <w:bCs/>
        </w:rPr>
        <w:t xml:space="preserve"> 2(1):36-53.</w:t>
      </w:r>
    </w:p>
    <w:p w:rsidR="00EB6A50" w:rsidRDefault="00EB6A50" w:rsidP="008246FF">
      <w:pPr>
        <w:rPr>
          <w:bCs/>
        </w:rPr>
      </w:pPr>
    </w:p>
    <w:p w:rsidR="00EB6A50" w:rsidRPr="00581D15" w:rsidRDefault="00EB6A50" w:rsidP="008246FF">
      <w:pPr>
        <w:rPr>
          <w:bCs/>
        </w:rPr>
      </w:pPr>
      <w:proofErr w:type="spellStart"/>
      <w:r w:rsidRPr="00581D15">
        <w:rPr>
          <w:bCs/>
        </w:rPr>
        <w:t>Bellelli</w:t>
      </w:r>
      <w:proofErr w:type="spellEnd"/>
      <w:r w:rsidRPr="00581D15">
        <w:rPr>
          <w:bCs/>
        </w:rPr>
        <w:t xml:space="preserve">, Cristina, Mariana </w:t>
      </w:r>
      <w:proofErr w:type="spellStart"/>
      <w:r w:rsidRPr="00581D15">
        <w:rPr>
          <w:bCs/>
        </w:rPr>
        <w:t>Carballido</w:t>
      </w:r>
      <w:proofErr w:type="spellEnd"/>
      <w:r w:rsidRPr="00581D15">
        <w:rPr>
          <w:bCs/>
        </w:rPr>
        <w:t xml:space="preserve"> Calatayud y Charles </w:t>
      </w:r>
      <w:proofErr w:type="spellStart"/>
      <w:r w:rsidRPr="00581D15">
        <w:rPr>
          <w:bCs/>
        </w:rPr>
        <w:t>Stern</w:t>
      </w:r>
      <w:proofErr w:type="spellEnd"/>
    </w:p>
    <w:p w:rsidR="00EB6A50" w:rsidRPr="00581D15" w:rsidRDefault="00EB6A50" w:rsidP="008246FF">
      <w:pPr>
        <w:rPr>
          <w:bCs/>
        </w:rPr>
      </w:pPr>
      <w:r w:rsidRPr="00581D15">
        <w:rPr>
          <w:bCs/>
        </w:rPr>
        <w:tab/>
      </w:r>
      <w:r w:rsidRPr="00581D15">
        <w:rPr>
          <w:bCs/>
          <w:lang w:val="es-ES"/>
        </w:rPr>
        <w:t>2018</w:t>
      </w:r>
      <w:r w:rsidRPr="00581D15">
        <w:rPr>
          <w:bCs/>
          <w:lang w:val="es-ES"/>
        </w:rPr>
        <w:tab/>
      </w:r>
      <w:r w:rsidRPr="00581D15">
        <w:rPr>
          <w:rFonts w:cs="Times New Roman"/>
          <w:bCs/>
          <w:lang w:val="es-ES"/>
        </w:rPr>
        <w:t>Obsidianas en el bosque: determinación geoquímica de artefactos arqueológicos del S.O. de Río Negro y N. O. de Chubut (Patagonia Argentina)</w:t>
      </w:r>
      <w:r w:rsidRPr="00581D15">
        <w:rPr>
          <w:bCs/>
          <w:lang w:val="es-ES"/>
        </w:rPr>
        <w:t xml:space="preserve">. </w:t>
      </w:r>
      <w:r w:rsidRPr="00581D15">
        <w:rPr>
          <w:bCs/>
          <w:i/>
          <w:lang w:val="es-ES"/>
        </w:rPr>
        <w:t>Chungara, Revista de Antropología Chilena</w:t>
      </w:r>
      <w:r>
        <w:rPr>
          <w:bCs/>
          <w:lang w:val="es-ES"/>
        </w:rPr>
        <w:t xml:space="preserve"> 50(2):201-216</w:t>
      </w:r>
      <w:r w:rsidRPr="00581D15">
        <w:rPr>
          <w:bCs/>
          <w:lang w:val="es-ES"/>
        </w:rPr>
        <w:t>.</w:t>
      </w:r>
    </w:p>
    <w:p w:rsidR="00EB6A50" w:rsidRDefault="00EB6A50" w:rsidP="008246FF">
      <w:pPr>
        <w:rPr>
          <w:bCs/>
        </w:rPr>
      </w:pPr>
    </w:p>
    <w:p w:rsidR="00EB6A50" w:rsidRPr="00EB6A50" w:rsidRDefault="00EB6A50" w:rsidP="008246FF">
      <w:pPr>
        <w:rPr>
          <w:rFonts w:cs="Times New Roman"/>
          <w:bCs/>
        </w:rPr>
      </w:pPr>
      <w:proofErr w:type="spellStart"/>
      <w:r w:rsidRPr="00EB6A50">
        <w:rPr>
          <w:rFonts w:cs="Times New Roman"/>
          <w:bCs/>
        </w:rPr>
        <w:t>Bradbury</w:t>
      </w:r>
      <w:proofErr w:type="spellEnd"/>
      <w:r w:rsidRPr="00EB6A50">
        <w:rPr>
          <w:rFonts w:cs="Times New Roman"/>
          <w:bCs/>
        </w:rPr>
        <w:t xml:space="preserve">, Andrew y Philip. J. </w:t>
      </w:r>
      <w:proofErr w:type="spellStart"/>
      <w:r w:rsidRPr="00EB6A50">
        <w:rPr>
          <w:rFonts w:cs="Times New Roman"/>
          <w:bCs/>
        </w:rPr>
        <w:t>Carr</w:t>
      </w:r>
      <w:proofErr w:type="spellEnd"/>
    </w:p>
    <w:p w:rsidR="00EB6A50" w:rsidRPr="00A429CC" w:rsidRDefault="00EB6A50" w:rsidP="008246FF">
      <w:pPr>
        <w:ind w:firstLine="708"/>
        <w:rPr>
          <w:rFonts w:cs="Times New Roman"/>
          <w:bCs/>
        </w:rPr>
      </w:pPr>
      <w:r w:rsidRPr="00581D15">
        <w:rPr>
          <w:rFonts w:cs="Times New Roman"/>
          <w:bCs/>
          <w:lang w:val="en-US"/>
        </w:rPr>
        <w:t>1999</w:t>
      </w:r>
      <w:r w:rsidRPr="00581D15">
        <w:rPr>
          <w:rFonts w:cs="Times New Roman"/>
          <w:bCs/>
          <w:lang w:val="en-US"/>
        </w:rPr>
        <w:tab/>
        <w:t xml:space="preserve">Examining Stage and Continuum Models of Flake Debris Analysis: An Experimental Approach. </w:t>
      </w:r>
      <w:proofErr w:type="spellStart"/>
      <w:r w:rsidRPr="00A429CC">
        <w:rPr>
          <w:rFonts w:cs="Times New Roman"/>
          <w:bCs/>
          <w:i/>
        </w:rPr>
        <w:t>Journal</w:t>
      </w:r>
      <w:proofErr w:type="spellEnd"/>
      <w:r w:rsidRPr="00A429CC">
        <w:rPr>
          <w:rFonts w:cs="Times New Roman"/>
          <w:bCs/>
          <w:i/>
        </w:rPr>
        <w:t xml:space="preserve"> of </w:t>
      </w:r>
      <w:proofErr w:type="spellStart"/>
      <w:r w:rsidRPr="00A429CC">
        <w:rPr>
          <w:rFonts w:cs="Times New Roman"/>
          <w:bCs/>
          <w:i/>
        </w:rPr>
        <w:t>Archaeological</w:t>
      </w:r>
      <w:proofErr w:type="spellEnd"/>
      <w:r w:rsidRPr="00A429CC">
        <w:rPr>
          <w:rFonts w:cs="Times New Roman"/>
          <w:bCs/>
          <w:i/>
        </w:rPr>
        <w:t xml:space="preserve"> </w:t>
      </w:r>
      <w:proofErr w:type="spellStart"/>
      <w:r w:rsidRPr="00A429CC">
        <w:rPr>
          <w:rFonts w:cs="Times New Roman"/>
          <w:bCs/>
          <w:i/>
        </w:rPr>
        <w:t>Science</w:t>
      </w:r>
      <w:proofErr w:type="spellEnd"/>
      <w:r w:rsidRPr="00A429CC">
        <w:rPr>
          <w:rFonts w:cs="Times New Roman"/>
          <w:bCs/>
        </w:rPr>
        <w:t xml:space="preserve"> 26:105–116.</w:t>
      </w:r>
    </w:p>
    <w:p w:rsidR="00EB6A50" w:rsidRDefault="00EB6A50" w:rsidP="008246FF">
      <w:pPr>
        <w:rPr>
          <w:bCs/>
        </w:rPr>
      </w:pPr>
    </w:p>
    <w:p w:rsidR="002D0129" w:rsidRPr="00581D15" w:rsidRDefault="002D0129" w:rsidP="002D0129">
      <w:pPr>
        <w:rPr>
          <w:bCs/>
        </w:rPr>
      </w:pPr>
      <w:proofErr w:type="spellStart"/>
      <w:r w:rsidRPr="00581D15">
        <w:rPr>
          <w:bCs/>
        </w:rPr>
        <w:t>Carballido</w:t>
      </w:r>
      <w:proofErr w:type="spellEnd"/>
      <w:r w:rsidRPr="00581D15">
        <w:rPr>
          <w:bCs/>
        </w:rPr>
        <w:t xml:space="preserve"> Calatayud, Mariana y Fernando Pereyra</w:t>
      </w:r>
    </w:p>
    <w:p w:rsidR="002D0129" w:rsidRPr="00581D15" w:rsidRDefault="002D0129" w:rsidP="002D0129">
      <w:pPr>
        <w:ind w:firstLine="708"/>
        <w:rPr>
          <w:bCs/>
        </w:rPr>
      </w:pPr>
      <w:r w:rsidRPr="00581D15">
        <w:rPr>
          <w:bCs/>
        </w:rPr>
        <w:t>2012</w:t>
      </w:r>
      <w:r w:rsidRPr="00581D15">
        <w:rPr>
          <w:bCs/>
        </w:rPr>
        <w:tab/>
        <w:t>Determinación de la base regional de recursos líticos del área río Manso inferior-</w:t>
      </w:r>
      <w:proofErr w:type="spellStart"/>
      <w:r w:rsidRPr="00581D15">
        <w:rPr>
          <w:bCs/>
        </w:rPr>
        <w:t>Foyel</w:t>
      </w:r>
      <w:proofErr w:type="spellEnd"/>
      <w:r w:rsidRPr="00581D15">
        <w:rPr>
          <w:bCs/>
        </w:rPr>
        <w:t xml:space="preserve"> (Río Negro). </w:t>
      </w:r>
      <w:proofErr w:type="spellStart"/>
      <w:r w:rsidRPr="00581D15">
        <w:rPr>
          <w:bCs/>
          <w:i/>
        </w:rPr>
        <w:t>Comechingonia</w:t>
      </w:r>
      <w:proofErr w:type="spellEnd"/>
      <w:r w:rsidRPr="00581D15">
        <w:rPr>
          <w:bCs/>
          <w:i/>
        </w:rPr>
        <w:t>. Revista de Arqueología</w:t>
      </w:r>
      <w:r w:rsidRPr="00581D15">
        <w:rPr>
          <w:bCs/>
        </w:rPr>
        <w:t xml:space="preserve"> 16:287-296.</w:t>
      </w:r>
    </w:p>
    <w:p w:rsidR="002D0129" w:rsidRDefault="002D0129" w:rsidP="008246FF">
      <w:pPr>
        <w:rPr>
          <w:bCs/>
        </w:rPr>
      </w:pPr>
    </w:p>
    <w:p w:rsidR="00EB6A50" w:rsidRPr="00581D15" w:rsidRDefault="00EB6A50" w:rsidP="008246FF">
      <w:pPr>
        <w:rPr>
          <w:bCs/>
        </w:rPr>
      </w:pPr>
      <w:r w:rsidRPr="00581D15">
        <w:rPr>
          <w:bCs/>
        </w:rPr>
        <w:t>Fernández, Mercedes G.</w:t>
      </w:r>
    </w:p>
    <w:p w:rsidR="00EB6A50" w:rsidRPr="00581D15" w:rsidRDefault="00EB6A50" w:rsidP="008246FF">
      <w:pPr>
        <w:ind w:firstLine="708"/>
        <w:rPr>
          <w:bCs/>
        </w:rPr>
      </w:pPr>
      <w:r w:rsidRPr="00581D15">
        <w:rPr>
          <w:bCs/>
        </w:rPr>
        <w:t>2018</w:t>
      </w:r>
      <w:r w:rsidRPr="00581D15">
        <w:rPr>
          <w:bCs/>
        </w:rPr>
        <w:tab/>
        <w:t xml:space="preserve">El aprovechamiento de la fauna en el interior del bosque durante el Holoceno temprano y medio. El caso del sitio Población Anticura (Río Negro). </w:t>
      </w:r>
      <w:r w:rsidRPr="0026189B">
        <w:rPr>
          <w:bCs/>
          <w:i/>
        </w:rPr>
        <w:t>La Zaranda de Ideas</w:t>
      </w:r>
      <w:r w:rsidR="00521C59">
        <w:rPr>
          <w:bCs/>
        </w:rPr>
        <w:t xml:space="preserve"> 16(1):9-28</w:t>
      </w:r>
      <w:r w:rsidRPr="00581D15">
        <w:rPr>
          <w:bCs/>
        </w:rPr>
        <w:t>.</w:t>
      </w:r>
    </w:p>
    <w:p w:rsidR="00EB6A50" w:rsidRDefault="00EB6A50" w:rsidP="008246FF">
      <w:pPr>
        <w:rPr>
          <w:bCs/>
        </w:rPr>
      </w:pPr>
    </w:p>
    <w:p w:rsidR="00EB6A50" w:rsidRPr="00581D15" w:rsidRDefault="00EB6A50" w:rsidP="008246FF">
      <w:pPr>
        <w:rPr>
          <w:rFonts w:cs="Times New Roman"/>
          <w:bCs/>
          <w:lang w:val="en-US"/>
        </w:rPr>
      </w:pPr>
      <w:r w:rsidRPr="00581D15">
        <w:rPr>
          <w:rFonts w:cs="Times New Roman"/>
          <w:bCs/>
          <w:lang w:val="en-US"/>
        </w:rPr>
        <w:t>Fish, Paul</w:t>
      </w:r>
    </w:p>
    <w:p w:rsidR="00EB6A50" w:rsidRPr="00A7723D" w:rsidRDefault="00EB6A50" w:rsidP="008246FF">
      <w:pPr>
        <w:ind w:firstLine="708"/>
        <w:rPr>
          <w:rFonts w:cs="Times New Roman"/>
          <w:bCs/>
          <w:lang w:val="en-US"/>
        </w:rPr>
      </w:pPr>
      <w:r w:rsidRPr="00581D15">
        <w:rPr>
          <w:rFonts w:cs="Times New Roman"/>
          <w:bCs/>
          <w:lang w:val="en-US"/>
        </w:rPr>
        <w:t>1981</w:t>
      </w:r>
      <w:r w:rsidRPr="00581D15">
        <w:rPr>
          <w:rFonts w:cs="Times New Roman"/>
          <w:bCs/>
          <w:lang w:val="en-US"/>
        </w:rPr>
        <w:tab/>
        <w:t xml:space="preserve">Beyond Tools: Middle Paleolithic </w:t>
      </w:r>
      <w:proofErr w:type="spellStart"/>
      <w:r w:rsidRPr="00581D15">
        <w:rPr>
          <w:rFonts w:cs="Times New Roman"/>
          <w:bCs/>
          <w:lang w:val="en-US"/>
        </w:rPr>
        <w:t>Debitage</w:t>
      </w:r>
      <w:proofErr w:type="spellEnd"/>
      <w:r w:rsidRPr="00581D15">
        <w:rPr>
          <w:rFonts w:cs="Times New Roman"/>
          <w:bCs/>
          <w:lang w:val="en-US"/>
        </w:rPr>
        <w:t xml:space="preserve"> Analysis and Cultural Inference. </w:t>
      </w:r>
      <w:r w:rsidRPr="00A7723D">
        <w:rPr>
          <w:rFonts w:cs="Times New Roman"/>
          <w:bCs/>
          <w:i/>
          <w:lang w:val="en-US"/>
        </w:rPr>
        <w:t>Journal of Anthropological Research</w:t>
      </w:r>
      <w:r w:rsidRPr="00A7723D">
        <w:rPr>
          <w:rFonts w:cs="Times New Roman"/>
          <w:bCs/>
          <w:lang w:val="en-US"/>
        </w:rPr>
        <w:t xml:space="preserve"> 37:374-386.</w:t>
      </w:r>
    </w:p>
    <w:p w:rsidR="00EB6A50" w:rsidRDefault="00EB6A50" w:rsidP="008246FF">
      <w:pPr>
        <w:rPr>
          <w:bCs/>
          <w:lang w:val="en-US"/>
        </w:rPr>
      </w:pPr>
    </w:p>
    <w:p w:rsidR="00EB6A50" w:rsidRPr="00EB6A50" w:rsidRDefault="00EB6A50" w:rsidP="008246FF">
      <w:pPr>
        <w:rPr>
          <w:bCs/>
          <w:lang w:val="en-US"/>
        </w:rPr>
      </w:pPr>
      <w:r w:rsidRPr="00EB6A50">
        <w:rPr>
          <w:bCs/>
          <w:lang w:val="en-US"/>
        </w:rPr>
        <w:t>Harman, Jon</w:t>
      </w:r>
    </w:p>
    <w:p w:rsidR="00EB6A50" w:rsidRPr="00581D15" w:rsidRDefault="00EB6A50" w:rsidP="008246FF">
      <w:pPr>
        <w:ind w:firstLine="708"/>
        <w:rPr>
          <w:bCs/>
        </w:rPr>
      </w:pPr>
      <w:proofErr w:type="gramStart"/>
      <w:r w:rsidRPr="00B3044D">
        <w:rPr>
          <w:bCs/>
          <w:lang w:val="en-US"/>
        </w:rPr>
        <w:lastRenderedPageBreak/>
        <w:t>2008</w:t>
      </w:r>
      <w:r w:rsidR="00276CE4">
        <w:rPr>
          <w:bCs/>
          <w:lang w:val="en-US"/>
        </w:rPr>
        <w:t>[2005]</w:t>
      </w:r>
      <w:r w:rsidRPr="00B3044D">
        <w:rPr>
          <w:bCs/>
          <w:lang w:val="en-US"/>
        </w:rPr>
        <w:tab/>
      </w:r>
      <w:r w:rsidRPr="00B3044D">
        <w:rPr>
          <w:bCs/>
          <w:i/>
          <w:lang w:val="en-US"/>
        </w:rPr>
        <w:t>Using Decorrelation Stretch to Enhance Rock Art Images.</w:t>
      </w:r>
      <w:proofErr w:type="gramEnd"/>
      <w:r w:rsidRPr="00B3044D">
        <w:rPr>
          <w:bCs/>
          <w:lang w:val="en-US"/>
        </w:rPr>
        <w:t xml:space="preserve"> </w:t>
      </w:r>
      <w:r w:rsidRPr="00581D15">
        <w:rPr>
          <w:bCs/>
        </w:rPr>
        <w:t>Recuperado de http</w:t>
      </w:r>
      <w:proofErr w:type="gramStart"/>
      <w:r w:rsidRPr="00581D15">
        <w:rPr>
          <w:bCs/>
        </w:rPr>
        <w:t>:/</w:t>
      </w:r>
      <w:proofErr w:type="gramEnd"/>
      <w:r w:rsidRPr="00581D15">
        <w:rPr>
          <w:bCs/>
        </w:rPr>
        <w:t>/www.dstretch.com/AlgorithmDescription.html</w:t>
      </w:r>
      <w:r w:rsidR="00A21BBD">
        <w:rPr>
          <w:bCs/>
        </w:rPr>
        <w:t xml:space="preserve">, </w:t>
      </w:r>
      <w:r w:rsidR="00A21BBD">
        <w:rPr>
          <w:rFonts w:cs="Times New Roman"/>
          <w:bCs/>
        </w:rPr>
        <w:t xml:space="preserve">accedido </w:t>
      </w:r>
      <w:r w:rsidR="00A21BBD" w:rsidRPr="00581D15">
        <w:rPr>
          <w:rFonts w:cs="Times New Roman"/>
          <w:bCs/>
        </w:rPr>
        <w:t xml:space="preserve">el </w:t>
      </w:r>
      <w:r w:rsidR="00A21BBD">
        <w:rPr>
          <w:rFonts w:cs="Times New Roman"/>
          <w:bCs/>
        </w:rPr>
        <w:t>12</w:t>
      </w:r>
      <w:r w:rsidR="00A21BBD" w:rsidRPr="00581D15">
        <w:rPr>
          <w:rFonts w:cs="Times New Roman"/>
          <w:bCs/>
        </w:rPr>
        <w:t xml:space="preserve"> de febrero de 2018</w:t>
      </w:r>
      <w:r w:rsidR="00A21BBD">
        <w:rPr>
          <w:rFonts w:cs="Times New Roman"/>
          <w:bCs/>
        </w:rPr>
        <w:t>.</w:t>
      </w:r>
    </w:p>
    <w:p w:rsidR="00EB6A50" w:rsidRDefault="00EB6A50" w:rsidP="008246FF">
      <w:pPr>
        <w:rPr>
          <w:bCs/>
        </w:rPr>
      </w:pPr>
    </w:p>
    <w:p w:rsidR="00EB6A50" w:rsidRPr="00581D15" w:rsidRDefault="00EB6A50" w:rsidP="008246FF">
      <w:pPr>
        <w:rPr>
          <w:bCs/>
        </w:rPr>
      </w:pPr>
      <w:proofErr w:type="spellStart"/>
      <w:r w:rsidRPr="00581D15">
        <w:rPr>
          <w:rFonts w:cs="Times New Roman"/>
          <w:bCs/>
        </w:rPr>
        <w:t>Leonardt</w:t>
      </w:r>
      <w:proofErr w:type="spellEnd"/>
      <w:r w:rsidRPr="00581D15">
        <w:rPr>
          <w:rFonts w:cs="Times New Roman"/>
          <w:bCs/>
        </w:rPr>
        <w:t>, Sabrina</w:t>
      </w:r>
    </w:p>
    <w:p w:rsidR="00521C59" w:rsidRPr="00581D15" w:rsidRDefault="00EB6A50" w:rsidP="008246FF">
      <w:pPr>
        <w:ind w:firstLine="708"/>
        <w:rPr>
          <w:bCs/>
        </w:rPr>
      </w:pPr>
      <w:r w:rsidRPr="00581D15">
        <w:rPr>
          <w:rFonts w:cs="Times New Roman"/>
          <w:bCs/>
        </w:rPr>
        <w:t>2014</w:t>
      </w:r>
      <w:r w:rsidRPr="00581D15">
        <w:rPr>
          <w:rFonts w:cs="Times New Roman"/>
          <w:bCs/>
        </w:rPr>
        <w:tab/>
        <w:t xml:space="preserve">Producción local de cuentas de valva en el bosque del noroeste de Patagonia. Una aproximación desde la arqueología experimental. </w:t>
      </w:r>
      <w:r w:rsidRPr="00581D15">
        <w:rPr>
          <w:rFonts w:cs="Times New Roman"/>
          <w:bCs/>
          <w:i/>
        </w:rPr>
        <w:t>Relaciones de la Sociedad Argentina de Antropología</w:t>
      </w:r>
      <w:r w:rsidRPr="00581D15">
        <w:rPr>
          <w:rFonts w:cs="Times New Roman"/>
          <w:bCs/>
        </w:rPr>
        <w:t xml:space="preserve"> 39(2):463-482.</w:t>
      </w:r>
    </w:p>
    <w:p w:rsidR="00EB6A50" w:rsidRPr="0037722F" w:rsidRDefault="00521C59" w:rsidP="00521C59">
      <w:pPr>
        <w:ind w:firstLine="709"/>
        <w:rPr>
          <w:bCs/>
          <w:lang w:val="en-US"/>
        </w:rPr>
      </w:pPr>
      <w:r w:rsidRPr="00521C59">
        <w:rPr>
          <w:bCs/>
        </w:rPr>
        <w:t>2016</w:t>
      </w:r>
      <w:r w:rsidRPr="00521C59">
        <w:rPr>
          <w:bCs/>
        </w:rPr>
        <w:tab/>
        <w:t xml:space="preserve">Variabilidad temporal en la producción de artefactos de adorno personal en Patagonia continental: análisis a partir del sitio Población Anticura (provincia de Río Negro, Argentina). </w:t>
      </w:r>
      <w:proofErr w:type="spellStart"/>
      <w:r w:rsidR="00B37D8E" w:rsidRPr="00B37D8E">
        <w:rPr>
          <w:bCs/>
          <w:i/>
          <w:lang w:val="en-US"/>
        </w:rPr>
        <w:t>Magallania</w:t>
      </w:r>
      <w:proofErr w:type="spellEnd"/>
      <w:r w:rsidR="00B37D8E" w:rsidRPr="00B37D8E">
        <w:rPr>
          <w:bCs/>
          <w:lang w:val="en-US"/>
        </w:rPr>
        <w:t xml:space="preserve"> 44(1):229-247.</w:t>
      </w:r>
    </w:p>
    <w:p w:rsidR="00521C59" w:rsidRPr="0037722F" w:rsidRDefault="00521C59" w:rsidP="00521C59">
      <w:pPr>
        <w:rPr>
          <w:bCs/>
          <w:lang w:val="en-US"/>
        </w:rPr>
      </w:pPr>
    </w:p>
    <w:p w:rsidR="00EB6A50" w:rsidRPr="003D3091" w:rsidRDefault="00EB6A50" w:rsidP="008246FF">
      <w:pPr>
        <w:rPr>
          <w:bCs/>
          <w:lang w:val="en-US"/>
        </w:rPr>
      </w:pPr>
      <w:proofErr w:type="spellStart"/>
      <w:r w:rsidRPr="003D3091">
        <w:rPr>
          <w:bCs/>
          <w:lang w:val="en-US"/>
        </w:rPr>
        <w:t>Munsell</w:t>
      </w:r>
      <w:proofErr w:type="spellEnd"/>
      <w:r w:rsidRPr="003D3091">
        <w:rPr>
          <w:bCs/>
          <w:lang w:val="en-US"/>
        </w:rPr>
        <w:t xml:space="preserve"> Soil Color Charts</w:t>
      </w:r>
    </w:p>
    <w:p w:rsidR="00EB6A50" w:rsidRPr="003D3091" w:rsidRDefault="00EB6A50" w:rsidP="008246FF">
      <w:pPr>
        <w:ind w:firstLine="708"/>
        <w:rPr>
          <w:bCs/>
          <w:lang w:val="en-US"/>
        </w:rPr>
      </w:pPr>
      <w:r w:rsidRPr="003D3091">
        <w:rPr>
          <w:bCs/>
          <w:lang w:val="en-US"/>
        </w:rPr>
        <w:t>1988</w:t>
      </w:r>
      <w:r w:rsidRPr="003D3091">
        <w:rPr>
          <w:bCs/>
          <w:lang w:val="en-US"/>
        </w:rPr>
        <w:tab/>
      </w:r>
      <w:proofErr w:type="spellStart"/>
      <w:r w:rsidRPr="003D3091">
        <w:rPr>
          <w:bCs/>
          <w:i/>
          <w:lang w:val="en-US"/>
        </w:rPr>
        <w:t>Munsell</w:t>
      </w:r>
      <w:proofErr w:type="spellEnd"/>
      <w:r w:rsidRPr="003D3091">
        <w:rPr>
          <w:bCs/>
          <w:i/>
          <w:lang w:val="en-US"/>
        </w:rPr>
        <w:t xml:space="preserve"> Color</w:t>
      </w:r>
      <w:r w:rsidRPr="003D3091">
        <w:rPr>
          <w:bCs/>
          <w:lang w:val="en-US"/>
        </w:rPr>
        <w:t xml:space="preserve">. </w:t>
      </w:r>
      <w:proofErr w:type="gramStart"/>
      <w:r w:rsidRPr="003D3091">
        <w:rPr>
          <w:bCs/>
          <w:lang w:val="en-US"/>
        </w:rPr>
        <w:t>Macbeth Division.</w:t>
      </w:r>
      <w:proofErr w:type="gramEnd"/>
      <w:r w:rsidRPr="003D3091">
        <w:rPr>
          <w:bCs/>
          <w:lang w:val="en-US"/>
        </w:rPr>
        <w:t xml:space="preserve"> Maryland.</w:t>
      </w:r>
    </w:p>
    <w:p w:rsidR="00EB6A50" w:rsidRDefault="00EB6A50" w:rsidP="008246FF">
      <w:pPr>
        <w:rPr>
          <w:bCs/>
          <w:lang w:val="en-US"/>
        </w:rPr>
      </w:pPr>
    </w:p>
    <w:p w:rsidR="00EB6A50" w:rsidRDefault="00EB6A50" w:rsidP="008246FF">
      <w:pPr>
        <w:rPr>
          <w:bCs/>
          <w:lang w:val="en-US"/>
        </w:rPr>
      </w:pPr>
      <w:proofErr w:type="spellStart"/>
      <w:r>
        <w:rPr>
          <w:bCs/>
          <w:lang w:val="en-US"/>
        </w:rPr>
        <w:t>Scheinsohn</w:t>
      </w:r>
      <w:proofErr w:type="spellEnd"/>
      <w:r>
        <w:rPr>
          <w:bCs/>
          <w:lang w:val="en-US"/>
        </w:rPr>
        <w:t>, Vivian</w:t>
      </w:r>
    </w:p>
    <w:p w:rsidR="00EB6A50" w:rsidRPr="003D3091" w:rsidRDefault="00EB6A50" w:rsidP="008246FF">
      <w:pPr>
        <w:rPr>
          <w:bCs/>
          <w:lang w:val="en-US"/>
        </w:rPr>
      </w:pPr>
      <w:r w:rsidRPr="007B0F3F">
        <w:rPr>
          <w:bCs/>
          <w:lang w:val="en-US"/>
        </w:rPr>
        <w:tab/>
      </w:r>
      <w:r w:rsidRPr="0043073C">
        <w:rPr>
          <w:bCs/>
          <w:lang w:val="en-US"/>
        </w:rPr>
        <w:t>2010</w:t>
      </w:r>
      <w:r w:rsidRPr="0043073C">
        <w:rPr>
          <w:bCs/>
          <w:lang w:val="en-US"/>
        </w:rPr>
        <w:tab/>
      </w:r>
      <w:r w:rsidRPr="00C23E62">
        <w:rPr>
          <w:bCs/>
          <w:i/>
          <w:lang w:val="en-US"/>
        </w:rPr>
        <w:t xml:space="preserve">Hearths and Bones. </w:t>
      </w:r>
      <w:r w:rsidR="00142A4C" w:rsidRPr="001939E8">
        <w:rPr>
          <w:bCs/>
          <w:i/>
          <w:lang w:val="en-US"/>
        </w:rPr>
        <w:t xml:space="preserve">Bone Raw Material Exploitation in Tierra del Fuego. </w:t>
      </w:r>
      <w:proofErr w:type="spellStart"/>
      <w:r w:rsidRPr="00C23E62">
        <w:rPr>
          <w:sz w:val="23"/>
          <w:szCs w:val="23"/>
          <w:lang w:val="en-US"/>
        </w:rPr>
        <w:t>Archaeopress</w:t>
      </w:r>
      <w:proofErr w:type="spellEnd"/>
      <w:r w:rsidRPr="007B0F3F">
        <w:rPr>
          <w:sz w:val="23"/>
          <w:szCs w:val="23"/>
          <w:lang w:val="en-US"/>
        </w:rPr>
        <w:t xml:space="preserve">, BAR International Series 2094, Oxford, </w:t>
      </w:r>
      <w:proofErr w:type="spellStart"/>
      <w:proofErr w:type="gramStart"/>
      <w:r w:rsidRPr="007B0F3F">
        <w:rPr>
          <w:sz w:val="23"/>
          <w:szCs w:val="23"/>
          <w:lang w:val="en-US"/>
        </w:rPr>
        <w:t>Inglaterra</w:t>
      </w:r>
      <w:proofErr w:type="spellEnd"/>
      <w:proofErr w:type="gramEnd"/>
      <w:r w:rsidRPr="007B0F3F">
        <w:rPr>
          <w:sz w:val="23"/>
          <w:szCs w:val="23"/>
          <w:lang w:val="en-US"/>
        </w:rPr>
        <w:t>.</w:t>
      </w:r>
    </w:p>
    <w:p w:rsidR="00EB6A50" w:rsidRDefault="00EB6A50" w:rsidP="008246FF">
      <w:pPr>
        <w:rPr>
          <w:rFonts w:cs="Times New Roman"/>
          <w:bCs/>
          <w:lang w:val="en-US"/>
        </w:rPr>
      </w:pPr>
    </w:p>
    <w:p w:rsidR="00EB6A50" w:rsidRPr="00581D15" w:rsidRDefault="00EB6A50" w:rsidP="008246FF">
      <w:pPr>
        <w:rPr>
          <w:rFonts w:cs="Times New Roman"/>
          <w:bCs/>
          <w:lang w:val="en-US"/>
        </w:rPr>
      </w:pPr>
      <w:proofErr w:type="spellStart"/>
      <w:r w:rsidRPr="00581D15">
        <w:rPr>
          <w:rFonts w:cs="Times New Roman"/>
          <w:bCs/>
          <w:lang w:val="en-US"/>
        </w:rPr>
        <w:t>Shott</w:t>
      </w:r>
      <w:proofErr w:type="spellEnd"/>
      <w:r w:rsidRPr="00581D15">
        <w:rPr>
          <w:rFonts w:cs="Times New Roman"/>
          <w:bCs/>
          <w:lang w:val="en-US"/>
        </w:rPr>
        <w:t>, Michael</w:t>
      </w:r>
    </w:p>
    <w:p w:rsidR="00EB6A50" w:rsidRPr="00581D15" w:rsidRDefault="00EB6A50" w:rsidP="008246FF">
      <w:pPr>
        <w:ind w:firstLine="708"/>
        <w:rPr>
          <w:rFonts w:cs="Times New Roman"/>
          <w:bCs/>
          <w:lang w:val="en-US"/>
        </w:rPr>
      </w:pPr>
      <w:r w:rsidRPr="00581D15">
        <w:rPr>
          <w:rFonts w:cs="Times New Roman"/>
          <w:bCs/>
          <w:lang w:val="en-US"/>
        </w:rPr>
        <w:t>1986</w:t>
      </w:r>
      <w:r w:rsidRPr="00581D15">
        <w:rPr>
          <w:rFonts w:cs="Times New Roman"/>
          <w:bCs/>
          <w:lang w:val="en-US"/>
        </w:rPr>
        <w:tab/>
        <w:t xml:space="preserve">Technological Organization and Settlement Mobility: an Ethnographic Examination. </w:t>
      </w:r>
      <w:r w:rsidRPr="00C23E62">
        <w:rPr>
          <w:rFonts w:cs="Times New Roman"/>
          <w:bCs/>
          <w:i/>
          <w:lang w:val="en-US"/>
        </w:rPr>
        <w:t>Journal of Anthropological Research</w:t>
      </w:r>
      <w:r w:rsidRPr="00581D15">
        <w:rPr>
          <w:rFonts w:cs="Times New Roman"/>
          <w:bCs/>
          <w:lang w:val="en-US"/>
        </w:rPr>
        <w:t xml:space="preserve"> 42(1):15-51.</w:t>
      </w:r>
    </w:p>
    <w:p w:rsidR="00EB6A50" w:rsidRPr="00581D15" w:rsidRDefault="00EB6A50" w:rsidP="008246FF">
      <w:pPr>
        <w:ind w:firstLine="708"/>
        <w:rPr>
          <w:rFonts w:cs="Times New Roman"/>
          <w:bCs/>
        </w:rPr>
      </w:pPr>
      <w:r w:rsidRPr="00581D15">
        <w:rPr>
          <w:rFonts w:cs="Times New Roman"/>
          <w:bCs/>
          <w:lang w:val="en-US"/>
        </w:rPr>
        <w:t>1989</w:t>
      </w:r>
      <w:r w:rsidRPr="00581D15">
        <w:rPr>
          <w:rFonts w:cs="Times New Roman"/>
          <w:bCs/>
          <w:lang w:val="en-US"/>
        </w:rPr>
        <w:tab/>
        <w:t xml:space="preserve">On Tool-Class Use Lives and the Formation of Archaeological Assemblages. </w:t>
      </w:r>
      <w:r w:rsidRPr="00581D15">
        <w:rPr>
          <w:rFonts w:cs="Times New Roman"/>
          <w:bCs/>
          <w:i/>
        </w:rPr>
        <w:t xml:space="preserve">American </w:t>
      </w:r>
      <w:proofErr w:type="spellStart"/>
      <w:r w:rsidRPr="00581D15">
        <w:rPr>
          <w:rFonts w:cs="Times New Roman"/>
          <w:bCs/>
          <w:i/>
        </w:rPr>
        <w:t>Antiquity</w:t>
      </w:r>
      <w:proofErr w:type="spellEnd"/>
      <w:r w:rsidRPr="00581D15">
        <w:rPr>
          <w:rFonts w:cs="Times New Roman"/>
          <w:bCs/>
        </w:rPr>
        <w:t xml:space="preserve"> 54(1):9-30.</w:t>
      </w:r>
    </w:p>
    <w:sectPr w:rsidR="00EB6A50" w:rsidRPr="00581D15" w:rsidSect="0070430F">
      <w:pgSz w:w="12240" w:h="15840"/>
      <w:pgMar w:top="1417" w:right="1701" w:bottom="1417" w:left="1701" w:header="708" w:footer="708" w:gutter="0"/>
      <w:cols w:space="708"/>
      <w:docGrid w:linePitch="360"/>
    </w:sectPr>
  </w:body>
</w:document>
</file>

<file path=word/commentsExtended.xml><?xml version="1.0" encoding="utf-8"?>
<w15:commentsEx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29B5B544" w15:done="0"/>
  <w15:commentEx w15:paraId="3AF7B07E" w15:done="0"/>
  <w15:commentEx w15:paraId="4B3AB3DB" w15:done="0"/>
  <w15:commentEx w15:paraId="2612A97C" w15:done="0"/>
  <w15:commentEx w15:paraId="34FCB41E" w15:done="0"/>
</w15:commentsEx>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AP">
    <w15:presenceInfo w15:providerId="None" w15:userId="AP"/>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684F04"/>
    <w:rsid w:val="000B34EA"/>
    <w:rsid w:val="000B53F2"/>
    <w:rsid w:val="000C336B"/>
    <w:rsid w:val="00134781"/>
    <w:rsid w:val="00142A4C"/>
    <w:rsid w:val="00162855"/>
    <w:rsid w:val="00171791"/>
    <w:rsid w:val="00180130"/>
    <w:rsid w:val="001939E8"/>
    <w:rsid w:val="00196E97"/>
    <w:rsid w:val="001B3783"/>
    <w:rsid w:val="001B7AA1"/>
    <w:rsid w:val="001C4BD9"/>
    <w:rsid w:val="001F6462"/>
    <w:rsid w:val="00201106"/>
    <w:rsid w:val="002308BF"/>
    <w:rsid w:val="00235F33"/>
    <w:rsid w:val="0027168E"/>
    <w:rsid w:val="00276CE4"/>
    <w:rsid w:val="002828F5"/>
    <w:rsid w:val="002D0129"/>
    <w:rsid w:val="00315488"/>
    <w:rsid w:val="003224F3"/>
    <w:rsid w:val="00357EBC"/>
    <w:rsid w:val="0037722F"/>
    <w:rsid w:val="003F4303"/>
    <w:rsid w:val="00433113"/>
    <w:rsid w:val="00444252"/>
    <w:rsid w:val="0048183E"/>
    <w:rsid w:val="0048760C"/>
    <w:rsid w:val="0049223D"/>
    <w:rsid w:val="004C584E"/>
    <w:rsid w:val="00502DF8"/>
    <w:rsid w:val="00517694"/>
    <w:rsid w:val="00521C59"/>
    <w:rsid w:val="005527C8"/>
    <w:rsid w:val="005574AD"/>
    <w:rsid w:val="0059057A"/>
    <w:rsid w:val="005B3195"/>
    <w:rsid w:val="005B3509"/>
    <w:rsid w:val="005E06AE"/>
    <w:rsid w:val="006842BA"/>
    <w:rsid w:val="00684F04"/>
    <w:rsid w:val="006E5291"/>
    <w:rsid w:val="0070430F"/>
    <w:rsid w:val="00760532"/>
    <w:rsid w:val="007D3ED8"/>
    <w:rsid w:val="00812C19"/>
    <w:rsid w:val="008130BD"/>
    <w:rsid w:val="00822CC8"/>
    <w:rsid w:val="008246FF"/>
    <w:rsid w:val="00866510"/>
    <w:rsid w:val="008A4B7A"/>
    <w:rsid w:val="008E692E"/>
    <w:rsid w:val="009224E7"/>
    <w:rsid w:val="009465A1"/>
    <w:rsid w:val="0095529A"/>
    <w:rsid w:val="009F398C"/>
    <w:rsid w:val="00A21BBD"/>
    <w:rsid w:val="00A26CDF"/>
    <w:rsid w:val="00A56913"/>
    <w:rsid w:val="00A6005C"/>
    <w:rsid w:val="00A9498E"/>
    <w:rsid w:val="00AA0C13"/>
    <w:rsid w:val="00AC2DB5"/>
    <w:rsid w:val="00AF1DA0"/>
    <w:rsid w:val="00AF5E39"/>
    <w:rsid w:val="00B37D8E"/>
    <w:rsid w:val="00B957AB"/>
    <w:rsid w:val="00C00955"/>
    <w:rsid w:val="00C82D32"/>
    <w:rsid w:val="00CC0905"/>
    <w:rsid w:val="00CC22ED"/>
    <w:rsid w:val="00CF65E7"/>
    <w:rsid w:val="00D10EDD"/>
    <w:rsid w:val="00D36F0C"/>
    <w:rsid w:val="00D72D1C"/>
    <w:rsid w:val="00D81B3C"/>
    <w:rsid w:val="00DF09D6"/>
    <w:rsid w:val="00E00911"/>
    <w:rsid w:val="00E4728D"/>
    <w:rsid w:val="00E74EF6"/>
    <w:rsid w:val="00EB6A50"/>
    <w:rsid w:val="00EC11D0"/>
    <w:rsid w:val="00EE714E"/>
    <w:rsid w:val="00F00609"/>
    <w:rsid w:val="00F2235A"/>
    <w:rsid w:val="00F7006A"/>
    <w:rsid w:val="00FA17BE"/>
  </w:rsids>
  <m:mathPr>
    <m:mathFont m:val="Cambria Math"/>
    <m:brkBin m:val="before"/>
    <m:brkBinSub m:val="--"/>
    <m:smallFrac m:val="off"/>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4F04"/>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D36F0C"/>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D36F0C"/>
    <w:rPr>
      <w:rFonts w:ascii="Tahoma" w:hAnsi="Tahoma" w:cs="Tahoma"/>
      <w:sz w:val="16"/>
      <w:szCs w:val="16"/>
    </w:rPr>
  </w:style>
  <w:style w:type="table" w:styleId="Tablaconcuadrcula">
    <w:name w:val="Table Grid"/>
    <w:basedOn w:val="Tablanormal"/>
    <w:uiPriority w:val="59"/>
    <w:rsid w:val="00D10ED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Prrafodelista">
    <w:name w:val="List Paragraph"/>
    <w:basedOn w:val="Normal"/>
    <w:uiPriority w:val="34"/>
    <w:qFormat/>
    <w:rsid w:val="00433113"/>
    <w:pPr>
      <w:ind w:left="720"/>
      <w:contextualSpacing/>
    </w:pPr>
  </w:style>
  <w:style w:type="character" w:styleId="Refdecomentario">
    <w:name w:val="annotation reference"/>
    <w:basedOn w:val="Fuentedeprrafopredeter"/>
    <w:uiPriority w:val="99"/>
    <w:semiHidden/>
    <w:unhideWhenUsed/>
    <w:rsid w:val="008E692E"/>
    <w:rPr>
      <w:sz w:val="16"/>
      <w:szCs w:val="16"/>
    </w:rPr>
  </w:style>
  <w:style w:type="paragraph" w:styleId="Textocomentario">
    <w:name w:val="annotation text"/>
    <w:basedOn w:val="Normal"/>
    <w:link w:val="TextocomentarioCar"/>
    <w:uiPriority w:val="99"/>
    <w:semiHidden/>
    <w:unhideWhenUsed/>
    <w:rsid w:val="008E692E"/>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8E692E"/>
    <w:rPr>
      <w:sz w:val="20"/>
      <w:szCs w:val="20"/>
    </w:rPr>
  </w:style>
  <w:style w:type="paragraph" w:styleId="Asuntodelcomentario">
    <w:name w:val="annotation subject"/>
    <w:basedOn w:val="Textocomentario"/>
    <w:next w:val="Textocomentario"/>
    <w:link w:val="AsuntodelcomentarioCar"/>
    <w:uiPriority w:val="99"/>
    <w:semiHidden/>
    <w:unhideWhenUsed/>
    <w:rsid w:val="008E692E"/>
    <w:rPr>
      <w:b/>
      <w:bCs/>
    </w:rPr>
  </w:style>
  <w:style w:type="character" w:customStyle="1" w:styleId="AsuntodelcomentarioCar">
    <w:name w:val="Asunto del comentario Car"/>
    <w:basedOn w:val="TextocomentarioCar"/>
    <w:link w:val="Asuntodelcomentario"/>
    <w:uiPriority w:val="99"/>
    <w:semiHidden/>
    <w:rsid w:val="008E692E"/>
    <w:rPr>
      <w:b/>
      <w:bCs/>
      <w:sz w:val="20"/>
      <w:szCs w:val="20"/>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2.png"/><Relationship Id="rId11" Type="http://schemas.microsoft.com/office/2011/relationships/people" Target="people.xml"/><Relationship Id="rId5" Type="http://schemas.openxmlformats.org/officeDocument/2006/relationships/image" Target="media/image1.png"/><Relationship Id="rId10" Type="http://schemas.microsoft.com/office/2011/relationships/commentsExtended" Target="commentsExtended.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86E80D-B719-44D5-98D7-0D78096AFA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13</Pages>
  <Words>3321</Words>
  <Characters>18267</Characters>
  <Application>Microsoft Office Word</Application>
  <DocSecurity>0</DocSecurity>
  <Lines>152</Lines>
  <Paragraphs>43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21545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RevisorA</dc:creator>
  <cp:lastModifiedBy>Autor</cp:lastModifiedBy>
  <cp:revision>4</cp:revision>
  <dcterms:created xsi:type="dcterms:W3CDTF">2019-01-14T18:45:00Z</dcterms:created>
  <dcterms:modified xsi:type="dcterms:W3CDTF">2019-01-16T18:06:00Z</dcterms:modified>
</cp:coreProperties>
</file>