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93" w:rsidRDefault="00AC3993" w:rsidP="0091533C">
      <w:pPr>
        <w:pStyle w:val="Descripcin"/>
        <w:keepNext/>
        <w:spacing w:after="0"/>
        <w:jc w:val="both"/>
        <w:rPr>
          <w:color w:val="auto"/>
          <w:lang w:val="pt-BR"/>
        </w:rPr>
      </w:pPr>
    </w:p>
    <w:p w:rsidR="009D5043" w:rsidRPr="009D5043" w:rsidRDefault="009D5043" w:rsidP="009D5043">
      <w:pPr>
        <w:rPr>
          <w:lang w:val="pt-BR"/>
        </w:rPr>
      </w:pPr>
      <w:r w:rsidRPr="009D5043">
        <w:rPr>
          <w:lang w:val="pt-BR"/>
        </w:rPr>
        <w:t>Tabela Suplementar 3: Datações do sítio Lapa do Santo</w:t>
      </w:r>
      <w:r>
        <w:rPr>
          <w:lang w:val="pt-BR"/>
        </w:rPr>
        <w:t>.</w:t>
      </w:r>
    </w:p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1074"/>
        <w:gridCol w:w="1417"/>
        <w:gridCol w:w="2268"/>
        <w:gridCol w:w="2435"/>
      </w:tblGrid>
      <w:tr w:rsidR="00862181" w:rsidRPr="00250293" w:rsidTr="00EA1EB9">
        <w:trPr>
          <w:trHeight w:val="484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862181" w:rsidRPr="00250293" w:rsidRDefault="00862181" w:rsidP="0091533C">
            <w:pPr>
              <w:spacing w:line="240" w:lineRule="auto"/>
              <w:jc w:val="center"/>
              <w:rPr>
                <w:b/>
                <w:sz w:val="20"/>
              </w:rPr>
            </w:pPr>
            <w:r w:rsidRPr="00250293">
              <w:rPr>
                <w:b/>
                <w:sz w:val="20"/>
              </w:rPr>
              <w:t>Número da Amostra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862181" w:rsidRPr="00250293" w:rsidRDefault="00862181" w:rsidP="0091533C">
            <w:pPr>
              <w:spacing w:line="240" w:lineRule="auto"/>
              <w:jc w:val="center"/>
              <w:rPr>
                <w:b/>
                <w:sz w:val="20"/>
              </w:rPr>
            </w:pPr>
            <w:r w:rsidRPr="00250293">
              <w:rPr>
                <w:b/>
                <w:sz w:val="20"/>
              </w:rPr>
              <w:t>Nível (cm)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62181" w:rsidRPr="00250293" w:rsidRDefault="00862181" w:rsidP="00727544">
            <w:pPr>
              <w:spacing w:line="240" w:lineRule="auto"/>
              <w:jc w:val="center"/>
              <w:rPr>
                <w:b/>
                <w:sz w:val="20"/>
              </w:rPr>
            </w:pPr>
            <w:r w:rsidRPr="00250293">
              <w:rPr>
                <w:b/>
                <w:sz w:val="20"/>
              </w:rPr>
              <w:t xml:space="preserve">Data </w:t>
            </w:r>
            <w:r w:rsidR="00727544" w:rsidRPr="00727544">
              <w:rPr>
                <w:b/>
                <w:sz w:val="20"/>
                <w:vertAlign w:val="superscript"/>
              </w:rPr>
              <w:t>14</w:t>
            </w:r>
            <w:r w:rsidRPr="00250293">
              <w:rPr>
                <w:b/>
                <w:sz w:val="20"/>
              </w:rPr>
              <w:t>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2181" w:rsidRPr="00250293" w:rsidRDefault="00862181" w:rsidP="0091533C">
            <w:pPr>
              <w:spacing w:line="240" w:lineRule="auto"/>
              <w:jc w:val="center"/>
              <w:rPr>
                <w:b/>
                <w:sz w:val="20"/>
              </w:rPr>
            </w:pPr>
            <w:r w:rsidRPr="00250293">
              <w:rPr>
                <w:b/>
                <w:sz w:val="20"/>
              </w:rPr>
              <w:t>Calib</w:t>
            </w:r>
            <w:r>
              <w:rPr>
                <w:b/>
                <w:sz w:val="20"/>
              </w:rPr>
              <w:t>.</w:t>
            </w:r>
            <w:r w:rsidRPr="00250293">
              <w:rPr>
                <w:b/>
                <w:sz w:val="20"/>
              </w:rPr>
              <w:t xml:space="preserve"> Curva </w:t>
            </w:r>
            <w:r w:rsidR="00727544">
              <w:rPr>
                <w:b/>
                <w:sz w:val="20"/>
              </w:rPr>
              <w:t>SHCal 13 (95,</w:t>
            </w:r>
            <w:r>
              <w:rPr>
                <w:b/>
                <w:sz w:val="20"/>
              </w:rPr>
              <w:t>4% probabilidade)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862181" w:rsidRPr="00250293" w:rsidRDefault="00862181" w:rsidP="0091533C">
            <w:pPr>
              <w:spacing w:line="240" w:lineRule="auto"/>
              <w:jc w:val="center"/>
              <w:rPr>
                <w:b/>
                <w:sz w:val="20"/>
              </w:rPr>
            </w:pPr>
            <w:r w:rsidRPr="00250293">
              <w:rPr>
                <w:b/>
                <w:sz w:val="20"/>
              </w:rPr>
              <w:t>Fonte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Beta-253497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790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739- 590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Beta-202764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910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:rsidR="005B115A" w:rsidRDefault="00697072" w:rsidP="0069707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906-684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Beta-183572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960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938-720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Beta-280491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1080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995-901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Beta-202766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3810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4299-3973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Beta-202765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3820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4244-4080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Beta-183570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3830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4299-4066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Beta-216517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3930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697072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4424-4218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Beta-243393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3950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4440-4227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Beta-214129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3960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4446-4231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Beta-183574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4010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4827-4089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Beta-216521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4070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4710-4381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Beta-243392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4140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4729-4514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Beta-202768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4290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5047-4521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Beta-248891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4470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5079-4868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Beta-215195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5990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6890-6670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Beta-215194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7400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8313-8037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Beta-215200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5B115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B115A">
              <w:rPr>
                <w:sz w:val="20"/>
                <w:szCs w:val="20"/>
              </w:rPr>
              <w:t>7700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±</w:t>
            </w:r>
            <w:r w:rsidRPr="005B115A">
              <w:rPr>
                <w:spacing w:val="4"/>
                <w:sz w:val="20"/>
                <w:szCs w:val="20"/>
              </w:rPr>
              <w:t xml:space="preserve"> </w:t>
            </w:r>
            <w:r w:rsidRPr="005B115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5B115A" w:rsidRDefault="00EA1EB9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8543-8387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5B115A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02FA">
              <w:rPr>
                <w:sz w:val="20"/>
                <w:szCs w:val="20"/>
                <w:lang w:val="en-US"/>
              </w:rPr>
              <w:t>Beta-214142</w:t>
            </w:r>
          </w:p>
        </w:tc>
        <w:tc>
          <w:tcPr>
            <w:tcW w:w="1074" w:type="dxa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202FA">
              <w:rPr>
                <w:sz w:val="20"/>
                <w:szCs w:val="20"/>
                <w:lang w:val="en-US"/>
              </w:rPr>
              <w:t>7890 ± 40</w:t>
            </w:r>
          </w:p>
        </w:tc>
        <w:tc>
          <w:tcPr>
            <w:tcW w:w="2268" w:type="dxa"/>
            <w:vAlign w:val="center"/>
          </w:tcPr>
          <w:p w:rsidR="005B115A" w:rsidRPr="00C202FA" w:rsidRDefault="005B115A" w:rsidP="005B115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8952 – 8523</w:t>
            </w:r>
          </w:p>
        </w:tc>
        <w:tc>
          <w:tcPr>
            <w:tcW w:w="2435" w:type="dxa"/>
            <w:vAlign w:val="center"/>
          </w:tcPr>
          <w:p w:rsidR="005B115A" w:rsidRPr="00727544" w:rsidRDefault="005B115A" w:rsidP="005B115A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58"/>
          <w:jc w:val="center"/>
        </w:trPr>
        <w:tc>
          <w:tcPr>
            <w:tcW w:w="2045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Beta-159246</w:t>
            </w:r>
          </w:p>
        </w:tc>
        <w:tc>
          <w:tcPr>
            <w:tcW w:w="1074" w:type="dxa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7940 ± 50</w:t>
            </w:r>
          </w:p>
        </w:tc>
        <w:tc>
          <w:tcPr>
            <w:tcW w:w="2268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8980 – 8591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Beta-183573</w:t>
            </w:r>
          </w:p>
        </w:tc>
        <w:tc>
          <w:tcPr>
            <w:tcW w:w="1074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8230 ± 50</w:t>
            </w:r>
          </w:p>
        </w:tc>
        <w:tc>
          <w:tcPr>
            <w:tcW w:w="2268" w:type="dxa"/>
            <w:vAlign w:val="center"/>
          </w:tcPr>
          <w:p w:rsidR="0091533C" w:rsidRPr="0091533C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91533C">
              <w:rPr>
                <w:bCs/>
                <w:sz w:val="20"/>
                <w:szCs w:val="20"/>
                <w:lang w:val="pt-BR"/>
              </w:rPr>
              <w:t>9296 – 9010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Beta-202767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8530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9540 – 9440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Beta-202763</w:t>
            </w:r>
          </w:p>
        </w:tc>
        <w:tc>
          <w:tcPr>
            <w:tcW w:w="1074" w:type="dxa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8600 ± 50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9657 – 9465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Beta-183571</w:t>
            </w:r>
          </w:p>
        </w:tc>
        <w:tc>
          <w:tcPr>
            <w:tcW w:w="1074" w:type="dxa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8600 ± 160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10152 – 9140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Beta-216523</w:t>
            </w:r>
          </w:p>
        </w:tc>
        <w:tc>
          <w:tcPr>
            <w:tcW w:w="1074" w:type="dxa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8620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9656 – 9481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Beta-214131</w:t>
            </w:r>
          </w:p>
        </w:tc>
        <w:tc>
          <w:tcPr>
            <w:tcW w:w="1074" w:type="dxa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8670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9689 – 9528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Beta-216519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8690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9703 – 9531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Beta-214133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8700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9731 – 9535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Beta-214136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8710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9739 – 9536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Beta-216524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8710 ± 80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10.109 – 9494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Beta-214135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8750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9886 – 9546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Beta-280490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8790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9901 – 9560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Beta-214132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8790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9901 – 9560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Beta-216522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8800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9915 – 9557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Beta-216520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8810 ± 90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10.153 – 9549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Beta-170723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8820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10.119 – 9562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Beta-214137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8820 ± 60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10.146 – 9557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Beta-214134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8870 ± 100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10.188 – 9564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Beta-159247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8880 ± 50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10.160 – 9700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Beta-280487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8890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10.162 – 9736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Beta-246246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8900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10.170 – 9744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Beta-214140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8930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10.187 – 9788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Beta-214139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8930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10.187 – 9788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Beta-214141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8980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10.206 – 9913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Beta-216518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9100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10.291 – 10.161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Beta-214143</w:t>
            </w:r>
          </w:p>
        </w:tc>
        <w:tc>
          <w:tcPr>
            <w:tcW w:w="1074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6508E7">
              <w:rPr>
                <w:bCs/>
                <w:sz w:val="20"/>
                <w:szCs w:val="20"/>
                <w:lang w:val="en-US"/>
              </w:rPr>
              <w:t>9150 ± 40</w:t>
            </w:r>
          </w:p>
        </w:tc>
        <w:tc>
          <w:tcPr>
            <w:tcW w:w="2268" w:type="dxa"/>
            <w:vAlign w:val="center"/>
          </w:tcPr>
          <w:p w:rsidR="0091533C" w:rsidRPr="006508E7" w:rsidRDefault="0091533C" w:rsidP="0091533C">
            <w:pPr>
              <w:spacing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10.400 – 10.196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Beta-263885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9370 ± 40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10.684 – 10.398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Beta-263883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9470 ± 50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11.062 – 10.508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Beta-256223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9520 ± 60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11.084 – 10.567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Beta-263882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9650 ± 50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11.169 – 10.757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Beta-263884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9680 ± 50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11.189 – 10.775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Beta-280488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9720 ± 40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11.213 – 10.793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lastRenderedPageBreak/>
              <w:t>Beta-214130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9900 ± 40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11.385 – 11.198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Beta-214138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3F0F2E">
              <w:rPr>
                <w:sz w:val="20"/>
                <w:szCs w:val="20"/>
                <w:lang w:val="en-US"/>
              </w:rPr>
              <w:t>070 ± 100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11.950 – 11.244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42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Beta-256224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3F0F2E">
              <w:rPr>
                <w:sz w:val="20"/>
                <w:szCs w:val="20"/>
                <w:lang w:val="en-US"/>
              </w:rPr>
              <w:t>130 ± 60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11.961 – 11.351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  <w:tr w:rsidR="0091533C" w:rsidRPr="0091533C" w:rsidTr="00EA1EB9">
        <w:trPr>
          <w:trHeight w:val="258"/>
          <w:jc w:val="center"/>
        </w:trPr>
        <w:tc>
          <w:tcPr>
            <w:tcW w:w="2045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Beta-280489</w:t>
            </w:r>
          </w:p>
        </w:tc>
        <w:tc>
          <w:tcPr>
            <w:tcW w:w="1074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F0F2E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  <w:r w:rsidRPr="003F0F2E">
              <w:rPr>
                <w:sz w:val="20"/>
                <w:szCs w:val="20"/>
                <w:lang w:val="en-US"/>
              </w:rPr>
              <w:t>490 ± 50</w:t>
            </w:r>
          </w:p>
        </w:tc>
        <w:tc>
          <w:tcPr>
            <w:tcW w:w="2268" w:type="dxa"/>
            <w:vAlign w:val="center"/>
          </w:tcPr>
          <w:p w:rsidR="0091533C" w:rsidRPr="003F0F2E" w:rsidRDefault="0091533C" w:rsidP="0091533C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12.552 – 12.057</w:t>
            </w:r>
          </w:p>
        </w:tc>
        <w:tc>
          <w:tcPr>
            <w:tcW w:w="2435" w:type="dxa"/>
          </w:tcPr>
          <w:p w:rsidR="0091533C" w:rsidRPr="00727544" w:rsidRDefault="0091533C" w:rsidP="0091533C">
            <w:pPr>
              <w:spacing w:line="240" w:lineRule="auto"/>
            </w:pPr>
            <w:r w:rsidRPr="00727544">
              <w:rPr>
                <w:sz w:val="20"/>
                <w:szCs w:val="20"/>
                <w:lang w:val="pt-BR"/>
              </w:rPr>
              <w:t>Araujo et al. 2012</w:t>
            </w:r>
          </w:p>
        </w:tc>
      </w:tr>
    </w:tbl>
    <w:p w:rsidR="005C3392" w:rsidRDefault="00BB07A1" w:rsidP="0091533C">
      <w:pPr>
        <w:spacing w:line="240" w:lineRule="auto"/>
        <w:rPr>
          <w:lang w:val="pt-BR"/>
        </w:rPr>
      </w:pPr>
    </w:p>
    <w:p w:rsidR="007E19DF" w:rsidRDefault="007E19DF" w:rsidP="007E19DF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E19DF" w:rsidRDefault="007E19DF" w:rsidP="007E19DF">
      <w:pPr>
        <w:autoSpaceDE w:val="0"/>
        <w:autoSpaceDN w:val="0"/>
        <w:adjustRightInd w:val="0"/>
        <w:jc w:val="center"/>
        <w:rPr>
          <w:b/>
          <w:lang w:val="pt-BR"/>
        </w:rPr>
      </w:pPr>
      <w:r w:rsidRPr="007E19DF">
        <w:rPr>
          <w:b/>
          <w:lang w:val="pt-BR"/>
        </w:rPr>
        <w:t>Referências Bibliográficas</w:t>
      </w:r>
    </w:p>
    <w:p w:rsidR="007E19DF" w:rsidRPr="007E19DF" w:rsidRDefault="007E19DF" w:rsidP="007E19DF">
      <w:pPr>
        <w:autoSpaceDE w:val="0"/>
        <w:autoSpaceDN w:val="0"/>
        <w:adjustRightInd w:val="0"/>
        <w:jc w:val="center"/>
        <w:rPr>
          <w:b/>
          <w:lang w:val="pt-BR"/>
        </w:rPr>
      </w:pPr>
    </w:p>
    <w:p w:rsidR="007E19DF" w:rsidRPr="007E19DF" w:rsidRDefault="007E19DF" w:rsidP="007E19DF">
      <w:pPr>
        <w:contextualSpacing/>
        <w:jc w:val="both"/>
        <w:rPr>
          <w:lang w:val="pt-BR"/>
        </w:rPr>
      </w:pPr>
      <w:r w:rsidRPr="007E19DF">
        <w:rPr>
          <w:lang w:val="pt-BR"/>
        </w:rPr>
        <w:t xml:space="preserve">Araujo, Astolfo Gomes </w:t>
      </w:r>
      <w:bookmarkStart w:id="0" w:name="_GoBack"/>
      <w:bookmarkEnd w:id="0"/>
      <w:r w:rsidRPr="007E19DF">
        <w:rPr>
          <w:lang w:val="pt-BR"/>
        </w:rPr>
        <w:t>de Mello, Walter Alves Neves e Renato Kipnis</w:t>
      </w:r>
    </w:p>
    <w:p w:rsidR="007E19DF" w:rsidRPr="00822ACE" w:rsidRDefault="007E19DF" w:rsidP="007E19DF">
      <w:pPr>
        <w:ind w:firstLine="708"/>
        <w:contextualSpacing/>
        <w:jc w:val="both"/>
        <w:rPr>
          <w:lang w:val="en-US"/>
        </w:rPr>
      </w:pPr>
      <w:r w:rsidRPr="007E19DF">
        <w:t>2012</w:t>
      </w:r>
      <w:r w:rsidRPr="00BB6D99">
        <w:tab/>
      </w:r>
      <w:r w:rsidRPr="00BB6D99">
        <w:rPr>
          <w:lang w:val="en-US"/>
        </w:rPr>
        <w:t>Lagoa Santa Revisited: An Overview of the Chronology, Subsistence, and Material Culture of Paleoindian Sites in Eastern Central Brazil</w:t>
      </w:r>
      <w:r w:rsidRPr="00BB6D99">
        <w:rPr>
          <w:i/>
          <w:lang w:val="en-US"/>
        </w:rPr>
        <w:t xml:space="preserve">. </w:t>
      </w:r>
      <w:r w:rsidRPr="00822ACE">
        <w:rPr>
          <w:i/>
          <w:lang w:val="en-US"/>
        </w:rPr>
        <w:t>Latin American Antiquity</w:t>
      </w:r>
      <w:r w:rsidRPr="00822ACE">
        <w:rPr>
          <w:lang w:val="en-US"/>
        </w:rPr>
        <w:t xml:space="preserve"> 23:533-550. </w:t>
      </w:r>
    </w:p>
    <w:p w:rsidR="007E19DF" w:rsidRPr="003F0F2E" w:rsidRDefault="007E19DF" w:rsidP="0091533C">
      <w:pPr>
        <w:spacing w:line="240" w:lineRule="auto"/>
        <w:rPr>
          <w:lang w:val="pt-BR"/>
        </w:rPr>
      </w:pPr>
    </w:p>
    <w:sectPr w:rsidR="007E19DF" w:rsidRPr="003F0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A1" w:rsidRDefault="00BB07A1" w:rsidP="00862181">
      <w:pPr>
        <w:spacing w:line="240" w:lineRule="auto"/>
      </w:pPr>
      <w:r>
        <w:separator/>
      </w:r>
    </w:p>
  </w:endnote>
  <w:endnote w:type="continuationSeparator" w:id="0">
    <w:p w:rsidR="00BB07A1" w:rsidRDefault="00BB07A1" w:rsidP="00862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A1" w:rsidRDefault="00BB07A1" w:rsidP="00862181">
      <w:pPr>
        <w:spacing w:line="240" w:lineRule="auto"/>
      </w:pPr>
      <w:r>
        <w:separator/>
      </w:r>
    </w:p>
  </w:footnote>
  <w:footnote w:type="continuationSeparator" w:id="0">
    <w:p w:rsidR="00BB07A1" w:rsidRDefault="00BB07A1" w:rsidP="008621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1"/>
    <w:rsid w:val="0002034D"/>
    <w:rsid w:val="0003612F"/>
    <w:rsid w:val="000850C6"/>
    <w:rsid w:val="000C3F79"/>
    <w:rsid w:val="000F1525"/>
    <w:rsid w:val="001E3D35"/>
    <w:rsid w:val="0023351D"/>
    <w:rsid w:val="002355DD"/>
    <w:rsid w:val="002E4D5B"/>
    <w:rsid w:val="0035757D"/>
    <w:rsid w:val="003677D5"/>
    <w:rsid w:val="003F0F2E"/>
    <w:rsid w:val="004C18CE"/>
    <w:rsid w:val="005B115A"/>
    <w:rsid w:val="006508E7"/>
    <w:rsid w:val="00697072"/>
    <w:rsid w:val="00727544"/>
    <w:rsid w:val="0076048A"/>
    <w:rsid w:val="0076454E"/>
    <w:rsid w:val="007E19DF"/>
    <w:rsid w:val="00862181"/>
    <w:rsid w:val="008744C8"/>
    <w:rsid w:val="008B3215"/>
    <w:rsid w:val="0091533C"/>
    <w:rsid w:val="009D2E55"/>
    <w:rsid w:val="009D5043"/>
    <w:rsid w:val="00A64278"/>
    <w:rsid w:val="00A857FB"/>
    <w:rsid w:val="00AC3993"/>
    <w:rsid w:val="00BB07A1"/>
    <w:rsid w:val="00D41D1A"/>
    <w:rsid w:val="00E41C73"/>
    <w:rsid w:val="00E61760"/>
    <w:rsid w:val="00EA1EB9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8D4F"/>
  <w15:chartTrackingRefBased/>
  <w15:docId w15:val="{4B373D0C-3B1A-47AA-A1C4-936C0532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8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s">
    <w:name w:val="Footnotes"/>
    <w:basedOn w:val="Normal"/>
    <w:qFormat/>
    <w:rsid w:val="00862181"/>
    <w:pPr>
      <w:spacing w:before="120" w:line="360" w:lineRule="auto"/>
      <w:ind w:left="482" w:hanging="482"/>
      <w:contextualSpacing/>
    </w:pPr>
    <w:rPr>
      <w:sz w:val="22"/>
    </w:rPr>
  </w:style>
  <w:style w:type="character" w:styleId="Refdenotaalpie">
    <w:name w:val="footnote reference"/>
    <w:basedOn w:val="Fuentedeprrafopredeter"/>
    <w:rsid w:val="0086218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6218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621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21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81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Default">
    <w:name w:val="Default"/>
    <w:qFormat/>
    <w:rsid w:val="0086218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AC39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</dc:creator>
  <cp:keywords/>
  <dc:description/>
  <cp:lastModifiedBy>Autor</cp:lastModifiedBy>
  <cp:revision>8</cp:revision>
  <dcterms:created xsi:type="dcterms:W3CDTF">2019-11-10T00:29:00Z</dcterms:created>
  <dcterms:modified xsi:type="dcterms:W3CDTF">2020-01-11T14:11:00Z</dcterms:modified>
</cp:coreProperties>
</file>