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4B82E" w14:textId="77777777" w:rsidR="00490050" w:rsidRDefault="00490050" w:rsidP="00490050">
      <w:pPr>
        <w:spacing w:after="0" w:line="240" w:lineRule="auto"/>
        <w:jc w:val="center"/>
        <w:rPr>
          <w:b/>
        </w:rPr>
      </w:pPr>
      <w:r>
        <w:rPr>
          <w:b/>
        </w:rPr>
        <w:t>Supplemental Text 2 – Radiocarbon Dates and</w:t>
      </w:r>
      <w:r w:rsidRPr="00DF2F58">
        <w:rPr>
          <w:b/>
        </w:rPr>
        <w:t xml:space="preserve"> Bayesia</w:t>
      </w:r>
      <w:r>
        <w:rPr>
          <w:b/>
        </w:rPr>
        <w:t>n Chronological Modelling</w:t>
      </w:r>
    </w:p>
    <w:p w14:paraId="6CFA6E16" w14:textId="77777777" w:rsidR="00490050" w:rsidRPr="00DF2F58" w:rsidRDefault="00490050" w:rsidP="00490050">
      <w:pPr>
        <w:spacing w:after="0" w:line="240" w:lineRule="auto"/>
        <w:jc w:val="both"/>
        <w:rPr>
          <w:b/>
          <w:bCs/>
          <w:color w:val="000000"/>
          <w:shd w:val="clear" w:color="auto" w:fill="FFFFFF"/>
        </w:rPr>
      </w:pPr>
      <w:r w:rsidRPr="00DF2F58">
        <w:rPr>
          <w:color w:val="000000"/>
          <w:shd w:val="clear" w:color="auto" w:fill="FFFFFF"/>
        </w:rPr>
        <w:t xml:space="preserve">This </w:t>
      </w:r>
      <w:r>
        <w:rPr>
          <w:color w:val="000000"/>
          <w:shd w:val="clear" w:color="auto" w:fill="FFFFFF"/>
        </w:rPr>
        <w:t>supplemental text</w:t>
      </w:r>
      <w:r w:rsidRPr="00DF2F58">
        <w:rPr>
          <w:color w:val="000000"/>
          <w:shd w:val="clear" w:color="auto" w:fill="FFFFFF"/>
        </w:rPr>
        <w:t xml:space="preserve"> details the use of Bayesian chronological modelling of radiocarbon dates to estimate the calendrical start, end, and span of the Late Intermediate (1000 – 1450 CE) component of the archaeological site of </w:t>
      </w:r>
      <w:proofErr w:type="spellStart"/>
      <w:r w:rsidRPr="00DF2F58">
        <w:rPr>
          <w:color w:val="000000"/>
          <w:shd w:val="clear" w:color="auto" w:fill="FFFFFF"/>
        </w:rPr>
        <w:t>Quilcapampa</w:t>
      </w:r>
      <w:proofErr w:type="spellEnd"/>
      <w:r w:rsidRPr="00DF2F58">
        <w:rPr>
          <w:color w:val="000000"/>
          <w:shd w:val="clear" w:color="auto" w:fill="FFFFFF"/>
        </w:rPr>
        <w:t xml:space="preserve">, located in the </w:t>
      </w:r>
      <w:proofErr w:type="spellStart"/>
      <w:r w:rsidRPr="00DF2F58">
        <w:rPr>
          <w:color w:val="000000"/>
          <w:shd w:val="clear" w:color="auto" w:fill="FFFFFF"/>
        </w:rPr>
        <w:t>Sihuas</w:t>
      </w:r>
      <w:proofErr w:type="spellEnd"/>
      <w:r w:rsidRPr="00DF2F58">
        <w:rPr>
          <w:color w:val="000000"/>
          <w:shd w:val="clear" w:color="auto" w:fill="FFFFFF"/>
        </w:rPr>
        <w:t xml:space="preserve"> Valley, Peru. Results estimate that the use of this component of the site began</w:t>
      </w:r>
      <w:r w:rsidRPr="00DF2F58">
        <w:t xml:space="preserve"> </w:t>
      </w:r>
      <w:r w:rsidRPr="00DF2F58">
        <w:rPr>
          <w:color w:val="000000"/>
          <w:shd w:val="clear" w:color="auto" w:fill="FFFFFF"/>
        </w:rPr>
        <w:t>as early as the 12</w:t>
      </w:r>
      <w:r w:rsidRPr="00DF2F58">
        <w:rPr>
          <w:color w:val="000000"/>
          <w:shd w:val="clear" w:color="auto" w:fill="FFFFFF"/>
          <w:vertAlign w:val="superscript"/>
        </w:rPr>
        <w:t>th</w:t>
      </w:r>
      <w:r w:rsidRPr="00DF2F58">
        <w:rPr>
          <w:color w:val="000000"/>
          <w:shd w:val="clear" w:color="auto" w:fill="FFFFFF"/>
        </w:rPr>
        <w:t xml:space="preserve"> century CE and may have lasted well into the 15</w:t>
      </w:r>
      <w:r w:rsidRPr="00DF2F58">
        <w:rPr>
          <w:color w:val="000000"/>
          <w:shd w:val="clear" w:color="auto" w:fill="FFFFFF"/>
          <w:vertAlign w:val="superscript"/>
        </w:rPr>
        <w:t>th</w:t>
      </w:r>
      <w:r w:rsidRPr="00DF2F58">
        <w:rPr>
          <w:color w:val="000000"/>
          <w:shd w:val="clear" w:color="auto" w:fill="FFFFFF"/>
        </w:rPr>
        <w:t xml:space="preserve"> century. Specifically, the modelled results estimate that the Late Intermediate use of </w:t>
      </w:r>
      <w:proofErr w:type="spellStart"/>
      <w:r w:rsidRPr="00DF2F58">
        <w:rPr>
          <w:color w:val="000000"/>
          <w:shd w:val="clear" w:color="auto" w:fill="FFFFFF"/>
        </w:rPr>
        <w:t>Quilcapampa</w:t>
      </w:r>
      <w:proofErr w:type="spellEnd"/>
      <w:r w:rsidRPr="00DF2F58">
        <w:rPr>
          <w:color w:val="000000"/>
          <w:shd w:val="clear" w:color="auto" w:fill="FFFFFF"/>
        </w:rPr>
        <w:t xml:space="preserve"> began in </w:t>
      </w:r>
      <w:r w:rsidRPr="00DF2F58">
        <w:rPr>
          <w:i/>
          <w:iCs/>
          <w:color w:val="000000"/>
          <w:shd w:val="clear" w:color="auto" w:fill="FFFFFF"/>
        </w:rPr>
        <w:t>1130 – 1280 CE (95.4% probability range)</w:t>
      </w:r>
      <w:r w:rsidRPr="00DF2F58">
        <w:rPr>
          <w:color w:val="000000"/>
          <w:shd w:val="clear" w:color="auto" w:fill="FFFFFF"/>
        </w:rPr>
        <w:t xml:space="preserve"> and ended in </w:t>
      </w:r>
      <w:r w:rsidRPr="00DF2F58">
        <w:rPr>
          <w:i/>
          <w:iCs/>
          <w:color w:val="000000"/>
          <w:shd w:val="clear" w:color="auto" w:fill="FFFFFF"/>
        </w:rPr>
        <w:t xml:space="preserve">1320 – 1475 CE </w:t>
      </w:r>
      <w:proofErr w:type="spellStart"/>
      <w:r w:rsidRPr="00DF2F58">
        <w:rPr>
          <w:i/>
          <w:iCs/>
          <w:color w:val="000000"/>
          <w:shd w:val="clear" w:color="auto" w:fill="FFFFFF"/>
        </w:rPr>
        <w:t>CE</w:t>
      </w:r>
      <w:proofErr w:type="spellEnd"/>
      <w:r w:rsidRPr="00DF2F58">
        <w:rPr>
          <w:i/>
          <w:iCs/>
          <w:color w:val="000000"/>
          <w:shd w:val="clear" w:color="auto" w:fill="FFFFFF"/>
        </w:rPr>
        <w:t xml:space="preserve"> (95.4% probability range)</w:t>
      </w:r>
      <w:r w:rsidRPr="00DF2F58">
        <w:rPr>
          <w:color w:val="000000"/>
          <w:shd w:val="clear" w:color="auto" w:fill="FFFFFF"/>
        </w:rPr>
        <w:t xml:space="preserve">. The modelled results also estimate that the span of use of this component of the site lasted anywhere between </w:t>
      </w:r>
      <w:r w:rsidRPr="00DF2F58">
        <w:rPr>
          <w:i/>
          <w:iCs/>
          <w:color w:val="000000"/>
          <w:shd w:val="clear" w:color="auto" w:fill="FFFFFF"/>
        </w:rPr>
        <w:t>55 – 305 years (95.4% probability range)</w:t>
      </w:r>
      <w:r w:rsidRPr="00DF2F58">
        <w:rPr>
          <w:color w:val="000000"/>
          <w:shd w:val="clear" w:color="auto" w:fill="FFFFFF"/>
        </w:rPr>
        <w:t xml:space="preserve">. </w:t>
      </w:r>
      <w:r>
        <w:rPr>
          <w:color w:val="000000"/>
          <w:shd w:val="clear" w:color="auto" w:fill="FFFFFF"/>
        </w:rPr>
        <w:t xml:space="preserve">Branden Rizzuto modelled the dates and authored this report. </w:t>
      </w:r>
    </w:p>
    <w:p w14:paraId="5E5E36BB" w14:textId="77777777" w:rsidR="00490050" w:rsidRDefault="00490050" w:rsidP="00490050">
      <w:pPr>
        <w:spacing w:after="0" w:line="240" w:lineRule="auto"/>
        <w:jc w:val="both"/>
        <w:rPr>
          <w:b/>
          <w:bCs/>
          <w:color w:val="000000"/>
          <w:shd w:val="clear" w:color="auto" w:fill="FFFFFF"/>
        </w:rPr>
      </w:pPr>
    </w:p>
    <w:p w14:paraId="5F6694B3" w14:textId="77777777" w:rsidR="00490050" w:rsidRPr="00DF2F58" w:rsidRDefault="00490050" w:rsidP="00490050">
      <w:pPr>
        <w:spacing w:after="0" w:line="240" w:lineRule="auto"/>
        <w:jc w:val="both"/>
        <w:rPr>
          <w:b/>
          <w:bCs/>
          <w:color w:val="000000"/>
          <w:shd w:val="clear" w:color="auto" w:fill="FFFFFF"/>
        </w:rPr>
      </w:pPr>
      <w:r w:rsidRPr="00DF2F58">
        <w:rPr>
          <w:b/>
          <w:bCs/>
          <w:color w:val="000000"/>
          <w:shd w:val="clear" w:color="auto" w:fill="FFFFFF"/>
        </w:rPr>
        <w:t>Samples and Methods</w:t>
      </w:r>
    </w:p>
    <w:p w14:paraId="7D637F06" w14:textId="77777777" w:rsidR="00490050" w:rsidRDefault="00490050" w:rsidP="00490050">
      <w:pPr>
        <w:spacing w:after="0" w:line="240" w:lineRule="auto"/>
        <w:jc w:val="both"/>
        <w:rPr>
          <w:color w:val="000000"/>
          <w:shd w:val="clear" w:color="auto" w:fill="FFFFFF"/>
        </w:rPr>
      </w:pPr>
      <w:r w:rsidRPr="00DF2F58">
        <w:rPr>
          <w:color w:val="000000"/>
          <w:shd w:val="clear" w:color="auto" w:fill="FFFFFF"/>
        </w:rPr>
        <w:t xml:space="preserve">A total of 7 radiocarbon dates were available for Bayesian chronological modelling (Table 1). These radiocarbon dates were obtained from 5 charcoal samples, two carbonized maize samples, and 1 carbonized wood sample excavated from tombs within the Late Intermediate (1000 – 1450 CE) component of </w:t>
      </w:r>
      <w:proofErr w:type="spellStart"/>
      <w:r w:rsidRPr="00DF2F58">
        <w:rPr>
          <w:color w:val="000000"/>
          <w:shd w:val="clear" w:color="auto" w:fill="FFFFFF"/>
        </w:rPr>
        <w:t>Quilcapampa</w:t>
      </w:r>
      <w:proofErr w:type="spellEnd"/>
      <w:r w:rsidRPr="00DF2F58">
        <w:rPr>
          <w:color w:val="000000"/>
          <w:shd w:val="clear" w:color="auto" w:fill="FFFFFF"/>
        </w:rPr>
        <w:t xml:space="preserve"> by the </w:t>
      </w:r>
      <w:r w:rsidRPr="00DF2F58">
        <w:rPr>
          <w:i/>
          <w:iCs/>
          <w:color w:val="000000"/>
          <w:shd w:val="clear" w:color="auto" w:fill="FFFFFF"/>
        </w:rPr>
        <w:t xml:space="preserve">Proyecto de </w:t>
      </w:r>
      <w:proofErr w:type="spellStart"/>
      <w:r w:rsidRPr="00DF2F58">
        <w:rPr>
          <w:i/>
          <w:iCs/>
          <w:color w:val="000000"/>
          <w:shd w:val="clear" w:color="auto" w:fill="FFFFFF"/>
        </w:rPr>
        <w:t>Investigacion</w:t>
      </w:r>
      <w:proofErr w:type="spellEnd"/>
      <w:r w:rsidRPr="00DF2F58">
        <w:rPr>
          <w:i/>
          <w:iCs/>
          <w:color w:val="000000"/>
          <w:shd w:val="clear" w:color="auto" w:fill="FFFFFF"/>
        </w:rPr>
        <w:t xml:space="preserve"> </w:t>
      </w:r>
      <w:proofErr w:type="spellStart"/>
      <w:r w:rsidRPr="00DF2F58">
        <w:rPr>
          <w:i/>
          <w:iCs/>
          <w:color w:val="000000"/>
          <w:shd w:val="clear" w:color="auto" w:fill="FFFFFF"/>
        </w:rPr>
        <w:t>Arqueologico</w:t>
      </w:r>
      <w:proofErr w:type="spellEnd"/>
      <w:r w:rsidRPr="00DF2F58">
        <w:rPr>
          <w:i/>
          <w:iCs/>
          <w:color w:val="000000"/>
          <w:shd w:val="clear" w:color="auto" w:fill="FFFFFF"/>
        </w:rPr>
        <w:t xml:space="preserve"> </w:t>
      </w:r>
      <w:proofErr w:type="spellStart"/>
      <w:r w:rsidRPr="00DF2F58">
        <w:rPr>
          <w:i/>
          <w:iCs/>
          <w:color w:val="000000"/>
          <w:shd w:val="clear" w:color="auto" w:fill="FFFFFF"/>
        </w:rPr>
        <w:t>Quilcapampa</w:t>
      </w:r>
      <w:proofErr w:type="spellEnd"/>
      <w:r w:rsidRPr="00DF2F58">
        <w:rPr>
          <w:i/>
          <w:iCs/>
          <w:color w:val="000000"/>
          <w:shd w:val="clear" w:color="auto" w:fill="FFFFFF"/>
        </w:rPr>
        <w:t xml:space="preserve"> La Antigua</w:t>
      </w:r>
      <w:r w:rsidRPr="00DF2F58">
        <w:rPr>
          <w:color w:val="000000"/>
          <w:shd w:val="clear" w:color="auto" w:fill="FFFFFF"/>
        </w:rPr>
        <w:t xml:space="preserve"> (PIAQ) during the project’s 2015 and 2016 field seasons (Jennings </w:t>
      </w:r>
      <w:r w:rsidRPr="00DF2F58">
        <w:rPr>
          <w:i/>
          <w:iCs/>
          <w:color w:val="000000"/>
          <w:shd w:val="clear" w:color="auto" w:fill="FFFFFF"/>
        </w:rPr>
        <w:t>et al</w:t>
      </w:r>
      <w:r w:rsidRPr="00DF2F58">
        <w:rPr>
          <w:color w:val="000000"/>
          <w:shd w:val="clear" w:color="auto" w:fill="FFFFFF"/>
        </w:rPr>
        <w:t xml:space="preserve">. 2021). </w:t>
      </w:r>
      <w:r w:rsidRPr="00DF2F58">
        <w:rPr>
          <w:color w:val="000000"/>
          <w:shd w:val="clear" w:color="auto" w:fill="FFFFFF"/>
          <w:vertAlign w:val="superscript"/>
        </w:rPr>
        <w:t>14</w:t>
      </w:r>
      <w:r w:rsidRPr="00DF2F58">
        <w:rPr>
          <w:color w:val="000000"/>
          <w:shd w:val="clear" w:color="auto" w:fill="FFFFFF"/>
        </w:rPr>
        <w:t xml:space="preserve">C radiometric dating of all samples was conducted using accelerated mass spectrometry (AMS) from samples prepared at the Laval University Centre for Northern Studies Radiochronology Laboratory and </w:t>
      </w:r>
      <w:proofErr w:type="spellStart"/>
      <w:r w:rsidRPr="00DF2F58">
        <w:rPr>
          <w:color w:val="000000"/>
          <w:shd w:val="clear" w:color="auto" w:fill="FFFFFF"/>
        </w:rPr>
        <w:t>analyzed</w:t>
      </w:r>
      <w:proofErr w:type="spellEnd"/>
      <w:r w:rsidRPr="00DF2F58">
        <w:rPr>
          <w:color w:val="000000"/>
          <w:shd w:val="clear" w:color="auto" w:fill="FFFFFF"/>
        </w:rPr>
        <w:t xml:space="preserve"> at the Keck Carbon Cycle AMS Facility, University of California, Riverside. δ</w:t>
      </w:r>
      <w:r w:rsidRPr="00DF2F58">
        <w:rPr>
          <w:color w:val="000000"/>
          <w:shd w:val="clear" w:color="auto" w:fill="FFFFFF"/>
          <w:vertAlign w:val="superscript"/>
        </w:rPr>
        <w:t>13</w:t>
      </w:r>
      <w:r w:rsidRPr="00DF2F58">
        <w:rPr>
          <w:color w:val="000000"/>
          <w:shd w:val="clear" w:color="auto" w:fill="FFFFFF"/>
        </w:rPr>
        <w:t xml:space="preserve">C values were also measured at the </w:t>
      </w:r>
      <w:proofErr w:type="spellStart"/>
      <w:r w:rsidRPr="00DF2F58">
        <w:rPr>
          <w:color w:val="000000"/>
          <w:shd w:val="clear" w:color="auto" w:fill="FFFFFF"/>
        </w:rPr>
        <w:t>Center</w:t>
      </w:r>
      <w:proofErr w:type="spellEnd"/>
      <w:r w:rsidRPr="00DF2F58">
        <w:rPr>
          <w:color w:val="000000"/>
          <w:shd w:val="clear" w:color="auto" w:fill="FFFFFF"/>
        </w:rPr>
        <w:t xml:space="preserve"> for Applied Isotope Study, University of Georgia, Athens.</w:t>
      </w:r>
    </w:p>
    <w:p w14:paraId="6D0D0DE0" w14:textId="77777777" w:rsidR="00490050" w:rsidRPr="00DF2F58" w:rsidRDefault="00490050" w:rsidP="00490050">
      <w:pPr>
        <w:spacing w:after="0" w:line="240" w:lineRule="auto"/>
        <w:jc w:val="both"/>
        <w:rPr>
          <w:color w:val="000000"/>
          <w:shd w:val="clear" w:color="auto" w:fill="FFFFFF"/>
        </w:rPr>
      </w:pPr>
    </w:p>
    <w:p w14:paraId="28DA3E97" w14:textId="77777777" w:rsidR="00490050" w:rsidRPr="00DF2F58" w:rsidRDefault="00490050" w:rsidP="00490050">
      <w:pPr>
        <w:pStyle w:val="Caption"/>
        <w:keepNext/>
        <w:spacing w:after="0"/>
        <w:jc w:val="both"/>
        <w:rPr>
          <w:rFonts w:ascii="Times New Roman" w:hAnsi="Times New Roman" w:cs="Times New Roman"/>
          <w:b/>
          <w:bCs/>
          <w:i w:val="0"/>
          <w:iCs w:val="0"/>
          <w:color w:val="auto"/>
          <w:sz w:val="24"/>
          <w:szCs w:val="24"/>
        </w:rPr>
      </w:pPr>
      <w:r w:rsidRPr="00DF2F58">
        <w:rPr>
          <w:rFonts w:ascii="Times New Roman" w:hAnsi="Times New Roman" w:cs="Times New Roman"/>
          <w:b/>
          <w:bCs/>
          <w:i w:val="0"/>
          <w:iCs w:val="0"/>
          <w:color w:val="auto"/>
          <w:sz w:val="24"/>
          <w:szCs w:val="24"/>
        </w:rPr>
        <w:t xml:space="preserve">Table </w:t>
      </w:r>
      <w:r w:rsidRPr="00DF2F58">
        <w:rPr>
          <w:rFonts w:ascii="Times New Roman" w:hAnsi="Times New Roman" w:cs="Times New Roman"/>
          <w:b/>
          <w:bCs/>
          <w:i w:val="0"/>
          <w:iCs w:val="0"/>
          <w:color w:val="auto"/>
          <w:sz w:val="24"/>
          <w:szCs w:val="24"/>
        </w:rPr>
        <w:fldChar w:fldCharType="begin"/>
      </w:r>
      <w:r w:rsidRPr="00DF2F58">
        <w:rPr>
          <w:rFonts w:ascii="Times New Roman" w:hAnsi="Times New Roman" w:cs="Times New Roman"/>
          <w:b/>
          <w:bCs/>
          <w:i w:val="0"/>
          <w:iCs w:val="0"/>
          <w:color w:val="auto"/>
          <w:sz w:val="24"/>
          <w:szCs w:val="24"/>
        </w:rPr>
        <w:instrText xml:space="preserve"> SEQ Table \* ARABIC </w:instrText>
      </w:r>
      <w:r w:rsidRPr="00DF2F58">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DF2F58">
        <w:rPr>
          <w:rFonts w:ascii="Times New Roman" w:hAnsi="Times New Roman" w:cs="Times New Roman"/>
          <w:b/>
          <w:bCs/>
          <w:i w:val="0"/>
          <w:iCs w:val="0"/>
          <w:color w:val="auto"/>
          <w:sz w:val="24"/>
          <w:szCs w:val="24"/>
        </w:rPr>
        <w:fldChar w:fldCharType="end"/>
      </w:r>
      <w:r w:rsidRPr="00DF2F58">
        <w:rPr>
          <w:rFonts w:ascii="Times New Roman" w:hAnsi="Times New Roman" w:cs="Times New Roman"/>
          <w:b/>
          <w:bCs/>
          <w:i w:val="0"/>
          <w:iCs w:val="0"/>
          <w:color w:val="auto"/>
          <w:sz w:val="24"/>
          <w:szCs w:val="24"/>
        </w:rPr>
        <w:t xml:space="preserve"> – Radiocarbon dates obtained from samples excavated from the Late Intermediate component of </w:t>
      </w:r>
      <w:proofErr w:type="spellStart"/>
      <w:r w:rsidRPr="00DF2F58">
        <w:rPr>
          <w:rFonts w:ascii="Times New Roman" w:hAnsi="Times New Roman" w:cs="Times New Roman"/>
          <w:b/>
          <w:bCs/>
          <w:i w:val="0"/>
          <w:iCs w:val="0"/>
          <w:color w:val="auto"/>
          <w:sz w:val="24"/>
          <w:szCs w:val="24"/>
        </w:rPr>
        <w:t>Quilcapampa</w:t>
      </w:r>
      <w:proofErr w:type="spellEnd"/>
      <w:r w:rsidRPr="00DF2F58">
        <w:rPr>
          <w:rFonts w:ascii="Times New Roman" w:hAnsi="Times New Roman" w:cs="Times New Roman"/>
          <w:b/>
          <w:bCs/>
          <w:i w:val="0"/>
          <w:iCs w:val="0"/>
          <w:color w:val="auto"/>
          <w:sz w:val="24"/>
          <w:szCs w:val="24"/>
        </w:rPr>
        <w:t>. δ</w:t>
      </w:r>
      <w:r w:rsidRPr="00DF2F58">
        <w:rPr>
          <w:rFonts w:ascii="Times New Roman" w:hAnsi="Times New Roman" w:cs="Times New Roman"/>
          <w:b/>
          <w:bCs/>
          <w:i w:val="0"/>
          <w:iCs w:val="0"/>
          <w:color w:val="auto"/>
          <w:sz w:val="24"/>
          <w:szCs w:val="24"/>
          <w:vertAlign w:val="superscript"/>
        </w:rPr>
        <w:t>13</w:t>
      </w:r>
      <w:r w:rsidRPr="00DF2F58">
        <w:rPr>
          <w:rFonts w:ascii="Times New Roman" w:hAnsi="Times New Roman" w:cs="Times New Roman"/>
          <w:b/>
          <w:bCs/>
          <w:i w:val="0"/>
          <w:iCs w:val="0"/>
          <w:color w:val="auto"/>
          <w:sz w:val="24"/>
          <w:szCs w:val="24"/>
        </w:rPr>
        <w:t>C values were obtained from the dated material and are not the δ</w:t>
      </w:r>
      <w:r w:rsidRPr="00DF2F58">
        <w:rPr>
          <w:rFonts w:ascii="Times New Roman" w:hAnsi="Times New Roman" w:cs="Times New Roman"/>
          <w:b/>
          <w:bCs/>
          <w:i w:val="0"/>
          <w:iCs w:val="0"/>
          <w:color w:val="auto"/>
          <w:sz w:val="24"/>
          <w:szCs w:val="24"/>
          <w:vertAlign w:val="superscript"/>
        </w:rPr>
        <w:t>13</w:t>
      </w:r>
      <w:r w:rsidRPr="00DF2F58">
        <w:rPr>
          <w:rFonts w:ascii="Times New Roman" w:hAnsi="Times New Roman" w:cs="Times New Roman"/>
          <w:b/>
          <w:bCs/>
          <w:i w:val="0"/>
          <w:iCs w:val="0"/>
          <w:color w:val="auto"/>
          <w:sz w:val="24"/>
          <w:szCs w:val="24"/>
        </w:rPr>
        <w:t>C values obtained from the accelerated mass spectrometer.</w:t>
      </w:r>
    </w:p>
    <w:p w14:paraId="579FF634" w14:textId="77777777" w:rsidR="00490050" w:rsidRPr="00DF2F58" w:rsidRDefault="00490050" w:rsidP="00490050">
      <w:pPr>
        <w:spacing w:after="0" w:line="240" w:lineRule="auto"/>
        <w:jc w:val="center"/>
        <w:rPr>
          <w:color w:val="000000"/>
          <w:shd w:val="clear" w:color="auto" w:fill="FFFFFF"/>
        </w:rPr>
      </w:pPr>
      <w:r w:rsidRPr="00DF2F58">
        <w:rPr>
          <w:noProof/>
          <w:lang w:val="en-US"/>
        </w:rPr>
        <w:drawing>
          <wp:inline distT="0" distB="0" distL="0" distR="0" wp14:anchorId="1E372D2B" wp14:editId="45CC8D9B">
            <wp:extent cx="5943600" cy="1838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838325"/>
                    </a:xfrm>
                    <a:prstGeom prst="rect">
                      <a:avLst/>
                    </a:prstGeom>
                    <a:noFill/>
                    <a:ln>
                      <a:noFill/>
                    </a:ln>
                  </pic:spPr>
                </pic:pic>
              </a:graphicData>
            </a:graphic>
          </wp:inline>
        </w:drawing>
      </w:r>
    </w:p>
    <w:p w14:paraId="2EB51071" w14:textId="77777777" w:rsidR="00490050" w:rsidRDefault="00490050" w:rsidP="00490050">
      <w:pPr>
        <w:spacing w:after="0" w:line="240" w:lineRule="auto"/>
        <w:jc w:val="both"/>
        <w:rPr>
          <w:color w:val="000000"/>
          <w:shd w:val="clear" w:color="auto" w:fill="FFFFFF"/>
        </w:rPr>
      </w:pPr>
    </w:p>
    <w:p w14:paraId="734499F0" w14:textId="77777777" w:rsidR="00490050" w:rsidRPr="00DF2F58" w:rsidRDefault="00490050" w:rsidP="00490050">
      <w:pPr>
        <w:spacing w:after="0" w:line="240" w:lineRule="auto"/>
        <w:jc w:val="both"/>
        <w:rPr>
          <w:color w:val="000000"/>
          <w:shd w:val="clear" w:color="auto" w:fill="FFFFFF"/>
        </w:rPr>
      </w:pPr>
      <w:r w:rsidRPr="00DF2F58">
        <w:rPr>
          <w:color w:val="000000"/>
          <w:shd w:val="clear" w:color="auto" w:fill="FFFFFF"/>
        </w:rPr>
        <w:t xml:space="preserve">Bayesian chronological modelling of the radiocarbon dates was performed using </w:t>
      </w:r>
      <w:proofErr w:type="spellStart"/>
      <w:r w:rsidRPr="00DF2F58">
        <w:rPr>
          <w:color w:val="000000"/>
          <w:shd w:val="clear" w:color="auto" w:fill="FFFFFF"/>
        </w:rPr>
        <w:t>OxCal</w:t>
      </w:r>
      <w:proofErr w:type="spellEnd"/>
      <w:r w:rsidRPr="00DF2F58">
        <w:rPr>
          <w:color w:val="000000"/>
          <w:shd w:val="clear" w:color="auto" w:fill="FFFFFF"/>
        </w:rPr>
        <w:t xml:space="preserve"> v4.3.2 (</w:t>
      </w:r>
      <w:proofErr w:type="spellStart"/>
      <w:r w:rsidRPr="00DF2F58">
        <w:rPr>
          <w:color w:val="000000"/>
          <w:shd w:val="clear" w:color="auto" w:fill="FFFFFF"/>
        </w:rPr>
        <w:t>Bronk</w:t>
      </w:r>
      <w:proofErr w:type="spellEnd"/>
      <w:r w:rsidRPr="00DF2F58">
        <w:rPr>
          <w:color w:val="000000"/>
          <w:shd w:val="clear" w:color="auto" w:fill="FFFFFF"/>
        </w:rPr>
        <w:t xml:space="preserve"> Ramsay 2009a) and the SHCal13 atmospheric radiocarbon calibration curve (Hogg </w:t>
      </w:r>
      <w:r w:rsidRPr="00DF2F58">
        <w:rPr>
          <w:i/>
          <w:iCs/>
          <w:color w:val="000000"/>
          <w:shd w:val="clear" w:color="auto" w:fill="FFFFFF"/>
        </w:rPr>
        <w:t>et al</w:t>
      </w:r>
      <w:r w:rsidRPr="00DF2F58">
        <w:rPr>
          <w:color w:val="000000"/>
          <w:shd w:val="clear" w:color="auto" w:fill="FFFFFF"/>
        </w:rPr>
        <w:t xml:space="preserve">. 2013). With no observed stratigraphic relationships between the dated tombs, all 7 radiocarbon dates were modelled as a single unbounded phase with a uniform distribution prior. While tomb construction in </w:t>
      </w:r>
      <w:proofErr w:type="spellStart"/>
      <w:r w:rsidRPr="00DF2F58">
        <w:rPr>
          <w:color w:val="000000"/>
          <w:shd w:val="clear" w:color="auto" w:fill="FFFFFF"/>
        </w:rPr>
        <w:t>Quilcapampa’s</w:t>
      </w:r>
      <w:proofErr w:type="spellEnd"/>
      <w:r w:rsidRPr="00DF2F58">
        <w:rPr>
          <w:color w:val="000000"/>
          <w:shd w:val="clear" w:color="auto" w:fill="FFFFFF"/>
        </w:rPr>
        <w:t xml:space="preserve"> Late Intermediate component was likely periodic (rather than continuous), the sheer number of tombs in this portion of the site suggests that tomb construction was frequent and simulation modelling has demonstrated that a uniform distribution prior is still an appropriate means for modelling such activity (Bayliss </w:t>
      </w:r>
      <w:r w:rsidRPr="00DF2F58">
        <w:rPr>
          <w:i/>
          <w:iCs/>
          <w:color w:val="000000"/>
          <w:shd w:val="clear" w:color="auto" w:fill="FFFFFF"/>
        </w:rPr>
        <w:t>et al</w:t>
      </w:r>
      <w:r w:rsidRPr="00DF2F58">
        <w:rPr>
          <w:color w:val="000000"/>
          <w:shd w:val="clear" w:color="auto" w:fill="FFFFFF"/>
        </w:rPr>
        <w:t xml:space="preserve">. 2007). As 5 of the 7 radiocarbon dates were obtained from charcoal, </w:t>
      </w:r>
      <w:proofErr w:type="spellStart"/>
      <w:r w:rsidRPr="00DF2F58">
        <w:rPr>
          <w:color w:val="000000"/>
          <w:shd w:val="clear" w:color="auto" w:fill="FFFFFF"/>
        </w:rPr>
        <w:t>OxCal’s</w:t>
      </w:r>
      <w:proofErr w:type="spellEnd"/>
      <w:r w:rsidRPr="00DF2F58">
        <w:rPr>
          <w:color w:val="000000"/>
          <w:shd w:val="clear" w:color="auto" w:fill="FFFFFF"/>
        </w:rPr>
        <w:t xml:space="preserve"> </w:t>
      </w:r>
      <w:r w:rsidRPr="00DF2F58">
        <w:rPr>
          <w:b/>
          <w:bCs/>
          <w:color w:val="000000"/>
          <w:shd w:val="clear" w:color="auto" w:fill="FFFFFF"/>
        </w:rPr>
        <w:t>Charcoal Outlier Model</w:t>
      </w:r>
      <w:r w:rsidRPr="00DF2F58">
        <w:rPr>
          <w:color w:val="000000"/>
          <w:shd w:val="clear" w:color="auto" w:fill="FFFFFF"/>
        </w:rPr>
        <w:t xml:space="preserve"> was integrated into the model to account for temporal offsets created by "old wood effect". The charcoal outlier model </w:t>
      </w:r>
      <w:r w:rsidRPr="00DF2F58">
        <w:rPr>
          <w:color w:val="000000"/>
          <w:shd w:val="clear" w:color="auto" w:fill="FFFFFF"/>
        </w:rPr>
        <w:lastRenderedPageBreak/>
        <w:t xml:space="preserve">was configured to have a 1000-year scaling factory (i.e., maximum offset) and an exponential distribution with a time constant of 1 taken </w:t>
      </w:r>
      <w:r>
        <w:rPr>
          <w:color w:val="000000"/>
          <w:shd w:val="clear" w:color="auto" w:fill="FFFFFF"/>
        </w:rPr>
        <w:t>over the range of -10 to 0 (</w:t>
      </w:r>
      <w:proofErr w:type="spellStart"/>
      <w:r w:rsidRPr="00DF2F58">
        <w:rPr>
          <w:color w:val="000000"/>
          <w:shd w:val="clear" w:color="auto" w:fill="FFFFFF"/>
        </w:rPr>
        <w:t>Bronk</w:t>
      </w:r>
      <w:proofErr w:type="spellEnd"/>
      <w:r w:rsidRPr="00DF2F58">
        <w:rPr>
          <w:color w:val="000000"/>
          <w:shd w:val="clear" w:color="auto" w:fill="FFFFFF"/>
        </w:rPr>
        <w:t xml:space="preserve"> Ramsey 2009b). Furthermore, </w:t>
      </w:r>
      <w:proofErr w:type="spellStart"/>
      <w:r w:rsidRPr="00DF2F58">
        <w:rPr>
          <w:color w:val="000000"/>
          <w:shd w:val="clear" w:color="auto" w:fill="FFFFFF"/>
        </w:rPr>
        <w:t>Oxcal’s</w:t>
      </w:r>
      <w:proofErr w:type="spellEnd"/>
      <w:r w:rsidRPr="00DF2F58">
        <w:rPr>
          <w:color w:val="000000"/>
          <w:shd w:val="clear" w:color="auto" w:fill="FFFFFF"/>
        </w:rPr>
        <w:t xml:space="preserve"> </w:t>
      </w:r>
      <w:proofErr w:type="gramStart"/>
      <w:r w:rsidRPr="00DF2F58">
        <w:rPr>
          <w:b/>
          <w:bCs/>
          <w:color w:val="000000"/>
          <w:shd w:val="clear" w:color="auto" w:fill="FFFFFF"/>
        </w:rPr>
        <w:t>Span(</w:t>
      </w:r>
      <w:proofErr w:type="gramEnd"/>
      <w:r w:rsidRPr="00DF2F58">
        <w:rPr>
          <w:b/>
          <w:bCs/>
          <w:color w:val="000000"/>
          <w:shd w:val="clear" w:color="auto" w:fill="FFFFFF"/>
        </w:rPr>
        <w:t>)</w:t>
      </w:r>
      <w:r w:rsidRPr="00DF2F58">
        <w:rPr>
          <w:i/>
          <w:iCs/>
          <w:color w:val="000000"/>
          <w:shd w:val="clear" w:color="auto" w:fill="FFFFFF"/>
        </w:rPr>
        <w:t xml:space="preserve"> </w:t>
      </w:r>
      <w:r w:rsidRPr="00DF2F58">
        <w:rPr>
          <w:color w:val="000000"/>
          <w:shd w:val="clear" w:color="auto" w:fill="FFFFFF"/>
        </w:rPr>
        <w:t xml:space="preserve">function was used to estimate the time interval between the start boundary and end boundary posteriors, thus providing an estimate of the span of </w:t>
      </w:r>
      <w:proofErr w:type="spellStart"/>
      <w:r w:rsidRPr="00DF2F58">
        <w:rPr>
          <w:color w:val="000000"/>
          <w:shd w:val="clear" w:color="auto" w:fill="FFFFFF"/>
        </w:rPr>
        <w:t>Quilcapampa’s</w:t>
      </w:r>
      <w:proofErr w:type="spellEnd"/>
      <w:r w:rsidRPr="00DF2F58">
        <w:rPr>
          <w:color w:val="000000"/>
          <w:shd w:val="clear" w:color="auto" w:fill="FFFFFF"/>
        </w:rPr>
        <w:t xml:space="preserve"> Later Intermediate Period use. Lastly, as part of sensitivity analysis and to assess the impact of the charcoal outlier model on the overall model results, the same model was rerun without the use of the charcoal outlier model. The results of this second model were subsequently compared to those obtained from the primary model.</w:t>
      </w:r>
    </w:p>
    <w:p w14:paraId="29D272B1" w14:textId="77777777" w:rsidR="00490050" w:rsidRDefault="00490050" w:rsidP="00490050">
      <w:pPr>
        <w:spacing w:after="0" w:line="240" w:lineRule="auto"/>
        <w:jc w:val="both"/>
        <w:rPr>
          <w:b/>
          <w:bCs/>
          <w:color w:val="000000"/>
          <w:shd w:val="clear" w:color="auto" w:fill="FFFFFF"/>
        </w:rPr>
      </w:pPr>
    </w:p>
    <w:p w14:paraId="0986B65D" w14:textId="77777777" w:rsidR="00490050" w:rsidRPr="00DF2F58" w:rsidRDefault="00490050" w:rsidP="00490050">
      <w:pPr>
        <w:spacing w:after="0" w:line="240" w:lineRule="auto"/>
        <w:jc w:val="both"/>
        <w:rPr>
          <w:b/>
          <w:bCs/>
          <w:color w:val="000000"/>
          <w:shd w:val="clear" w:color="auto" w:fill="FFFFFF"/>
        </w:rPr>
      </w:pPr>
      <w:r w:rsidRPr="00DF2F58">
        <w:rPr>
          <w:b/>
          <w:bCs/>
          <w:color w:val="000000"/>
          <w:shd w:val="clear" w:color="auto" w:fill="FFFFFF"/>
        </w:rPr>
        <w:t>Results</w:t>
      </w:r>
    </w:p>
    <w:p w14:paraId="100EBAE5" w14:textId="77777777" w:rsidR="00490050" w:rsidRPr="00DF2F58" w:rsidRDefault="00490050" w:rsidP="00490050">
      <w:pPr>
        <w:spacing w:after="0" w:line="240" w:lineRule="auto"/>
        <w:jc w:val="both"/>
        <w:rPr>
          <w:color w:val="000000"/>
          <w:shd w:val="clear" w:color="auto" w:fill="FFFFFF"/>
        </w:rPr>
      </w:pPr>
      <w:r w:rsidRPr="00DF2F58">
        <w:rPr>
          <w:color w:val="000000"/>
          <w:shd w:val="clear" w:color="auto" w:fill="FFFFFF"/>
        </w:rPr>
        <w:t>The posterior probability ranges produced by the primary Bayesian chronological model are provided in Fig. 1. Overall, the model showed good agreement between the radiocarbon dates and the model structure (</w:t>
      </w:r>
      <w:proofErr w:type="spellStart"/>
      <w:r w:rsidRPr="00DF2F58">
        <w:rPr>
          <w:color w:val="000000"/>
          <w:shd w:val="clear" w:color="auto" w:fill="FFFFFF"/>
        </w:rPr>
        <w:t>A</w:t>
      </w:r>
      <w:r w:rsidRPr="00DF2F58">
        <w:rPr>
          <w:color w:val="000000"/>
          <w:shd w:val="clear" w:color="auto" w:fill="FFFFFF"/>
          <w:vertAlign w:val="subscript"/>
        </w:rPr>
        <w:t>model</w:t>
      </w:r>
      <w:proofErr w:type="spellEnd"/>
      <w:r w:rsidRPr="00DF2F58">
        <w:rPr>
          <w:color w:val="000000"/>
          <w:shd w:val="clear" w:color="auto" w:fill="FFFFFF"/>
        </w:rPr>
        <w:t xml:space="preserve"> = 93). The results of this model (rounded outwards to the nearest 5-year interval) estimate that the Late Intermediate Period use of </w:t>
      </w:r>
      <w:proofErr w:type="spellStart"/>
      <w:r w:rsidRPr="00DF2F58">
        <w:rPr>
          <w:color w:val="000000"/>
          <w:shd w:val="clear" w:color="auto" w:fill="FFFFFF"/>
        </w:rPr>
        <w:t>Quilcampama</w:t>
      </w:r>
      <w:proofErr w:type="spellEnd"/>
      <w:r w:rsidRPr="00DF2F58">
        <w:rPr>
          <w:color w:val="000000"/>
          <w:shd w:val="clear" w:color="auto" w:fill="FFFFFF"/>
        </w:rPr>
        <w:t xml:space="preserve"> began in </w:t>
      </w:r>
      <w:bookmarkStart w:id="0" w:name="_Hlk46139265"/>
      <w:r w:rsidRPr="00DF2F58">
        <w:rPr>
          <w:i/>
          <w:iCs/>
          <w:color w:val="000000"/>
          <w:shd w:val="clear" w:color="auto" w:fill="FFFFFF"/>
        </w:rPr>
        <w:t>1130 – 1280 CE</w:t>
      </w:r>
      <w:bookmarkEnd w:id="0"/>
      <w:r w:rsidRPr="00DF2F58">
        <w:rPr>
          <w:i/>
          <w:iCs/>
          <w:color w:val="000000"/>
          <w:shd w:val="clear" w:color="auto" w:fill="FFFFFF"/>
        </w:rPr>
        <w:t xml:space="preserve"> (95.4% probability range; Fig. 2)</w:t>
      </w:r>
      <w:r w:rsidRPr="00DF2F58">
        <w:rPr>
          <w:color w:val="000000"/>
          <w:shd w:val="clear" w:color="auto" w:fill="FFFFFF"/>
        </w:rPr>
        <w:t xml:space="preserve"> and ended in </w:t>
      </w:r>
      <w:r w:rsidRPr="00DF2F58">
        <w:rPr>
          <w:i/>
          <w:iCs/>
          <w:color w:val="000000"/>
          <w:shd w:val="clear" w:color="auto" w:fill="FFFFFF"/>
        </w:rPr>
        <w:t>1320 – 1475 CE (95.4% probability range; Fig. 3)</w:t>
      </w:r>
      <w:r w:rsidRPr="00DF2F58">
        <w:rPr>
          <w:color w:val="000000"/>
          <w:shd w:val="clear" w:color="auto" w:fill="FFFFFF"/>
        </w:rPr>
        <w:t xml:space="preserve">. The model results also estimate that the span of this use period lasted anywhere between </w:t>
      </w:r>
      <w:r w:rsidRPr="00DF2F58">
        <w:rPr>
          <w:i/>
          <w:iCs/>
          <w:color w:val="000000"/>
          <w:shd w:val="clear" w:color="auto" w:fill="FFFFFF"/>
        </w:rPr>
        <w:t xml:space="preserve">55 – 305 years (95.4% probability </w:t>
      </w:r>
      <w:proofErr w:type="gramStart"/>
      <w:r w:rsidRPr="00DF2F58">
        <w:rPr>
          <w:i/>
          <w:iCs/>
          <w:color w:val="000000"/>
          <w:shd w:val="clear" w:color="auto" w:fill="FFFFFF"/>
        </w:rPr>
        <w:t>range;</w:t>
      </w:r>
      <w:proofErr w:type="gramEnd"/>
      <w:r w:rsidRPr="00DF2F58">
        <w:rPr>
          <w:i/>
          <w:iCs/>
          <w:color w:val="000000"/>
          <w:shd w:val="clear" w:color="auto" w:fill="FFFFFF"/>
        </w:rPr>
        <w:t xml:space="preserve"> Fig. 4)</w:t>
      </w:r>
      <w:r w:rsidRPr="00DF2F58">
        <w:rPr>
          <w:color w:val="000000"/>
          <w:shd w:val="clear" w:color="auto" w:fill="FFFFFF"/>
        </w:rPr>
        <w:t xml:space="preserve">. The results of the second model (which did not make use of the charcoal outlier model) did not deviate significantly from those obtained from the primary model </w:t>
      </w:r>
      <w:proofErr w:type="gramStart"/>
      <w:r w:rsidRPr="00DF2F58">
        <w:rPr>
          <w:color w:val="000000"/>
          <w:shd w:val="clear" w:color="auto" w:fill="FFFFFF"/>
        </w:rPr>
        <w:t>and also</w:t>
      </w:r>
      <w:proofErr w:type="gramEnd"/>
      <w:r w:rsidRPr="00DF2F58">
        <w:rPr>
          <w:color w:val="000000"/>
          <w:shd w:val="clear" w:color="auto" w:fill="FFFFFF"/>
        </w:rPr>
        <w:t xml:space="preserve"> showed good agreement between the radiocarbon dates and the model structure (</w:t>
      </w:r>
      <w:proofErr w:type="spellStart"/>
      <w:r w:rsidRPr="00DF2F58">
        <w:rPr>
          <w:color w:val="000000"/>
          <w:shd w:val="clear" w:color="auto" w:fill="FFFFFF"/>
        </w:rPr>
        <w:t>A</w:t>
      </w:r>
      <w:r w:rsidRPr="00DF2F58">
        <w:rPr>
          <w:color w:val="000000"/>
          <w:shd w:val="clear" w:color="auto" w:fill="FFFFFF"/>
          <w:vertAlign w:val="subscript"/>
        </w:rPr>
        <w:t>model</w:t>
      </w:r>
      <w:proofErr w:type="spellEnd"/>
      <w:r w:rsidRPr="00DF2F58">
        <w:rPr>
          <w:color w:val="000000"/>
          <w:shd w:val="clear" w:color="auto" w:fill="FFFFFF"/>
          <w:vertAlign w:val="subscript"/>
        </w:rPr>
        <w:t xml:space="preserve"> </w:t>
      </w:r>
      <w:r w:rsidRPr="00DF2F58">
        <w:rPr>
          <w:color w:val="000000"/>
          <w:shd w:val="clear" w:color="auto" w:fill="FFFFFF"/>
        </w:rPr>
        <w:t xml:space="preserve">= 89.3). In this second model, the estimated start, end, and span associated with </w:t>
      </w:r>
      <w:proofErr w:type="spellStart"/>
      <w:r w:rsidRPr="00DF2F58">
        <w:rPr>
          <w:color w:val="000000"/>
          <w:shd w:val="clear" w:color="auto" w:fill="FFFFFF"/>
        </w:rPr>
        <w:t>Quilcapampa’s</w:t>
      </w:r>
      <w:proofErr w:type="spellEnd"/>
      <w:r w:rsidRPr="00DF2F58">
        <w:rPr>
          <w:color w:val="000000"/>
          <w:shd w:val="clear" w:color="auto" w:fill="FFFFFF"/>
        </w:rPr>
        <w:t xml:space="preserve"> Late Intermediate component did not deviate by more than 2 decades at the 95.4% probability range when compared to those results obtained from the primary model. These deviances are relatively small in comparison to the precisions obtained for these estimates, thus demonstrating the robusticity of the primary model and the validity of the results produced.</w:t>
      </w:r>
    </w:p>
    <w:p w14:paraId="2024A402" w14:textId="77777777" w:rsidR="00490050" w:rsidRPr="00DF2F58" w:rsidRDefault="00490050" w:rsidP="00490050">
      <w:pPr>
        <w:keepNext/>
        <w:jc w:val="center"/>
      </w:pPr>
      <w:r w:rsidRPr="00DF2F58">
        <w:rPr>
          <w:noProof/>
          <w:lang w:val="en-US"/>
        </w:rPr>
        <w:lastRenderedPageBreak/>
        <w:drawing>
          <wp:inline distT="0" distB="0" distL="0" distR="0" wp14:anchorId="53615BFC" wp14:editId="5912A2DE">
            <wp:extent cx="5943600" cy="49250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925060"/>
                    </a:xfrm>
                    <a:prstGeom prst="rect">
                      <a:avLst/>
                    </a:prstGeom>
                    <a:noFill/>
                    <a:ln>
                      <a:noFill/>
                    </a:ln>
                  </pic:spPr>
                </pic:pic>
              </a:graphicData>
            </a:graphic>
          </wp:inline>
        </w:drawing>
      </w:r>
    </w:p>
    <w:p w14:paraId="38B498C6" w14:textId="77777777" w:rsidR="00490050" w:rsidRPr="003C5FF0" w:rsidRDefault="00490050" w:rsidP="00490050">
      <w:pPr>
        <w:pStyle w:val="Caption"/>
        <w:jc w:val="both"/>
        <w:rPr>
          <w:rFonts w:ascii="Times New Roman" w:hAnsi="Times New Roman" w:cs="Times New Roman"/>
          <w:bCs/>
          <w:i w:val="0"/>
          <w:iCs w:val="0"/>
          <w:color w:val="auto"/>
          <w:sz w:val="24"/>
          <w:szCs w:val="24"/>
        </w:rPr>
      </w:pPr>
      <w:r w:rsidRPr="003C5FF0">
        <w:rPr>
          <w:rFonts w:ascii="Times New Roman" w:hAnsi="Times New Roman" w:cs="Times New Roman"/>
          <w:bCs/>
          <w:i w:val="0"/>
          <w:iCs w:val="0"/>
          <w:color w:val="auto"/>
          <w:sz w:val="24"/>
          <w:szCs w:val="24"/>
        </w:rPr>
        <w:t xml:space="preserve">Figure </w:t>
      </w:r>
      <w:r w:rsidRPr="003C5FF0">
        <w:rPr>
          <w:rFonts w:ascii="Times New Roman" w:hAnsi="Times New Roman" w:cs="Times New Roman"/>
          <w:bCs/>
          <w:i w:val="0"/>
          <w:iCs w:val="0"/>
          <w:color w:val="auto"/>
          <w:sz w:val="24"/>
          <w:szCs w:val="24"/>
        </w:rPr>
        <w:fldChar w:fldCharType="begin"/>
      </w:r>
      <w:r w:rsidRPr="003C5FF0">
        <w:rPr>
          <w:rFonts w:ascii="Times New Roman" w:hAnsi="Times New Roman" w:cs="Times New Roman"/>
          <w:bCs/>
          <w:i w:val="0"/>
          <w:iCs w:val="0"/>
          <w:color w:val="auto"/>
          <w:sz w:val="24"/>
          <w:szCs w:val="24"/>
        </w:rPr>
        <w:instrText xml:space="preserve"> SEQ Figure \* ARABIC </w:instrText>
      </w:r>
      <w:r w:rsidRPr="003C5FF0">
        <w:rPr>
          <w:rFonts w:ascii="Times New Roman" w:hAnsi="Times New Roman" w:cs="Times New Roman"/>
          <w:bCs/>
          <w:i w:val="0"/>
          <w:iCs w:val="0"/>
          <w:color w:val="auto"/>
          <w:sz w:val="24"/>
          <w:szCs w:val="24"/>
        </w:rPr>
        <w:fldChar w:fldCharType="separate"/>
      </w:r>
      <w:r>
        <w:rPr>
          <w:rFonts w:ascii="Times New Roman" w:hAnsi="Times New Roman" w:cs="Times New Roman"/>
          <w:bCs/>
          <w:i w:val="0"/>
          <w:iCs w:val="0"/>
          <w:noProof/>
          <w:color w:val="auto"/>
          <w:sz w:val="24"/>
          <w:szCs w:val="24"/>
        </w:rPr>
        <w:t>1</w:t>
      </w:r>
      <w:r w:rsidRPr="003C5FF0">
        <w:rPr>
          <w:rFonts w:ascii="Times New Roman" w:hAnsi="Times New Roman" w:cs="Times New Roman"/>
          <w:bCs/>
          <w:i w:val="0"/>
          <w:iCs w:val="0"/>
          <w:color w:val="auto"/>
          <w:sz w:val="24"/>
          <w:szCs w:val="24"/>
        </w:rPr>
        <w:fldChar w:fldCharType="end"/>
      </w:r>
      <w:r w:rsidRPr="003C5FF0">
        <w:rPr>
          <w:rFonts w:ascii="Times New Roman" w:hAnsi="Times New Roman" w:cs="Times New Roman"/>
          <w:bCs/>
          <w:i w:val="0"/>
          <w:iCs w:val="0"/>
          <w:color w:val="auto"/>
          <w:sz w:val="24"/>
          <w:szCs w:val="24"/>
        </w:rPr>
        <w:t xml:space="preserve"> – Posterior probability ranges produced by the primary Bayesian chronological model, with the model structure shown. Modelled probability ranges are shown in solid black, while </w:t>
      </w:r>
      <w:proofErr w:type="spellStart"/>
      <w:r w:rsidRPr="003C5FF0">
        <w:rPr>
          <w:rFonts w:ascii="Times New Roman" w:hAnsi="Times New Roman" w:cs="Times New Roman"/>
          <w:bCs/>
          <w:i w:val="0"/>
          <w:iCs w:val="0"/>
          <w:color w:val="auto"/>
          <w:sz w:val="24"/>
          <w:szCs w:val="24"/>
        </w:rPr>
        <w:t>umodelled</w:t>
      </w:r>
      <w:proofErr w:type="spellEnd"/>
      <w:r w:rsidRPr="003C5FF0">
        <w:rPr>
          <w:rFonts w:ascii="Times New Roman" w:hAnsi="Times New Roman" w:cs="Times New Roman"/>
          <w:bCs/>
          <w:i w:val="0"/>
          <w:iCs w:val="0"/>
          <w:color w:val="auto"/>
          <w:sz w:val="24"/>
          <w:szCs w:val="24"/>
        </w:rPr>
        <w:t xml:space="preserve"> probability ranges are shown in grey outline. Both the 68.2% and 95.4% probability ranges are depicted.</w:t>
      </w:r>
    </w:p>
    <w:p w14:paraId="0355B8AD" w14:textId="77777777" w:rsidR="00490050" w:rsidRPr="00DF2F58" w:rsidRDefault="00490050" w:rsidP="00490050">
      <w:pPr>
        <w:jc w:val="center"/>
      </w:pPr>
    </w:p>
    <w:p w14:paraId="0A9A8909" w14:textId="77777777" w:rsidR="00490050" w:rsidRPr="00DF2F58" w:rsidRDefault="00490050" w:rsidP="00490050">
      <w:pPr>
        <w:keepNext/>
        <w:jc w:val="center"/>
      </w:pPr>
      <w:r w:rsidRPr="00DF2F58">
        <w:rPr>
          <w:noProof/>
          <w:lang w:val="en-US"/>
        </w:rPr>
        <w:lastRenderedPageBreak/>
        <w:drawing>
          <wp:inline distT="0" distB="0" distL="0" distR="0" wp14:anchorId="3AFF1410" wp14:editId="66B1757D">
            <wp:extent cx="5547360" cy="38328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7360" cy="3832860"/>
                    </a:xfrm>
                    <a:prstGeom prst="rect">
                      <a:avLst/>
                    </a:prstGeom>
                    <a:noFill/>
                    <a:ln>
                      <a:noFill/>
                    </a:ln>
                  </pic:spPr>
                </pic:pic>
              </a:graphicData>
            </a:graphic>
          </wp:inline>
        </w:drawing>
      </w:r>
    </w:p>
    <w:p w14:paraId="6587DCFC" w14:textId="77777777" w:rsidR="00490050" w:rsidRPr="003C5FF0" w:rsidRDefault="00490050" w:rsidP="00490050">
      <w:pPr>
        <w:pStyle w:val="Caption"/>
        <w:jc w:val="both"/>
        <w:rPr>
          <w:rFonts w:ascii="Times New Roman" w:hAnsi="Times New Roman" w:cs="Times New Roman"/>
          <w:bCs/>
          <w:i w:val="0"/>
          <w:iCs w:val="0"/>
          <w:color w:val="auto"/>
          <w:sz w:val="24"/>
          <w:szCs w:val="24"/>
        </w:rPr>
      </w:pPr>
      <w:r w:rsidRPr="003C5FF0">
        <w:rPr>
          <w:rFonts w:ascii="Times New Roman" w:hAnsi="Times New Roman" w:cs="Times New Roman"/>
          <w:bCs/>
          <w:i w:val="0"/>
          <w:iCs w:val="0"/>
          <w:color w:val="auto"/>
          <w:sz w:val="24"/>
          <w:szCs w:val="24"/>
        </w:rPr>
        <w:t xml:space="preserve">Figure </w:t>
      </w:r>
      <w:r w:rsidRPr="003C5FF0">
        <w:rPr>
          <w:rFonts w:ascii="Times New Roman" w:hAnsi="Times New Roman" w:cs="Times New Roman"/>
          <w:bCs/>
          <w:i w:val="0"/>
          <w:iCs w:val="0"/>
          <w:color w:val="auto"/>
          <w:sz w:val="24"/>
          <w:szCs w:val="24"/>
        </w:rPr>
        <w:fldChar w:fldCharType="begin"/>
      </w:r>
      <w:r w:rsidRPr="003C5FF0">
        <w:rPr>
          <w:rFonts w:ascii="Times New Roman" w:hAnsi="Times New Roman" w:cs="Times New Roman"/>
          <w:bCs/>
          <w:i w:val="0"/>
          <w:iCs w:val="0"/>
          <w:color w:val="auto"/>
          <w:sz w:val="24"/>
          <w:szCs w:val="24"/>
        </w:rPr>
        <w:instrText xml:space="preserve"> SEQ Figure \* ARABIC </w:instrText>
      </w:r>
      <w:r w:rsidRPr="003C5FF0">
        <w:rPr>
          <w:rFonts w:ascii="Times New Roman" w:hAnsi="Times New Roman" w:cs="Times New Roman"/>
          <w:bCs/>
          <w:i w:val="0"/>
          <w:iCs w:val="0"/>
          <w:color w:val="auto"/>
          <w:sz w:val="24"/>
          <w:szCs w:val="24"/>
        </w:rPr>
        <w:fldChar w:fldCharType="separate"/>
      </w:r>
      <w:r>
        <w:rPr>
          <w:rFonts w:ascii="Times New Roman" w:hAnsi="Times New Roman" w:cs="Times New Roman"/>
          <w:bCs/>
          <w:i w:val="0"/>
          <w:iCs w:val="0"/>
          <w:noProof/>
          <w:color w:val="auto"/>
          <w:sz w:val="24"/>
          <w:szCs w:val="24"/>
        </w:rPr>
        <w:t>2</w:t>
      </w:r>
      <w:r w:rsidRPr="003C5FF0">
        <w:rPr>
          <w:rFonts w:ascii="Times New Roman" w:hAnsi="Times New Roman" w:cs="Times New Roman"/>
          <w:bCs/>
          <w:i w:val="0"/>
          <w:iCs w:val="0"/>
          <w:color w:val="auto"/>
          <w:sz w:val="24"/>
          <w:szCs w:val="24"/>
        </w:rPr>
        <w:fldChar w:fldCharType="end"/>
      </w:r>
      <w:r w:rsidRPr="003C5FF0">
        <w:rPr>
          <w:rFonts w:ascii="Times New Roman" w:hAnsi="Times New Roman" w:cs="Times New Roman"/>
          <w:bCs/>
          <w:i w:val="0"/>
          <w:iCs w:val="0"/>
          <w:color w:val="auto"/>
          <w:sz w:val="24"/>
          <w:szCs w:val="24"/>
        </w:rPr>
        <w:t xml:space="preserve"> – Posterior probability range corresponding to the start of </w:t>
      </w:r>
      <w:proofErr w:type="spellStart"/>
      <w:r w:rsidRPr="003C5FF0">
        <w:rPr>
          <w:rFonts w:ascii="Times New Roman" w:hAnsi="Times New Roman" w:cs="Times New Roman"/>
          <w:bCs/>
          <w:i w:val="0"/>
          <w:iCs w:val="0"/>
          <w:color w:val="auto"/>
          <w:sz w:val="24"/>
          <w:szCs w:val="24"/>
        </w:rPr>
        <w:t>Quilcapampa’s</w:t>
      </w:r>
      <w:proofErr w:type="spellEnd"/>
      <w:r w:rsidRPr="003C5FF0">
        <w:rPr>
          <w:rFonts w:ascii="Times New Roman" w:hAnsi="Times New Roman" w:cs="Times New Roman"/>
          <w:bCs/>
          <w:i w:val="0"/>
          <w:iCs w:val="0"/>
          <w:color w:val="auto"/>
          <w:sz w:val="24"/>
          <w:szCs w:val="24"/>
        </w:rPr>
        <w:t xml:space="preserve"> Late Intermediate Period use as generated by the primary Bayesian chronological model. Both the 68.2% and 95.4% probability ranges are depicted.</w:t>
      </w:r>
    </w:p>
    <w:p w14:paraId="28358AA9" w14:textId="77777777" w:rsidR="00490050" w:rsidRPr="00DF2F58" w:rsidRDefault="00490050" w:rsidP="00490050"/>
    <w:p w14:paraId="29154A71" w14:textId="77777777" w:rsidR="00490050" w:rsidRPr="00DF2F58" w:rsidRDefault="00490050" w:rsidP="00490050">
      <w:pPr>
        <w:keepNext/>
        <w:jc w:val="center"/>
      </w:pPr>
      <w:r w:rsidRPr="00DF2F58">
        <w:rPr>
          <w:noProof/>
          <w:lang w:val="en-US"/>
        </w:rPr>
        <w:lastRenderedPageBreak/>
        <w:drawing>
          <wp:inline distT="0" distB="0" distL="0" distR="0" wp14:anchorId="40F527C8" wp14:editId="180408AA">
            <wp:extent cx="5516880" cy="383286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6880" cy="3832860"/>
                    </a:xfrm>
                    <a:prstGeom prst="rect">
                      <a:avLst/>
                    </a:prstGeom>
                    <a:noFill/>
                    <a:ln>
                      <a:noFill/>
                    </a:ln>
                  </pic:spPr>
                </pic:pic>
              </a:graphicData>
            </a:graphic>
          </wp:inline>
        </w:drawing>
      </w:r>
    </w:p>
    <w:p w14:paraId="30D58ABF" w14:textId="77777777" w:rsidR="00490050" w:rsidRPr="003C5FF0" w:rsidRDefault="00490050" w:rsidP="00490050">
      <w:pPr>
        <w:pStyle w:val="Caption"/>
        <w:jc w:val="both"/>
        <w:rPr>
          <w:rFonts w:ascii="Times New Roman" w:hAnsi="Times New Roman" w:cs="Times New Roman"/>
          <w:bCs/>
          <w:i w:val="0"/>
          <w:iCs w:val="0"/>
          <w:color w:val="auto"/>
          <w:sz w:val="24"/>
          <w:szCs w:val="24"/>
        </w:rPr>
      </w:pPr>
      <w:r w:rsidRPr="003C5FF0">
        <w:rPr>
          <w:rFonts w:ascii="Times New Roman" w:hAnsi="Times New Roman" w:cs="Times New Roman"/>
          <w:bCs/>
          <w:i w:val="0"/>
          <w:iCs w:val="0"/>
          <w:color w:val="auto"/>
          <w:sz w:val="24"/>
          <w:szCs w:val="24"/>
        </w:rPr>
        <w:t xml:space="preserve">Figure </w:t>
      </w:r>
      <w:r w:rsidRPr="003C5FF0">
        <w:rPr>
          <w:rFonts w:ascii="Times New Roman" w:hAnsi="Times New Roman" w:cs="Times New Roman"/>
          <w:bCs/>
          <w:i w:val="0"/>
          <w:iCs w:val="0"/>
          <w:color w:val="auto"/>
          <w:sz w:val="24"/>
          <w:szCs w:val="24"/>
        </w:rPr>
        <w:fldChar w:fldCharType="begin"/>
      </w:r>
      <w:r w:rsidRPr="003C5FF0">
        <w:rPr>
          <w:rFonts w:ascii="Times New Roman" w:hAnsi="Times New Roman" w:cs="Times New Roman"/>
          <w:bCs/>
          <w:i w:val="0"/>
          <w:iCs w:val="0"/>
          <w:color w:val="auto"/>
          <w:sz w:val="24"/>
          <w:szCs w:val="24"/>
        </w:rPr>
        <w:instrText xml:space="preserve"> SEQ Figure \* ARABIC </w:instrText>
      </w:r>
      <w:r w:rsidRPr="003C5FF0">
        <w:rPr>
          <w:rFonts w:ascii="Times New Roman" w:hAnsi="Times New Roman" w:cs="Times New Roman"/>
          <w:bCs/>
          <w:i w:val="0"/>
          <w:iCs w:val="0"/>
          <w:color w:val="auto"/>
          <w:sz w:val="24"/>
          <w:szCs w:val="24"/>
        </w:rPr>
        <w:fldChar w:fldCharType="separate"/>
      </w:r>
      <w:r>
        <w:rPr>
          <w:rFonts w:ascii="Times New Roman" w:hAnsi="Times New Roman" w:cs="Times New Roman"/>
          <w:bCs/>
          <w:i w:val="0"/>
          <w:iCs w:val="0"/>
          <w:noProof/>
          <w:color w:val="auto"/>
          <w:sz w:val="24"/>
          <w:szCs w:val="24"/>
        </w:rPr>
        <w:t>3</w:t>
      </w:r>
      <w:r w:rsidRPr="003C5FF0">
        <w:rPr>
          <w:rFonts w:ascii="Times New Roman" w:hAnsi="Times New Roman" w:cs="Times New Roman"/>
          <w:bCs/>
          <w:i w:val="0"/>
          <w:iCs w:val="0"/>
          <w:color w:val="auto"/>
          <w:sz w:val="24"/>
          <w:szCs w:val="24"/>
        </w:rPr>
        <w:fldChar w:fldCharType="end"/>
      </w:r>
      <w:r w:rsidRPr="003C5FF0">
        <w:rPr>
          <w:rFonts w:ascii="Times New Roman" w:hAnsi="Times New Roman" w:cs="Times New Roman"/>
          <w:bCs/>
          <w:i w:val="0"/>
          <w:iCs w:val="0"/>
          <w:color w:val="auto"/>
          <w:sz w:val="24"/>
          <w:szCs w:val="24"/>
        </w:rPr>
        <w:t xml:space="preserve"> – Posterior probability range corresponding to the end of </w:t>
      </w:r>
      <w:proofErr w:type="spellStart"/>
      <w:r w:rsidRPr="003C5FF0">
        <w:rPr>
          <w:rFonts w:ascii="Times New Roman" w:hAnsi="Times New Roman" w:cs="Times New Roman"/>
          <w:bCs/>
          <w:i w:val="0"/>
          <w:iCs w:val="0"/>
          <w:color w:val="auto"/>
          <w:sz w:val="24"/>
          <w:szCs w:val="24"/>
        </w:rPr>
        <w:t>Quilcapampa’s</w:t>
      </w:r>
      <w:proofErr w:type="spellEnd"/>
      <w:r w:rsidRPr="003C5FF0">
        <w:rPr>
          <w:rFonts w:ascii="Times New Roman" w:hAnsi="Times New Roman" w:cs="Times New Roman"/>
          <w:bCs/>
          <w:i w:val="0"/>
          <w:iCs w:val="0"/>
          <w:color w:val="auto"/>
          <w:sz w:val="24"/>
          <w:szCs w:val="24"/>
        </w:rPr>
        <w:t xml:space="preserve"> Late Intermediate Period use as generated by the primary Bayesian chronological model. Both the 68.2% and 95.4% probability ranges are depicted.</w:t>
      </w:r>
    </w:p>
    <w:p w14:paraId="0B3895FC" w14:textId="77777777" w:rsidR="00490050" w:rsidRPr="00DF2F58" w:rsidRDefault="00490050" w:rsidP="00490050">
      <w:pPr>
        <w:jc w:val="center"/>
      </w:pPr>
    </w:p>
    <w:p w14:paraId="14DE9ACC" w14:textId="77777777" w:rsidR="00490050" w:rsidRPr="00DF2F58" w:rsidRDefault="00490050" w:rsidP="00490050">
      <w:pPr>
        <w:keepNext/>
        <w:jc w:val="center"/>
      </w:pPr>
      <w:r w:rsidRPr="00DF2F58">
        <w:rPr>
          <w:noProof/>
          <w:lang w:val="en-US"/>
        </w:rPr>
        <w:lastRenderedPageBreak/>
        <w:drawing>
          <wp:inline distT="0" distB="0" distL="0" distR="0" wp14:anchorId="6DCD0F89" wp14:editId="6ED9FA4C">
            <wp:extent cx="5562600" cy="3848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0" cy="3848100"/>
                    </a:xfrm>
                    <a:prstGeom prst="rect">
                      <a:avLst/>
                    </a:prstGeom>
                    <a:noFill/>
                    <a:ln>
                      <a:noFill/>
                    </a:ln>
                  </pic:spPr>
                </pic:pic>
              </a:graphicData>
            </a:graphic>
          </wp:inline>
        </w:drawing>
      </w:r>
    </w:p>
    <w:p w14:paraId="3AE54B11" w14:textId="77777777" w:rsidR="00490050" w:rsidRPr="003C5FF0" w:rsidRDefault="00490050" w:rsidP="00490050">
      <w:pPr>
        <w:pStyle w:val="Caption"/>
        <w:jc w:val="both"/>
        <w:rPr>
          <w:rFonts w:ascii="Times New Roman" w:hAnsi="Times New Roman" w:cs="Times New Roman"/>
          <w:bCs/>
          <w:i w:val="0"/>
          <w:iCs w:val="0"/>
          <w:color w:val="auto"/>
          <w:sz w:val="24"/>
          <w:szCs w:val="24"/>
        </w:rPr>
      </w:pPr>
      <w:r w:rsidRPr="003C5FF0">
        <w:rPr>
          <w:rFonts w:ascii="Times New Roman" w:hAnsi="Times New Roman" w:cs="Times New Roman"/>
          <w:bCs/>
          <w:i w:val="0"/>
          <w:iCs w:val="0"/>
          <w:color w:val="auto"/>
          <w:sz w:val="24"/>
          <w:szCs w:val="24"/>
        </w:rPr>
        <w:t xml:space="preserve">Figure </w:t>
      </w:r>
      <w:r w:rsidRPr="003C5FF0">
        <w:rPr>
          <w:rFonts w:ascii="Times New Roman" w:hAnsi="Times New Roman" w:cs="Times New Roman"/>
          <w:bCs/>
          <w:i w:val="0"/>
          <w:iCs w:val="0"/>
          <w:color w:val="auto"/>
          <w:sz w:val="24"/>
          <w:szCs w:val="24"/>
        </w:rPr>
        <w:fldChar w:fldCharType="begin"/>
      </w:r>
      <w:r w:rsidRPr="003C5FF0">
        <w:rPr>
          <w:rFonts w:ascii="Times New Roman" w:hAnsi="Times New Roman" w:cs="Times New Roman"/>
          <w:bCs/>
          <w:i w:val="0"/>
          <w:iCs w:val="0"/>
          <w:color w:val="auto"/>
          <w:sz w:val="24"/>
          <w:szCs w:val="24"/>
        </w:rPr>
        <w:instrText xml:space="preserve"> SEQ Figure \* ARABIC </w:instrText>
      </w:r>
      <w:r w:rsidRPr="003C5FF0">
        <w:rPr>
          <w:rFonts w:ascii="Times New Roman" w:hAnsi="Times New Roman" w:cs="Times New Roman"/>
          <w:bCs/>
          <w:i w:val="0"/>
          <w:iCs w:val="0"/>
          <w:color w:val="auto"/>
          <w:sz w:val="24"/>
          <w:szCs w:val="24"/>
        </w:rPr>
        <w:fldChar w:fldCharType="separate"/>
      </w:r>
      <w:r>
        <w:rPr>
          <w:rFonts w:ascii="Times New Roman" w:hAnsi="Times New Roman" w:cs="Times New Roman"/>
          <w:bCs/>
          <w:i w:val="0"/>
          <w:iCs w:val="0"/>
          <w:noProof/>
          <w:color w:val="auto"/>
          <w:sz w:val="24"/>
          <w:szCs w:val="24"/>
        </w:rPr>
        <w:t>4</w:t>
      </w:r>
      <w:r w:rsidRPr="003C5FF0">
        <w:rPr>
          <w:rFonts w:ascii="Times New Roman" w:hAnsi="Times New Roman" w:cs="Times New Roman"/>
          <w:bCs/>
          <w:i w:val="0"/>
          <w:iCs w:val="0"/>
          <w:color w:val="auto"/>
          <w:sz w:val="24"/>
          <w:szCs w:val="24"/>
        </w:rPr>
        <w:fldChar w:fldCharType="end"/>
      </w:r>
      <w:r w:rsidRPr="003C5FF0">
        <w:rPr>
          <w:rFonts w:ascii="Times New Roman" w:hAnsi="Times New Roman" w:cs="Times New Roman"/>
          <w:bCs/>
          <w:i w:val="0"/>
          <w:iCs w:val="0"/>
          <w:color w:val="auto"/>
          <w:sz w:val="24"/>
          <w:szCs w:val="24"/>
        </w:rPr>
        <w:t xml:space="preserve"> – Posterior probability range corresponding to the span of </w:t>
      </w:r>
      <w:proofErr w:type="spellStart"/>
      <w:r w:rsidRPr="003C5FF0">
        <w:rPr>
          <w:rFonts w:ascii="Times New Roman" w:hAnsi="Times New Roman" w:cs="Times New Roman"/>
          <w:bCs/>
          <w:i w:val="0"/>
          <w:iCs w:val="0"/>
          <w:color w:val="auto"/>
          <w:sz w:val="24"/>
          <w:szCs w:val="24"/>
        </w:rPr>
        <w:t>Quilcapampa’s</w:t>
      </w:r>
      <w:proofErr w:type="spellEnd"/>
      <w:r w:rsidRPr="003C5FF0">
        <w:rPr>
          <w:rFonts w:ascii="Times New Roman" w:hAnsi="Times New Roman" w:cs="Times New Roman"/>
          <w:bCs/>
          <w:i w:val="0"/>
          <w:iCs w:val="0"/>
          <w:color w:val="auto"/>
          <w:sz w:val="24"/>
          <w:szCs w:val="24"/>
        </w:rPr>
        <w:t xml:space="preserve"> Late Intermediate Period use as generated by the primary Bayesian chronological model. Both the 68.2% and 95.4% probability ranges are depicted.</w:t>
      </w:r>
    </w:p>
    <w:p w14:paraId="097DA58B" w14:textId="77777777" w:rsidR="00490050" w:rsidRDefault="00490050" w:rsidP="00490050">
      <w:pPr>
        <w:spacing w:after="0" w:line="240" w:lineRule="auto"/>
        <w:jc w:val="both"/>
        <w:rPr>
          <w:b/>
          <w:bCs/>
        </w:rPr>
      </w:pPr>
      <w:r w:rsidRPr="00DF2F58">
        <w:rPr>
          <w:b/>
          <w:bCs/>
        </w:rPr>
        <w:t>References</w:t>
      </w:r>
    </w:p>
    <w:p w14:paraId="34447B39" w14:textId="77777777" w:rsidR="00490050" w:rsidRPr="00DF2F58" w:rsidRDefault="00490050" w:rsidP="00490050">
      <w:pPr>
        <w:spacing w:after="0" w:line="240" w:lineRule="auto"/>
        <w:jc w:val="both"/>
        <w:rPr>
          <w:b/>
          <w:bCs/>
        </w:rPr>
      </w:pPr>
    </w:p>
    <w:p w14:paraId="4237F640" w14:textId="77777777" w:rsidR="00490050" w:rsidRDefault="00490050" w:rsidP="00490050">
      <w:pPr>
        <w:spacing w:after="0" w:line="240" w:lineRule="auto"/>
        <w:ind w:left="851" w:hanging="851"/>
      </w:pPr>
      <w:r w:rsidRPr="00DF2F58">
        <w:t>Bayliss, A</w:t>
      </w:r>
      <w:r>
        <w:t>lex,</w:t>
      </w:r>
      <w:r w:rsidRPr="00DF2F58">
        <w:t xml:space="preserve"> Christopher </w:t>
      </w:r>
      <w:proofErr w:type="spellStart"/>
      <w:r w:rsidRPr="00DF2F58">
        <w:t>Bron</w:t>
      </w:r>
      <w:r>
        <w:t>k</w:t>
      </w:r>
      <w:proofErr w:type="spellEnd"/>
      <w:r>
        <w:t xml:space="preserve"> </w:t>
      </w:r>
      <w:proofErr w:type="spellStart"/>
      <w:r w:rsidRPr="00DF2F58">
        <w:t>R</w:t>
      </w:r>
      <w:r>
        <w:t>amesey</w:t>
      </w:r>
      <w:proofErr w:type="spellEnd"/>
      <w:r w:rsidRPr="00DF2F58">
        <w:t xml:space="preserve">, </w:t>
      </w:r>
      <w:r>
        <w:t xml:space="preserve">Johannes </w:t>
      </w:r>
      <w:r w:rsidRPr="00DF2F58">
        <w:t xml:space="preserve">van der </w:t>
      </w:r>
      <w:proofErr w:type="spellStart"/>
      <w:r w:rsidRPr="00DF2F58">
        <w:t>Plicht</w:t>
      </w:r>
      <w:proofErr w:type="spellEnd"/>
      <w:r w:rsidRPr="00DF2F58">
        <w:t xml:space="preserve">, </w:t>
      </w:r>
      <w:r>
        <w:t>and Alasdair</w:t>
      </w:r>
      <w:r w:rsidRPr="00DF2F58">
        <w:t xml:space="preserve"> Whittle</w:t>
      </w:r>
      <w:r>
        <w:t xml:space="preserve"> </w:t>
      </w:r>
    </w:p>
    <w:p w14:paraId="77EEC618" w14:textId="77777777" w:rsidR="00490050" w:rsidRPr="00DF2F58" w:rsidRDefault="00490050" w:rsidP="00490050">
      <w:pPr>
        <w:spacing w:after="0" w:line="240" w:lineRule="auto"/>
        <w:ind w:left="851" w:hanging="851"/>
      </w:pPr>
      <w:r w:rsidRPr="00DF2F58">
        <w:t>2007</w:t>
      </w:r>
      <w:r>
        <w:tab/>
      </w:r>
      <w:r w:rsidRPr="00DF2F58">
        <w:t xml:space="preserve">Bradshaw and Bayes: Towards a Timetable for the Neolithic. </w:t>
      </w:r>
      <w:r w:rsidRPr="00DF2F58">
        <w:rPr>
          <w:i/>
          <w:iCs/>
        </w:rPr>
        <w:t>Cambridge Archaeological Journal 17</w:t>
      </w:r>
      <w:r>
        <w:t>:</w:t>
      </w:r>
      <w:r w:rsidRPr="00DF2F58">
        <w:t>1-28.</w:t>
      </w:r>
    </w:p>
    <w:p w14:paraId="1E32868C" w14:textId="77777777" w:rsidR="00490050" w:rsidRDefault="00490050" w:rsidP="00490050">
      <w:pPr>
        <w:spacing w:after="0" w:line="240" w:lineRule="auto"/>
        <w:ind w:left="851" w:hanging="851"/>
        <w:jc w:val="both"/>
      </w:pPr>
      <w:proofErr w:type="spellStart"/>
      <w:r>
        <w:t>Bronk</w:t>
      </w:r>
      <w:proofErr w:type="spellEnd"/>
      <w:r>
        <w:t xml:space="preserve"> Ramsey, Christopher </w:t>
      </w:r>
    </w:p>
    <w:p w14:paraId="13607E35" w14:textId="77777777" w:rsidR="00490050" w:rsidRPr="00DF2F58" w:rsidRDefault="00490050" w:rsidP="00490050">
      <w:pPr>
        <w:spacing w:after="0" w:line="240" w:lineRule="auto"/>
        <w:ind w:left="851" w:hanging="851"/>
        <w:jc w:val="both"/>
      </w:pPr>
      <w:r>
        <w:t>2009a</w:t>
      </w:r>
      <w:r>
        <w:tab/>
      </w:r>
      <w:r w:rsidRPr="00DF2F58">
        <w:t>Bayesian analysis of radiocarbon dates</w:t>
      </w:r>
      <w:r w:rsidRPr="00DF2F58">
        <w:rPr>
          <w:i/>
          <w:iCs/>
        </w:rPr>
        <w:t>. Radiocarbon 51</w:t>
      </w:r>
      <w:r>
        <w:t>:</w:t>
      </w:r>
      <w:r w:rsidRPr="00DF2F58">
        <w:t>337-360.</w:t>
      </w:r>
    </w:p>
    <w:p w14:paraId="77D66675" w14:textId="77777777" w:rsidR="00490050" w:rsidRPr="00DF2F58" w:rsidRDefault="00490050" w:rsidP="00490050">
      <w:pPr>
        <w:spacing w:after="0" w:line="240" w:lineRule="auto"/>
        <w:ind w:left="851" w:hanging="851"/>
        <w:jc w:val="both"/>
      </w:pPr>
      <w:r>
        <w:t>2009b</w:t>
      </w:r>
      <w:r>
        <w:tab/>
      </w:r>
      <w:r w:rsidRPr="00DF2F58">
        <w:t xml:space="preserve">Dealing with outliers and offsets in radiocarbon dating. </w:t>
      </w:r>
      <w:r w:rsidRPr="00DF2F58">
        <w:rPr>
          <w:i/>
          <w:iCs/>
        </w:rPr>
        <w:t>Radiocarbon 51</w:t>
      </w:r>
      <w:r>
        <w:t>:</w:t>
      </w:r>
      <w:r w:rsidRPr="00DF2F58">
        <w:t>1023-1045.</w:t>
      </w:r>
    </w:p>
    <w:p w14:paraId="772580F9" w14:textId="77777777" w:rsidR="00490050" w:rsidRDefault="00490050" w:rsidP="00490050">
      <w:pPr>
        <w:spacing w:after="0" w:line="240" w:lineRule="auto"/>
        <w:ind w:left="851" w:hanging="851"/>
        <w:jc w:val="both"/>
      </w:pPr>
      <w:r>
        <w:t>Hogg, Alan</w:t>
      </w:r>
      <w:r w:rsidRPr="00DF2F58">
        <w:t xml:space="preserve"> G., </w:t>
      </w:r>
      <w:r>
        <w:t>Quan Hua, Paul G. Blackwell, Mu Ni</w:t>
      </w:r>
      <w:r w:rsidRPr="00DF2F58">
        <w:t xml:space="preserve">, </w:t>
      </w:r>
      <w:r>
        <w:t>Caitlan E. Buck</w:t>
      </w:r>
      <w:r w:rsidRPr="00DF2F58">
        <w:t xml:space="preserve">, </w:t>
      </w:r>
      <w:r>
        <w:t xml:space="preserve">Thomas P. </w:t>
      </w:r>
      <w:proofErr w:type="spellStart"/>
      <w:r w:rsidRPr="00DF2F58">
        <w:t>Guilderson</w:t>
      </w:r>
      <w:proofErr w:type="spellEnd"/>
      <w:r w:rsidRPr="00DF2F58">
        <w:t>,</w:t>
      </w:r>
      <w:r>
        <w:t xml:space="preserve"> Timothy </w:t>
      </w:r>
      <w:r w:rsidRPr="00DF2F58">
        <w:t>J.</w:t>
      </w:r>
      <w:r>
        <w:t xml:space="preserve"> </w:t>
      </w:r>
      <w:r w:rsidRPr="00DF2F58">
        <w:t>Heaton,</w:t>
      </w:r>
      <w:r>
        <w:t xml:space="preserve"> Jonathan G.</w:t>
      </w:r>
      <w:r w:rsidRPr="00DF2F58">
        <w:t xml:space="preserve"> Palmer,</w:t>
      </w:r>
      <w:r>
        <w:t xml:space="preserve"> Paula J.</w:t>
      </w:r>
      <w:r w:rsidRPr="00DF2F58">
        <w:t xml:space="preserve"> Reimer, </w:t>
      </w:r>
      <w:r>
        <w:t xml:space="preserve">Ron W. </w:t>
      </w:r>
      <w:r w:rsidRPr="00DF2F58">
        <w:t xml:space="preserve">Reimer, </w:t>
      </w:r>
      <w:r>
        <w:t xml:space="preserve">Christian S. M. </w:t>
      </w:r>
      <w:r w:rsidRPr="00DF2F58">
        <w:t>Turney,</w:t>
      </w:r>
      <w:r>
        <w:t xml:space="preserve"> and Susan R. H.</w:t>
      </w:r>
      <w:r w:rsidRPr="00DF2F58">
        <w:t xml:space="preserve"> Zimmerman</w:t>
      </w:r>
      <w:r>
        <w:t xml:space="preserve"> </w:t>
      </w:r>
    </w:p>
    <w:p w14:paraId="74D1D501" w14:textId="77777777" w:rsidR="00490050" w:rsidRPr="00DF2F58" w:rsidRDefault="00490050" w:rsidP="00490050">
      <w:pPr>
        <w:spacing w:after="0" w:line="240" w:lineRule="auto"/>
        <w:ind w:left="851" w:hanging="851"/>
        <w:jc w:val="both"/>
      </w:pPr>
      <w:r>
        <w:t>2013</w:t>
      </w:r>
      <w:r>
        <w:tab/>
      </w:r>
      <w:r w:rsidRPr="00DF2F58">
        <w:t xml:space="preserve">SHCal13 Southern Hemisphere Calibration, 0–50,000 Years </w:t>
      </w:r>
      <w:proofErr w:type="spellStart"/>
      <w:r w:rsidRPr="00DF2F58">
        <w:t>cal</w:t>
      </w:r>
      <w:proofErr w:type="spellEnd"/>
      <w:r w:rsidRPr="00DF2F58">
        <w:t xml:space="preserve"> BP. </w:t>
      </w:r>
      <w:r w:rsidRPr="00DF2F58">
        <w:rPr>
          <w:i/>
          <w:iCs/>
        </w:rPr>
        <w:t>Radiocarbon 55</w:t>
      </w:r>
      <w:r>
        <w:t>:</w:t>
      </w:r>
      <w:r w:rsidRPr="00DF2F58">
        <w:t>1889-1903.</w:t>
      </w:r>
    </w:p>
    <w:p w14:paraId="30E56DA4" w14:textId="77777777" w:rsidR="00490050" w:rsidRPr="00DF2F58" w:rsidRDefault="00490050" w:rsidP="00490050">
      <w:pPr>
        <w:spacing w:after="0" w:line="240" w:lineRule="auto"/>
        <w:ind w:left="851" w:hanging="851"/>
      </w:pPr>
      <w:r w:rsidRPr="00DF2F58">
        <w:t xml:space="preserve">Jennings, Justin, Wily J. </w:t>
      </w:r>
      <w:proofErr w:type="spellStart"/>
      <w:r w:rsidRPr="00DF2F58">
        <w:t>Yépez</w:t>
      </w:r>
      <w:proofErr w:type="spellEnd"/>
      <w:r w:rsidRPr="00DF2F58">
        <w:t xml:space="preserve"> Álvarez, and Stefanie L. Bautista (eds.)</w:t>
      </w:r>
    </w:p>
    <w:p w14:paraId="6CAC042B" w14:textId="77777777" w:rsidR="00490050" w:rsidRPr="00DF2F58" w:rsidRDefault="00490050" w:rsidP="00490050">
      <w:pPr>
        <w:spacing w:after="0" w:line="240" w:lineRule="auto"/>
        <w:ind w:left="851" w:hanging="851"/>
      </w:pPr>
      <w:r w:rsidRPr="00DF2F58">
        <w:t>2021</w:t>
      </w:r>
      <w:r w:rsidRPr="00DF2F58">
        <w:tab/>
      </w:r>
      <w:proofErr w:type="spellStart"/>
      <w:r w:rsidRPr="00DF2F58">
        <w:rPr>
          <w:i/>
          <w:iCs/>
        </w:rPr>
        <w:t>Quilcapampa</w:t>
      </w:r>
      <w:proofErr w:type="spellEnd"/>
      <w:r w:rsidRPr="00DF2F58">
        <w:rPr>
          <w:i/>
          <w:iCs/>
        </w:rPr>
        <w:t>: A Wari Enclave in Southern Peru</w:t>
      </w:r>
      <w:r w:rsidRPr="00DF2F58">
        <w:t>. University Press of Florida, Tallahassee, in press.</w:t>
      </w:r>
    </w:p>
    <w:p w14:paraId="1E28CC6D" w14:textId="77777777" w:rsidR="00490050" w:rsidRDefault="00490050" w:rsidP="00490050">
      <w:pPr>
        <w:spacing w:after="0" w:line="240" w:lineRule="auto"/>
      </w:pPr>
      <w:r>
        <w:br w:type="page"/>
      </w:r>
    </w:p>
    <w:p w14:paraId="6F0DB709" w14:textId="77777777" w:rsidR="007E00E3" w:rsidRDefault="007E00E3"/>
    <w:sectPr w:rsidR="007E0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50"/>
    <w:rsid w:val="00490050"/>
    <w:rsid w:val="007E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CEA47"/>
  <w15:chartTrackingRefBased/>
  <w15:docId w15:val="{3A1627B4-2001-4508-96F6-788E2DA8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50"/>
    <w:pPr>
      <w:spacing w:line="480" w:lineRule="auto"/>
    </w:pPr>
    <w:rPr>
      <w:rFonts w:ascii="Times New Roman" w:eastAsia="Calibri"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90050"/>
    <w:pPr>
      <w:spacing w:after="200" w:line="240" w:lineRule="auto"/>
    </w:pPr>
    <w:rPr>
      <w:rFonts w:asciiTheme="minorHAnsi" w:eastAsiaTheme="minorHAnsi" w:hAnsiTheme="minorHAnsi" w:cstheme="minorBidi"/>
      <w:i/>
      <w:iCs/>
      <w:color w:val="44546A" w:themeColor="text2"/>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1044</Words>
  <Characters>5954</Characters>
  <Application>Microsoft Office Word</Application>
  <DocSecurity>0</DocSecurity>
  <Lines>49</Lines>
  <Paragraphs>13</Paragraphs>
  <ScaleCrop>false</ScaleCrop>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LAQEditors</dc:creator>
  <cp:keywords/>
  <dc:description/>
  <cp:lastModifiedBy>LAQEditors</cp:lastModifiedBy>
  <cp:revision>1</cp:revision>
  <dcterms:created xsi:type="dcterms:W3CDTF">2021-02-01T00:26:00Z</dcterms:created>
  <dcterms:modified xsi:type="dcterms:W3CDTF">2021-02-01T00:27:00Z</dcterms:modified>
</cp:coreProperties>
</file>