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0DB91" w14:textId="77777777" w:rsidR="000A6478" w:rsidRDefault="000A6478" w:rsidP="009A7A3D">
      <w:pPr>
        <w:pStyle w:val="Ttulo1"/>
        <w:keepNext w:val="0"/>
        <w:keepLines w:val="0"/>
        <w:spacing w:line="480" w:lineRule="auto"/>
      </w:pPr>
    </w:p>
    <w:p w14:paraId="2B840984" w14:textId="77777777" w:rsidR="000A6478" w:rsidRPr="009749E4" w:rsidRDefault="000A6478" w:rsidP="009A7A3D">
      <w:pPr>
        <w:pStyle w:val="Ttulo1"/>
        <w:keepNext w:val="0"/>
        <w:keepLines w:val="0"/>
        <w:spacing w:line="480" w:lineRule="auto"/>
        <w:rPr>
          <w:b w:val="0"/>
          <w:bCs w:val="0"/>
        </w:rPr>
      </w:pPr>
      <w:r w:rsidRPr="009749E4">
        <w:rPr>
          <w:b w:val="0"/>
          <w:bCs w:val="0"/>
        </w:rPr>
        <w:t>Texto Suplementario 1. Definición de variables y categorías operativas</w:t>
      </w:r>
    </w:p>
    <w:p w14:paraId="036DDD81" w14:textId="77777777" w:rsidR="000A6478" w:rsidRPr="00D4371A" w:rsidRDefault="000A6478" w:rsidP="009A7A3D">
      <w:pPr>
        <w:pStyle w:val="Prrafodelista"/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28D75B75" w14:textId="77777777" w:rsidR="000A6478" w:rsidRDefault="000A6478" w:rsidP="009A7A3D">
      <w:pPr>
        <w:pStyle w:val="Ttulo1"/>
        <w:keepNext w:val="0"/>
        <w:keepLines w:val="0"/>
        <w:spacing w:line="480" w:lineRule="auto"/>
      </w:pPr>
      <w:r>
        <w:t>C</w:t>
      </w:r>
      <w:r w:rsidRPr="00217B39">
        <w:t xml:space="preserve">lase de soporte </w:t>
      </w:r>
    </w:p>
    <w:p w14:paraId="68DC56D1" w14:textId="77777777" w:rsidR="000A6478" w:rsidRPr="00217B39" w:rsidRDefault="000A6478" w:rsidP="00E93688">
      <w:pPr>
        <w:pStyle w:val="Prrafodelista"/>
        <w:keepNext w:val="0"/>
        <w:keepLines w:val="0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 xml:space="preserve">Nódulo: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217B39">
        <w:rPr>
          <w:rFonts w:ascii="Times New Roman" w:hAnsi="Times New Roman" w:cs="Times New Roman"/>
          <w:sz w:val="24"/>
          <w:szCs w:val="24"/>
        </w:rPr>
        <w:t>oca transportable</w:t>
      </w:r>
      <w:r>
        <w:rPr>
          <w:rFonts w:ascii="Times New Roman" w:hAnsi="Times New Roman" w:cs="Times New Roman"/>
          <w:sz w:val="24"/>
          <w:szCs w:val="24"/>
        </w:rPr>
        <w:t xml:space="preserve"> sin evidencias de haber sido modificada </w:t>
      </w:r>
      <w:proofErr w:type="spellStart"/>
      <w:r>
        <w:rPr>
          <w:rFonts w:ascii="Times New Roman" w:hAnsi="Times New Roman" w:cs="Times New Roman"/>
          <w:sz w:val="24"/>
          <w:szCs w:val="24"/>
        </w:rPr>
        <w:t>antrópicamente</w:t>
      </w:r>
      <w:proofErr w:type="spellEnd"/>
      <w:r w:rsidRPr="00217B39">
        <w:rPr>
          <w:rFonts w:ascii="Times New Roman" w:hAnsi="Times New Roman" w:cs="Times New Roman"/>
          <w:sz w:val="24"/>
          <w:szCs w:val="24"/>
        </w:rPr>
        <w:t>.</w:t>
      </w:r>
    </w:p>
    <w:p w14:paraId="67FB7C6B" w14:textId="77777777" w:rsidR="000A6478" w:rsidRDefault="000A6478" w:rsidP="00234028">
      <w:pPr>
        <w:pStyle w:val="Prrafodelista"/>
        <w:keepNext w:val="0"/>
        <w:keepLines w:val="0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522A">
        <w:rPr>
          <w:rFonts w:ascii="Times New Roman" w:hAnsi="Times New Roman" w:cs="Times New Roman"/>
          <w:sz w:val="24"/>
          <w:szCs w:val="24"/>
        </w:rPr>
        <w:t xml:space="preserve">Lasca: producto de talla cuya longitud máxima no supera el valor de dos anchos </w:t>
      </w:r>
      <w:r>
        <w:rPr>
          <w:rFonts w:ascii="Times New Roman" w:hAnsi="Times New Roman" w:cs="Times New Roman"/>
          <w:noProof/>
          <w:sz w:val="24"/>
          <w:szCs w:val="24"/>
        </w:rPr>
        <w:t>(Aschero 1975, 1983)</w:t>
      </w:r>
      <w:r>
        <w:rPr>
          <w:rFonts w:ascii="Times New Roman" w:hAnsi="Times New Roman" w:cs="Times New Roman"/>
          <w:sz w:val="24"/>
          <w:szCs w:val="24"/>
        </w:rPr>
        <w:t>, ni su ancho a dos largos.</w:t>
      </w:r>
    </w:p>
    <w:p w14:paraId="35E115AC" w14:textId="77777777" w:rsidR="000A6478" w:rsidRPr="00217B39" w:rsidRDefault="000A6478" w:rsidP="00FE5635">
      <w:pPr>
        <w:pStyle w:val="Prrafodelista"/>
        <w:keepNext w:val="0"/>
        <w:keepLines w:val="0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 xml:space="preserve">Lasca triangular: </w:t>
      </w:r>
      <w:r w:rsidRPr="00A4522A">
        <w:rPr>
          <w:rFonts w:ascii="Times New Roman" w:hAnsi="Times New Roman" w:cs="Times New Roman"/>
          <w:sz w:val="24"/>
          <w:szCs w:val="24"/>
        </w:rPr>
        <w:t xml:space="preserve">producto de talla </w:t>
      </w:r>
      <w:r>
        <w:rPr>
          <w:rFonts w:ascii="Times New Roman" w:hAnsi="Times New Roman" w:cs="Times New Roman"/>
          <w:sz w:val="24"/>
          <w:szCs w:val="24"/>
        </w:rPr>
        <w:t xml:space="preserve">de morfología triangular, </w:t>
      </w:r>
      <w:r w:rsidRPr="00FE5635">
        <w:rPr>
          <w:rFonts w:ascii="Times New Roman" w:hAnsi="Times New Roman" w:cs="Times New Roman"/>
          <w:sz w:val="24"/>
          <w:szCs w:val="24"/>
        </w:rPr>
        <w:t>con vértice agudo,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</w:rPr>
        <w:t>negativos de lascados previos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</w:rPr>
        <w:t>que convergen en una arista central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 w:rsidRPr="00217B39">
        <w:rPr>
          <w:rFonts w:ascii="Times New Roman" w:hAnsi="Times New Roman" w:cs="Times New Roman"/>
          <w:sz w:val="24"/>
          <w:szCs w:val="24"/>
        </w:rPr>
        <w:t>talón facetado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(modificado de Cardich y Paunero 1991-92)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094A8B" w14:textId="77777777" w:rsidR="000A6478" w:rsidRDefault="000A6478" w:rsidP="00C80FA0">
      <w:pPr>
        <w:pStyle w:val="Prrafodelista"/>
        <w:keepNext w:val="0"/>
        <w:keepLines w:val="0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 xml:space="preserve">Lámina (hoja según </w:t>
      </w:r>
      <w:r>
        <w:rPr>
          <w:rFonts w:ascii="Times New Roman" w:hAnsi="Times New Roman" w:cs="Times New Roman"/>
          <w:noProof/>
          <w:sz w:val="24"/>
          <w:szCs w:val="24"/>
        </w:rPr>
        <w:t>Aschero (1975)</w:t>
      </w:r>
      <w:r w:rsidRPr="00217B39">
        <w:rPr>
          <w:rFonts w:ascii="Times New Roman" w:hAnsi="Times New Roman" w:cs="Times New Roman"/>
          <w:sz w:val="24"/>
          <w:szCs w:val="24"/>
        </w:rPr>
        <w:t xml:space="preserve">: </w:t>
      </w:r>
      <w:r w:rsidRPr="00A4522A">
        <w:rPr>
          <w:rFonts w:ascii="Times New Roman" w:hAnsi="Times New Roman" w:cs="Times New Roman"/>
          <w:sz w:val="24"/>
          <w:szCs w:val="24"/>
        </w:rPr>
        <w:t xml:space="preserve">producto de talla </w:t>
      </w:r>
      <w:r>
        <w:rPr>
          <w:rFonts w:ascii="Times New Roman" w:hAnsi="Times New Roman" w:cs="Times New Roman"/>
          <w:sz w:val="24"/>
          <w:szCs w:val="24"/>
        </w:rPr>
        <w:t xml:space="preserve">cuya </w:t>
      </w:r>
      <w:r w:rsidRPr="00217B39">
        <w:rPr>
          <w:rFonts w:ascii="Times New Roman" w:hAnsi="Times New Roman" w:cs="Times New Roman"/>
          <w:sz w:val="24"/>
          <w:szCs w:val="24"/>
        </w:rPr>
        <w:t>longitud es el doble de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217B39">
        <w:rPr>
          <w:rFonts w:ascii="Times New Roman" w:hAnsi="Times New Roman" w:cs="Times New Roman"/>
          <w:sz w:val="24"/>
          <w:szCs w:val="24"/>
        </w:rPr>
        <w:t xml:space="preserve"> ancho, con bordes paralelos o </w:t>
      </w:r>
      <w:proofErr w:type="spellStart"/>
      <w:r w:rsidRPr="00217B39">
        <w:rPr>
          <w:rFonts w:ascii="Times New Roman" w:hAnsi="Times New Roman" w:cs="Times New Roman"/>
          <w:sz w:val="24"/>
          <w:szCs w:val="24"/>
        </w:rPr>
        <w:t>subparalelos</w:t>
      </w:r>
      <w:proofErr w:type="spellEnd"/>
      <w:r w:rsidRPr="00217B39">
        <w:rPr>
          <w:rFonts w:ascii="Times New Roman" w:hAnsi="Times New Roman" w:cs="Times New Roman"/>
          <w:sz w:val="24"/>
          <w:szCs w:val="24"/>
        </w:rPr>
        <w:t xml:space="preserve"> y una o más aristas paralelas a ellos.</w:t>
      </w:r>
    </w:p>
    <w:p w14:paraId="5A7D6EEA" w14:textId="77777777" w:rsidR="000A6478" w:rsidRPr="00CE06B3" w:rsidRDefault="000A6478" w:rsidP="00CE06B3">
      <w:pPr>
        <w:pStyle w:val="Prrafodelista"/>
        <w:keepNext w:val="0"/>
        <w:keepLines w:val="0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0FA0">
        <w:rPr>
          <w:rFonts w:ascii="Times New Roman" w:hAnsi="Times New Roman" w:cs="Times New Roman"/>
          <w:sz w:val="24"/>
          <w:szCs w:val="24"/>
        </w:rPr>
        <w:t xml:space="preserve">Tableta de reavivado: </w:t>
      </w:r>
      <w:r w:rsidRPr="00A4522A">
        <w:rPr>
          <w:rFonts w:ascii="Times New Roman" w:hAnsi="Times New Roman" w:cs="Times New Roman"/>
          <w:sz w:val="24"/>
          <w:szCs w:val="24"/>
        </w:rPr>
        <w:t xml:space="preserve">producto </w:t>
      </w:r>
      <w:r>
        <w:rPr>
          <w:rFonts w:ascii="Times New Roman" w:hAnsi="Times New Roman" w:cs="Times New Roman"/>
          <w:sz w:val="24"/>
          <w:szCs w:val="24"/>
        </w:rPr>
        <w:t>de talla que resulta</w:t>
      </w:r>
      <w:r w:rsidRPr="00CE06B3">
        <w:rPr>
          <w:rFonts w:ascii="Times New Roman" w:hAnsi="Times New Roman" w:cs="Times New Roman"/>
          <w:sz w:val="24"/>
          <w:szCs w:val="24"/>
        </w:rPr>
        <w:t xml:space="preserve"> de la renovación de la plataforma de percusión o presión de un núcleo</w:t>
      </w:r>
      <w:r>
        <w:rPr>
          <w:rFonts w:ascii="Times New Roman" w:hAnsi="Times New Roman" w:cs="Times New Roman"/>
          <w:sz w:val="24"/>
          <w:szCs w:val="24"/>
        </w:rPr>
        <w:t xml:space="preserve">. Su </w:t>
      </w:r>
      <w:r w:rsidRPr="00CE06B3">
        <w:rPr>
          <w:rFonts w:ascii="Times New Roman" w:hAnsi="Times New Roman" w:cs="Times New Roman"/>
          <w:sz w:val="24"/>
          <w:szCs w:val="24"/>
        </w:rPr>
        <w:t xml:space="preserve">talón </w:t>
      </w:r>
      <w:r>
        <w:rPr>
          <w:rFonts w:ascii="Times New Roman" w:hAnsi="Times New Roman" w:cs="Times New Roman"/>
          <w:sz w:val="24"/>
          <w:szCs w:val="24"/>
        </w:rPr>
        <w:t xml:space="preserve">contiene </w:t>
      </w:r>
      <w:r w:rsidRPr="00CE06B3">
        <w:rPr>
          <w:rFonts w:ascii="Times New Roman" w:hAnsi="Times New Roman" w:cs="Times New Roman"/>
          <w:sz w:val="24"/>
          <w:szCs w:val="24"/>
        </w:rPr>
        <w:t>parte de las superficies de lascado</w:t>
      </w:r>
      <w:r>
        <w:rPr>
          <w:rFonts w:ascii="Times New Roman" w:hAnsi="Times New Roman" w:cs="Times New Roman"/>
          <w:sz w:val="24"/>
          <w:szCs w:val="24"/>
        </w:rPr>
        <w:t xml:space="preserve"> previos</w:t>
      </w:r>
      <w:r w:rsidRPr="00CE06B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Pr="00CE06B3">
        <w:rPr>
          <w:rFonts w:ascii="Times New Roman" w:hAnsi="Times New Roman" w:cs="Times New Roman"/>
          <w:sz w:val="24"/>
          <w:szCs w:val="24"/>
        </w:rPr>
        <w:t>cara dorsal presenta negativos de la preparación de una plataforma de percusión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CE06B3">
        <w:rPr>
          <w:rFonts w:ascii="Times New Roman" w:hAnsi="Times New Roman" w:cs="Times New Roman"/>
          <w:sz w:val="24"/>
          <w:szCs w:val="24"/>
        </w:rPr>
        <w:t>presión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6B3">
        <w:rPr>
          <w:rFonts w:ascii="Times New Roman" w:hAnsi="Times New Roman" w:cs="Times New Roman"/>
          <w:sz w:val="24"/>
          <w:szCs w:val="24"/>
        </w:rPr>
        <w:t xml:space="preserve"> o el negativo de eliminación de una</w:t>
      </w:r>
      <w:r>
        <w:rPr>
          <w:rFonts w:ascii="Times New Roman" w:hAnsi="Times New Roman" w:cs="Times New Roman"/>
          <w:sz w:val="24"/>
          <w:szCs w:val="24"/>
        </w:rPr>
        <w:t xml:space="preserve"> anterior</w:t>
      </w:r>
      <w:r w:rsidRPr="00CE06B3">
        <w:rPr>
          <w:rFonts w:ascii="Times New Roman" w:hAnsi="Times New Roman" w:cs="Times New Roman"/>
          <w:sz w:val="24"/>
          <w:szCs w:val="24"/>
        </w:rPr>
        <w:t xml:space="preserve"> tableta de reavivado. </w:t>
      </w:r>
      <w:r>
        <w:rPr>
          <w:rFonts w:ascii="Times New Roman" w:hAnsi="Times New Roman" w:cs="Times New Roman"/>
          <w:sz w:val="24"/>
          <w:szCs w:val="24"/>
        </w:rPr>
        <w:t>Sus</w:t>
      </w:r>
      <w:r w:rsidRPr="00CE06B3">
        <w:rPr>
          <w:rFonts w:ascii="Times New Roman" w:hAnsi="Times New Roman" w:cs="Times New Roman"/>
          <w:sz w:val="24"/>
          <w:szCs w:val="24"/>
        </w:rPr>
        <w:t xml:space="preserve"> bordes son a menudo gruesos y su forma poligonal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(Inizan et al. 1999)</w:t>
      </w:r>
      <w:r w:rsidRPr="00CE06B3">
        <w:rPr>
          <w:rFonts w:ascii="Times New Roman" w:hAnsi="Times New Roman" w:cs="Times New Roman"/>
          <w:sz w:val="24"/>
          <w:szCs w:val="24"/>
        </w:rPr>
        <w:t>.</w:t>
      </w:r>
    </w:p>
    <w:p w14:paraId="1914FE99" w14:textId="77777777" w:rsidR="000A6478" w:rsidRDefault="000A6478" w:rsidP="009A7A3D">
      <w:pPr>
        <w:keepNext w:val="0"/>
        <w:keepLines w:val="0"/>
        <w:spacing w:line="480" w:lineRule="auto"/>
      </w:pPr>
    </w:p>
    <w:p w14:paraId="5577E329" w14:textId="77777777" w:rsidR="000A6478" w:rsidRPr="0091015D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es-AR" w:eastAsia="es-AR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s-AR" w:eastAsia="es-AR"/>
        </w:rPr>
        <w:t>Lascas s</w:t>
      </w:r>
      <w:r w:rsidRPr="0091015D">
        <w:rPr>
          <w:rFonts w:ascii="Times New Roman" w:hAnsi="Times New Roman" w:cs="Times New Roman"/>
          <w:b/>
          <w:color w:val="000000"/>
          <w:sz w:val="24"/>
          <w:szCs w:val="24"/>
          <w:lang w:val="es-AR" w:eastAsia="es-AR"/>
        </w:rPr>
        <w:t xml:space="preserve">egún características de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s-AR" w:eastAsia="es-AR"/>
        </w:rPr>
        <w:t>su</w:t>
      </w:r>
      <w:r w:rsidRPr="0091015D">
        <w:rPr>
          <w:rFonts w:ascii="Times New Roman" w:hAnsi="Times New Roman" w:cs="Times New Roman"/>
          <w:b/>
          <w:color w:val="000000"/>
          <w:sz w:val="24"/>
          <w:szCs w:val="24"/>
          <w:lang w:val="es-AR" w:eastAsia="es-AR"/>
        </w:rPr>
        <w:t xml:space="preserve"> cara dorsal: </w:t>
      </w:r>
    </w:p>
    <w:p w14:paraId="735282D8" w14:textId="77777777" w:rsidR="000A6478" w:rsidRPr="003D1297" w:rsidRDefault="000A6478" w:rsidP="00427E73">
      <w:pPr>
        <w:pStyle w:val="Prrafodelista"/>
        <w:keepNext w:val="0"/>
        <w:keepLines w:val="0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D1297">
        <w:rPr>
          <w:rFonts w:ascii="Times New Roman" w:hAnsi="Times New Roman" w:cs="Times New Roman"/>
          <w:sz w:val="24"/>
          <w:szCs w:val="24"/>
        </w:rPr>
        <w:t>De descortezamiento: lasca generada durante el primer paso de la secuencia de manufactura. Las piezas tienen una superficie dorsal casi totalmente cubierta con corteza (generalmente entre 75% y 100% de la cara)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(Mansur-Franchomme 1984)</w:t>
      </w:r>
      <w:r w:rsidRPr="003D1297">
        <w:rPr>
          <w:rFonts w:ascii="Times New Roman" w:hAnsi="Times New Roman" w:cs="Times New Roman"/>
          <w:sz w:val="24"/>
          <w:szCs w:val="24"/>
        </w:rPr>
        <w:t>.</w:t>
      </w:r>
    </w:p>
    <w:p w14:paraId="3F728856" w14:textId="77777777" w:rsidR="000A6478" w:rsidRPr="0036473A" w:rsidRDefault="000A6478" w:rsidP="00427E73">
      <w:pPr>
        <w:pStyle w:val="Prrafodelista"/>
        <w:keepNext w:val="0"/>
        <w:keepLines w:val="0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7E73">
        <w:rPr>
          <w:rFonts w:ascii="Times New Roman" w:hAnsi="Times New Roman" w:cs="Times New Roman"/>
          <w:sz w:val="24"/>
          <w:szCs w:val="24"/>
        </w:rPr>
        <w:t>A</w:t>
      </w:r>
      <w:r w:rsidRPr="0036473A">
        <w:rPr>
          <w:rFonts w:ascii="Times New Roman" w:hAnsi="Times New Roman" w:cs="Times New Roman"/>
          <w:sz w:val="24"/>
          <w:szCs w:val="24"/>
        </w:rPr>
        <w:t xml:space="preserve">ngular: sus aristas convergen irregularmente entre sí </w:t>
      </w:r>
      <w:r>
        <w:rPr>
          <w:rFonts w:ascii="Times New Roman" w:hAnsi="Times New Roman" w:cs="Times New Roman"/>
          <w:noProof/>
          <w:sz w:val="24"/>
          <w:szCs w:val="24"/>
        </w:rPr>
        <w:t>(Aschero 1975)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647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E52C6D" w14:textId="77777777" w:rsidR="000A6478" w:rsidRDefault="000A6478" w:rsidP="00427E73">
      <w:pPr>
        <w:pStyle w:val="Prrafodelista"/>
        <w:keepNext w:val="0"/>
        <w:keepLines w:val="0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7E73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36473A">
        <w:rPr>
          <w:rFonts w:ascii="Times New Roman" w:hAnsi="Times New Roman" w:cs="Times New Roman"/>
          <w:sz w:val="24"/>
          <w:szCs w:val="24"/>
        </w:rPr>
        <w:t xml:space="preserve">e arista: presentan una arista única o aristas paralelas o </w:t>
      </w:r>
      <w:proofErr w:type="spellStart"/>
      <w:r w:rsidRPr="0036473A">
        <w:rPr>
          <w:rFonts w:ascii="Times New Roman" w:hAnsi="Times New Roman" w:cs="Times New Roman"/>
          <w:sz w:val="24"/>
          <w:szCs w:val="24"/>
        </w:rPr>
        <w:t>subparalelas</w:t>
      </w:r>
      <w:proofErr w:type="spellEnd"/>
      <w:r w:rsidRPr="0036473A">
        <w:rPr>
          <w:rFonts w:ascii="Times New Roman" w:hAnsi="Times New Roman" w:cs="Times New Roman"/>
          <w:sz w:val="24"/>
          <w:szCs w:val="24"/>
        </w:rPr>
        <w:t xml:space="preserve"> dispuestas transversalmente al talón manteniendo cierto grado de paralelismo entre s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36473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noProof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noProof/>
          <w:sz w:val="24"/>
          <w:szCs w:val="24"/>
        </w:rPr>
        <w:t>Aschero</w:t>
      </w:r>
      <w:proofErr w:type="spellEnd"/>
      <w:r>
        <w:rPr>
          <w:rFonts w:ascii="Times New Roman" w:hAnsi="Times New Roman" w:cs="Times New Roman"/>
          <w:noProof/>
          <w:sz w:val="24"/>
          <w:szCs w:val="24"/>
        </w:rPr>
        <w:t xml:space="preserve"> 1975)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E61BA1" w14:textId="77777777" w:rsidR="000A6478" w:rsidRPr="0036473A" w:rsidRDefault="000A6478" w:rsidP="00427E73">
      <w:pPr>
        <w:pStyle w:val="Prrafodelista"/>
        <w:keepNext w:val="0"/>
        <w:keepLines w:val="0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7E73">
        <w:rPr>
          <w:rFonts w:ascii="Times New Roman" w:hAnsi="Times New Roman" w:cs="Times New Roman"/>
          <w:sz w:val="24"/>
          <w:szCs w:val="24"/>
        </w:rPr>
        <w:t>C</w:t>
      </w:r>
      <w:r w:rsidRPr="0036473A">
        <w:rPr>
          <w:rFonts w:ascii="Times New Roman" w:hAnsi="Times New Roman" w:cs="Times New Roman"/>
          <w:sz w:val="24"/>
          <w:szCs w:val="24"/>
        </w:rPr>
        <w:t>on dorso: lasca con borde abrupto opuesto a otro borde menor a 70º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(Aschero 1975)</w:t>
      </w:r>
      <w:r w:rsidRPr="00427E73">
        <w:rPr>
          <w:rFonts w:ascii="Times New Roman" w:hAnsi="Times New Roman" w:cs="Times New Roman"/>
          <w:sz w:val="24"/>
          <w:szCs w:val="24"/>
        </w:rPr>
        <w:t>.</w:t>
      </w:r>
    </w:p>
    <w:p w14:paraId="1FBEB4A6" w14:textId="77777777" w:rsidR="000A6478" w:rsidRPr="0036473A" w:rsidRDefault="000A6478" w:rsidP="00427E73">
      <w:pPr>
        <w:pStyle w:val="Prrafodelista"/>
        <w:keepNext w:val="0"/>
        <w:keepLines w:val="0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7E73">
        <w:rPr>
          <w:rFonts w:ascii="Times New Roman" w:hAnsi="Times New Roman" w:cs="Times New Roman"/>
          <w:sz w:val="24"/>
          <w:szCs w:val="24"/>
        </w:rPr>
        <w:t>P</w:t>
      </w:r>
      <w:r w:rsidRPr="0036473A">
        <w:rPr>
          <w:rFonts w:ascii="Times New Roman" w:hAnsi="Times New Roman" w:cs="Times New Roman"/>
          <w:sz w:val="24"/>
          <w:szCs w:val="24"/>
        </w:rPr>
        <w:t>lana (</w:t>
      </w:r>
      <w:r w:rsidRPr="00427E73">
        <w:rPr>
          <w:rFonts w:ascii="Times New Roman" w:hAnsi="Times New Roman" w:cs="Times New Roman"/>
          <w:sz w:val="24"/>
          <w:szCs w:val="24"/>
        </w:rPr>
        <w:t xml:space="preserve">llana según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27E73">
        <w:rPr>
          <w:rFonts w:ascii="Times New Roman" w:hAnsi="Times New Roman" w:cs="Times New Roman"/>
          <w:sz w:val="24"/>
          <w:szCs w:val="24"/>
        </w:rPr>
        <w:t xml:space="preserve">rquera 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27E73">
        <w:rPr>
          <w:rFonts w:ascii="Times New Roman" w:hAnsi="Times New Roman" w:cs="Times New Roman"/>
          <w:sz w:val="24"/>
          <w:szCs w:val="24"/>
        </w:rPr>
        <w:t xml:space="preserve">iana 1986): </w:t>
      </w:r>
      <w:r w:rsidRPr="0036473A">
        <w:rPr>
          <w:rFonts w:ascii="Times New Roman" w:hAnsi="Times New Roman" w:cs="Times New Roman"/>
          <w:sz w:val="24"/>
          <w:szCs w:val="24"/>
        </w:rPr>
        <w:t>su cara dorsal está formada en más de una 80% de su superficie por un único negativo de lascado anterior.</w:t>
      </w:r>
    </w:p>
    <w:p w14:paraId="722510E1" w14:textId="77777777" w:rsidR="000A6478" w:rsidRDefault="000A6478" w:rsidP="009A7A3D">
      <w:pPr>
        <w:pStyle w:val="Ttulo1"/>
        <w:keepNext w:val="0"/>
        <w:keepLines w:val="0"/>
        <w:spacing w:line="480" w:lineRule="auto"/>
      </w:pPr>
    </w:p>
    <w:p w14:paraId="13057A02" w14:textId="77777777" w:rsidR="000A6478" w:rsidRPr="00217B39" w:rsidRDefault="000A6478" w:rsidP="009A7A3D">
      <w:pPr>
        <w:pStyle w:val="Ttulo1"/>
        <w:keepNext w:val="0"/>
        <w:keepLines w:val="0"/>
        <w:spacing w:line="480" w:lineRule="auto"/>
      </w:pPr>
      <w:r w:rsidRPr="00217B39">
        <w:t xml:space="preserve">Longitud máxima de la pieza </w:t>
      </w:r>
      <w:r>
        <w:rPr>
          <w:noProof/>
        </w:rPr>
        <w:t>(modificado de Orquera y Piana 1986)</w:t>
      </w:r>
    </w:p>
    <w:p w14:paraId="5426525A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Chico:  2 – 3,9 cm</w:t>
      </w:r>
    </w:p>
    <w:p w14:paraId="5D32264D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Mediano: 4 – 5,9 cm</w:t>
      </w:r>
    </w:p>
    <w:p w14:paraId="67F44F7B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Grande: 6 – 7,9 cm</w:t>
      </w:r>
    </w:p>
    <w:p w14:paraId="229A1706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Muy Grande: 8 – 9,9 cm</w:t>
      </w:r>
    </w:p>
    <w:p w14:paraId="0C7205E4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Grandísimo: 10 – 11,9 cm</w:t>
      </w:r>
    </w:p>
    <w:p w14:paraId="0D58C4F6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Excepcional: mayor a 12 cm</w:t>
      </w:r>
    </w:p>
    <w:p w14:paraId="2188CFA3" w14:textId="77777777" w:rsidR="000A6478" w:rsidRPr="00217B39" w:rsidRDefault="000A6478" w:rsidP="009A7A3D">
      <w:pPr>
        <w:pStyle w:val="Prrafodelista"/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8925185" w14:textId="77777777" w:rsidR="000A6478" w:rsidRPr="00217B39" w:rsidRDefault="000A6478" w:rsidP="009A7A3D">
      <w:pPr>
        <w:pStyle w:val="Ttulo1"/>
        <w:keepNext w:val="0"/>
        <w:keepLines w:val="0"/>
        <w:spacing w:line="480" w:lineRule="auto"/>
      </w:pPr>
      <w:r w:rsidRPr="00217B39">
        <w:t xml:space="preserve">Módulo ancho/espesor </w:t>
      </w:r>
      <w:r>
        <w:rPr>
          <w:noProof/>
        </w:rPr>
        <w:t>(Orquera y Piana 1986)</w:t>
      </w:r>
    </w:p>
    <w:p w14:paraId="404E22B9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Delgado: menor o igual a 2,7</w:t>
      </w:r>
    </w:p>
    <w:p w14:paraId="1096F105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Medio: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</w:rPr>
        <w:t>mayor a 2,7 menor o igual 5</w:t>
      </w:r>
    </w:p>
    <w:p w14:paraId="09A9102E" w14:textId="77777777" w:rsidR="000A6478" w:rsidRDefault="000A6478" w:rsidP="009A7A3D">
      <w:pPr>
        <w:pStyle w:val="Prrafodelista"/>
        <w:keepNext w:val="0"/>
        <w:keepLines w:val="0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Grueso: mayor a 5</w:t>
      </w:r>
    </w:p>
    <w:p w14:paraId="35DE7380" w14:textId="77777777" w:rsidR="000A6478" w:rsidRPr="00217B39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3201D795" w14:textId="77777777" w:rsidR="000A6478" w:rsidRPr="00217B39" w:rsidRDefault="000A6478" w:rsidP="009A7A3D">
      <w:pPr>
        <w:pStyle w:val="Ttulo1"/>
        <w:keepNext w:val="0"/>
        <w:keepLines w:val="0"/>
        <w:spacing w:line="480" w:lineRule="auto"/>
      </w:pPr>
      <w:r w:rsidRPr="00217B39">
        <w:t xml:space="preserve">Serie técnica </w:t>
      </w:r>
    </w:p>
    <w:p w14:paraId="0BB8400E" w14:textId="77777777" w:rsidR="000A6478" w:rsidRPr="00217B39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r w:rsidRPr="00217B39">
        <w:rPr>
          <w:rFonts w:ascii="Times New Roman" w:hAnsi="Times New Roman" w:cs="Times New Roman"/>
          <w:sz w:val="24"/>
          <w:szCs w:val="24"/>
          <w:lang w:val="es-AR"/>
        </w:rPr>
        <w:t xml:space="preserve">Está definida en base a </w:t>
      </w:r>
      <w:r>
        <w:rPr>
          <w:rFonts w:ascii="Times New Roman" w:hAnsi="Times New Roman" w:cs="Times New Roman"/>
          <w:sz w:val="24"/>
          <w:szCs w:val="24"/>
          <w:lang w:val="es-AR"/>
        </w:rPr>
        <w:t>dos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 xml:space="preserve"> caracteres morfológicos</w:t>
      </w:r>
      <w:r>
        <w:rPr>
          <w:rFonts w:ascii="Times New Roman" w:hAnsi="Times New Roman" w:cs="Times New Roman"/>
          <w:sz w:val="24"/>
          <w:szCs w:val="24"/>
          <w:lang w:val="es-AR"/>
        </w:rPr>
        <w:t>: la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 xml:space="preserve"> anchura de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l</w:t>
      </w:r>
      <w:r>
        <w:rPr>
          <w:rFonts w:ascii="Times New Roman" w:hAnsi="Times New Roman" w:cs="Times New Roman"/>
          <w:sz w:val="24"/>
          <w:szCs w:val="24"/>
          <w:lang w:val="es-AR"/>
        </w:rPr>
        <w:t>os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 xml:space="preserve"> lascado</w:t>
      </w:r>
      <w:r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 xml:space="preserve"> sobre el borde y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la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extensión de los lascados sobre las caras.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ab/>
      </w:r>
    </w:p>
    <w:p w14:paraId="367E1328" w14:textId="77777777" w:rsidR="000A6478" w:rsidRPr="00217B39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1DB1B69B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val="es-AR"/>
        </w:rPr>
      </w:pPr>
      <w:r w:rsidRPr="00217B39">
        <w:rPr>
          <w:rFonts w:ascii="Times New Roman" w:hAnsi="Times New Roman" w:cs="Times New Roman"/>
          <w:sz w:val="24"/>
          <w:szCs w:val="24"/>
          <w:u w:val="single"/>
          <w:lang w:val="es-AR"/>
        </w:rPr>
        <w:lastRenderedPageBreak/>
        <w:t>Anchura de</w:t>
      </w:r>
      <w:r>
        <w:rPr>
          <w:rFonts w:ascii="Times New Roman" w:hAnsi="Times New Roman" w:cs="Times New Roman"/>
          <w:sz w:val="24"/>
          <w:szCs w:val="24"/>
          <w:u w:val="single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u w:val="single"/>
          <w:lang w:val="es-AR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  <w:lang w:val="es-AR"/>
        </w:rPr>
        <w:t>os</w:t>
      </w:r>
      <w:r w:rsidRPr="00217B39">
        <w:rPr>
          <w:rFonts w:ascii="Times New Roman" w:hAnsi="Times New Roman" w:cs="Times New Roman"/>
          <w:sz w:val="24"/>
          <w:szCs w:val="24"/>
          <w:u w:val="single"/>
          <w:lang w:val="es-AR"/>
        </w:rPr>
        <w:t xml:space="preserve"> lascado</w:t>
      </w:r>
      <w:r>
        <w:rPr>
          <w:rFonts w:ascii="Times New Roman" w:hAnsi="Times New Roman" w:cs="Times New Roman"/>
          <w:sz w:val="24"/>
          <w:szCs w:val="24"/>
          <w:u w:val="single"/>
          <w:lang w:val="es-AR"/>
        </w:rPr>
        <w:t>s</w:t>
      </w:r>
      <w:r w:rsidRPr="00217B39">
        <w:rPr>
          <w:rFonts w:ascii="Times New Roman" w:hAnsi="Times New Roman" w:cs="Times New Roman"/>
          <w:sz w:val="24"/>
          <w:szCs w:val="24"/>
          <w:u w:val="single"/>
          <w:lang w:val="es-AR"/>
        </w:rPr>
        <w:t xml:space="preserve"> sobre el borde </w:t>
      </w:r>
      <w:r w:rsidRPr="00521ECC">
        <w:rPr>
          <w:rFonts w:ascii="Times New Roman" w:hAnsi="Times New Roman" w:cs="Times New Roman"/>
          <w:noProof/>
          <w:sz w:val="24"/>
          <w:szCs w:val="24"/>
        </w:rPr>
        <w:t>(Aschero 1975)</w:t>
      </w:r>
    </w:p>
    <w:p w14:paraId="45B72051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217B39">
        <w:rPr>
          <w:rFonts w:ascii="Times New Roman" w:hAnsi="Times New Roman" w:cs="Times New Roman"/>
          <w:sz w:val="24"/>
          <w:szCs w:val="24"/>
          <w:lang w:val="es-AR"/>
        </w:rPr>
        <w:t>Microretoque</w:t>
      </w:r>
      <w:proofErr w:type="spellEnd"/>
      <w:r w:rsidRPr="00217B39">
        <w:rPr>
          <w:rFonts w:ascii="Times New Roman" w:hAnsi="Times New Roman" w:cs="Times New Roman"/>
          <w:sz w:val="24"/>
          <w:szCs w:val="24"/>
          <w:lang w:val="es-AR"/>
        </w:rPr>
        <w:t>: 0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-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2 mm</w:t>
      </w:r>
    </w:p>
    <w:p w14:paraId="1D5F8C42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r w:rsidRPr="00217B39">
        <w:rPr>
          <w:rFonts w:ascii="Times New Roman" w:hAnsi="Times New Roman" w:cs="Times New Roman"/>
          <w:sz w:val="24"/>
          <w:szCs w:val="24"/>
          <w:lang w:val="es-AR"/>
        </w:rPr>
        <w:t>Retoque: 2,1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-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Pr="00217B39">
        <w:rPr>
          <w:rFonts w:ascii="Times New Roman" w:hAnsi="Times New Roman" w:cs="Times New Roman"/>
          <w:sz w:val="24"/>
          <w:szCs w:val="24"/>
          <w:lang w:val="es-AR"/>
        </w:rPr>
        <w:t>7 mm</w:t>
      </w:r>
    </w:p>
    <w:p w14:paraId="759488BB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r w:rsidRPr="00217B39">
        <w:rPr>
          <w:rFonts w:ascii="Times New Roman" w:hAnsi="Times New Roman" w:cs="Times New Roman"/>
          <w:sz w:val="24"/>
          <w:szCs w:val="24"/>
          <w:lang w:val="es-AR"/>
        </w:rPr>
        <w:t>Talla y retalla: mayor a 7 mm</w:t>
      </w:r>
    </w:p>
    <w:p w14:paraId="5E4E5615" w14:textId="77777777" w:rsidR="000A6478" w:rsidRPr="00217B39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7E49500C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7B39">
        <w:rPr>
          <w:rFonts w:ascii="Times New Roman" w:hAnsi="Times New Roman" w:cs="Times New Roman"/>
          <w:sz w:val="24"/>
          <w:szCs w:val="24"/>
          <w:u w:val="single"/>
        </w:rPr>
        <w:t>Extensión de los lascados sobre las cara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217B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(modificado de Aschero 1975; Mansur-Franchomme 1984)</w:t>
      </w:r>
    </w:p>
    <w:p w14:paraId="5D90D631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Lascado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17B39">
        <w:rPr>
          <w:rFonts w:ascii="Times New Roman" w:hAnsi="Times New Roman" w:cs="Times New Roman"/>
          <w:sz w:val="24"/>
          <w:szCs w:val="24"/>
        </w:rPr>
        <w:t xml:space="preserve"> extendido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17B3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217B39">
        <w:rPr>
          <w:rFonts w:ascii="Times New Roman" w:hAnsi="Times New Roman" w:cs="Times New Roman"/>
          <w:sz w:val="24"/>
          <w:szCs w:val="24"/>
        </w:rPr>
        <w:t>ubre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217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 menos el </w:t>
      </w:r>
      <w:r w:rsidRPr="00217B39">
        <w:rPr>
          <w:rFonts w:ascii="Times New Roman" w:hAnsi="Times New Roman" w:cs="Times New Roman"/>
          <w:sz w:val="24"/>
          <w:szCs w:val="24"/>
        </w:rPr>
        <w:t>70 % de la cara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75FD21" w14:textId="77777777" w:rsidR="000A6478" w:rsidRDefault="000A6478" w:rsidP="009A7A3D">
      <w:pPr>
        <w:pStyle w:val="Prrafodelista"/>
        <w:keepNext w:val="0"/>
        <w:keepLines w:val="0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Lascado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17B39">
        <w:rPr>
          <w:rFonts w:ascii="Times New Roman" w:hAnsi="Times New Roman" w:cs="Times New Roman"/>
          <w:sz w:val="24"/>
          <w:szCs w:val="24"/>
        </w:rPr>
        <w:t xml:space="preserve"> parcialmente extendido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17B39">
        <w:rPr>
          <w:rFonts w:ascii="Times New Roman" w:hAnsi="Times New Roman" w:cs="Times New Roman"/>
          <w:sz w:val="24"/>
          <w:szCs w:val="24"/>
        </w:rPr>
        <w:t xml:space="preserve"> o “parciales”: </w:t>
      </w:r>
      <w:r>
        <w:rPr>
          <w:rFonts w:ascii="Times New Roman" w:hAnsi="Times New Roman" w:cs="Times New Roman"/>
          <w:sz w:val="24"/>
          <w:szCs w:val="24"/>
        </w:rPr>
        <w:t>cubren m</w:t>
      </w:r>
      <w:r w:rsidRPr="00217B39">
        <w:rPr>
          <w:rFonts w:ascii="Times New Roman" w:hAnsi="Times New Roman" w:cs="Times New Roman"/>
          <w:sz w:val="24"/>
          <w:szCs w:val="24"/>
        </w:rPr>
        <w:t xml:space="preserve">ás del 50% 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217B39">
        <w:rPr>
          <w:rFonts w:ascii="Times New Roman" w:hAnsi="Times New Roman" w:cs="Times New Roman"/>
          <w:sz w:val="24"/>
          <w:szCs w:val="24"/>
        </w:rPr>
        <w:t>menos del 70%</w:t>
      </w:r>
      <w:r>
        <w:rPr>
          <w:rFonts w:ascii="Times New Roman" w:hAnsi="Times New Roman" w:cs="Times New Roman"/>
          <w:sz w:val="24"/>
          <w:szCs w:val="24"/>
        </w:rPr>
        <w:t xml:space="preserve"> de la cara.</w:t>
      </w:r>
    </w:p>
    <w:p w14:paraId="017CA0FA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Lascados medios (</w:t>
      </w:r>
      <w:proofErr w:type="spellStart"/>
      <w:r>
        <w:rPr>
          <w:rFonts w:ascii="Times New Roman" w:hAnsi="Times New Roman" w:cs="Times New Roman"/>
          <w:sz w:val="24"/>
          <w:szCs w:val="24"/>
        </w:rPr>
        <w:t>longue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6543">
        <w:rPr>
          <w:rFonts w:ascii="Times New Roman" w:hAnsi="Times New Roman" w:cs="Times New Roman"/>
          <w:i/>
          <w:sz w:val="24"/>
          <w:szCs w:val="24"/>
        </w:rPr>
        <w:t>sensu</w:t>
      </w:r>
      <w:r>
        <w:rPr>
          <w:rFonts w:ascii="Times New Roman" w:hAnsi="Times New Roman" w:cs="Times New Roman"/>
          <w:sz w:val="24"/>
          <w:szCs w:val="24"/>
        </w:rPr>
        <w:t xml:space="preserve"> Mansur-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Franchomme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1984): cubren más del 25% 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menos del el 50% de la cara.</w:t>
      </w:r>
    </w:p>
    <w:p w14:paraId="25383CF6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 xml:space="preserve">Lascados marginales: cubren </w:t>
      </w:r>
      <w:r>
        <w:rPr>
          <w:rFonts w:ascii="Times New Roman" w:hAnsi="Times New Roman" w:cs="Times New Roman"/>
          <w:sz w:val="24"/>
          <w:szCs w:val="24"/>
        </w:rPr>
        <w:t>hasta el</w:t>
      </w:r>
      <w:r w:rsidRPr="00217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17B39">
        <w:rPr>
          <w:rFonts w:ascii="Times New Roman" w:hAnsi="Times New Roman" w:cs="Times New Roman"/>
          <w:sz w:val="24"/>
          <w:szCs w:val="24"/>
        </w:rPr>
        <w:t>5% de la cara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876E4D" w14:textId="77777777" w:rsidR="000A6478" w:rsidRPr="00217B39" w:rsidRDefault="000A6478" w:rsidP="009A7A3D">
      <w:pPr>
        <w:keepNext w:val="0"/>
        <w:keepLines w:val="0"/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5B9F6982" w14:textId="77777777" w:rsidR="000A6478" w:rsidRPr="00217B39" w:rsidRDefault="000A6478" w:rsidP="009A7A3D">
      <w:pPr>
        <w:pStyle w:val="Ttulo1"/>
        <w:keepNext w:val="0"/>
        <w:keepLines w:val="0"/>
        <w:spacing w:line="480" w:lineRule="auto"/>
      </w:pPr>
      <w:r>
        <w:t>Procedencia de las materias primas</w:t>
      </w:r>
      <w:r w:rsidRPr="00217B39">
        <w:t> </w:t>
      </w:r>
      <w:r>
        <w:rPr>
          <w:noProof/>
        </w:rPr>
        <w:t>(</w:t>
      </w:r>
      <w:proofErr w:type="spellStart"/>
      <w:r>
        <w:rPr>
          <w:noProof/>
        </w:rPr>
        <w:t>Civalero</w:t>
      </w:r>
      <w:proofErr w:type="spellEnd"/>
      <w:r>
        <w:rPr>
          <w:noProof/>
        </w:rPr>
        <w:t xml:space="preserve"> y Franco 2003)</w:t>
      </w:r>
    </w:p>
    <w:p w14:paraId="0D9F8742" w14:textId="77777777" w:rsidR="000A6478" w:rsidRDefault="000A6478" w:rsidP="00987DE5">
      <w:pPr>
        <w:pStyle w:val="Prrafodelista"/>
        <w:keepNext w:val="0"/>
        <w:keepLines w:val="0"/>
        <w:numPr>
          <w:ilvl w:val="0"/>
          <w:numId w:val="1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A7A3D">
        <w:rPr>
          <w:rFonts w:ascii="Times New Roman" w:hAnsi="Times New Roman" w:cs="Times New Roman"/>
          <w:sz w:val="24"/>
          <w:szCs w:val="24"/>
        </w:rPr>
        <w:t xml:space="preserve">Locales: </w:t>
      </w:r>
      <w:r>
        <w:rPr>
          <w:rFonts w:ascii="Times New Roman" w:hAnsi="Times New Roman" w:cs="Times New Roman"/>
          <w:sz w:val="24"/>
          <w:szCs w:val="24"/>
        </w:rPr>
        <w:t>Se encuentran a menos de 40 km de los sitios</w:t>
      </w:r>
      <w:r w:rsidRPr="009A7A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 dividen en:</w:t>
      </w:r>
    </w:p>
    <w:p w14:paraId="3C149916" w14:textId="77777777" w:rsidR="000A6478" w:rsidRPr="00217B39" w:rsidRDefault="000A6478" w:rsidP="00987DE5">
      <w:pPr>
        <w:pStyle w:val="Prrafodelista"/>
        <w:keepNext w:val="0"/>
        <w:keepLines w:val="0"/>
        <w:numPr>
          <w:ilvl w:val="1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Inmediatamente disponibles: se encuentran a menos de 5 km de distancia</w:t>
      </w:r>
    </w:p>
    <w:p w14:paraId="7D41BDFA" w14:textId="77777777" w:rsidR="000A6478" w:rsidRPr="00217B39" w:rsidRDefault="000A6478" w:rsidP="00987DE5">
      <w:pPr>
        <w:pStyle w:val="Prrafodelista"/>
        <w:keepNext w:val="0"/>
        <w:keepLines w:val="0"/>
        <w:numPr>
          <w:ilvl w:val="1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Locales cercanas: Entre 5 y 10 km de distancia</w:t>
      </w:r>
    </w:p>
    <w:p w14:paraId="5E22099E" w14:textId="77777777" w:rsidR="000A6478" w:rsidRPr="00217B39" w:rsidRDefault="000A6478" w:rsidP="00987DE5">
      <w:pPr>
        <w:pStyle w:val="Prrafodelista"/>
        <w:keepNext w:val="0"/>
        <w:keepLines w:val="0"/>
        <w:numPr>
          <w:ilvl w:val="1"/>
          <w:numId w:val="1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>Locales lejanas: Entre 10 y 40 km de distancia</w:t>
      </w:r>
    </w:p>
    <w:p w14:paraId="5AD7DE85" w14:textId="77777777" w:rsidR="000A6478" w:rsidRPr="00217B39" w:rsidRDefault="000A6478" w:rsidP="009A7A3D">
      <w:pPr>
        <w:pStyle w:val="Prrafodelista"/>
        <w:keepNext w:val="0"/>
        <w:keepLines w:val="0"/>
        <w:numPr>
          <w:ilvl w:val="0"/>
          <w:numId w:val="1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17B39">
        <w:rPr>
          <w:rFonts w:ascii="Times New Roman" w:hAnsi="Times New Roman" w:cs="Times New Roman"/>
          <w:sz w:val="24"/>
          <w:szCs w:val="24"/>
        </w:rPr>
        <w:t xml:space="preserve">No locales: se encuentran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17B39">
        <w:rPr>
          <w:rFonts w:ascii="Times New Roman" w:hAnsi="Times New Roman" w:cs="Times New Roman"/>
          <w:sz w:val="24"/>
          <w:szCs w:val="24"/>
        </w:rPr>
        <w:t>más de 40 Km</w:t>
      </w:r>
      <w:r>
        <w:rPr>
          <w:rFonts w:ascii="Times New Roman" w:hAnsi="Times New Roman" w:cs="Times New Roman"/>
          <w:sz w:val="24"/>
          <w:szCs w:val="24"/>
        </w:rPr>
        <w:t xml:space="preserve"> de los sitios</w:t>
      </w:r>
      <w:r w:rsidRPr="00217B39">
        <w:rPr>
          <w:rFonts w:ascii="Times New Roman" w:hAnsi="Times New Roman" w:cs="Times New Roman"/>
          <w:sz w:val="24"/>
          <w:szCs w:val="24"/>
        </w:rPr>
        <w:tab/>
      </w:r>
    </w:p>
    <w:p w14:paraId="26807247" w14:textId="77777777" w:rsidR="000A6478" w:rsidRDefault="000A6478" w:rsidP="00D4573C">
      <w:pPr>
        <w:pStyle w:val="Prrafodelista"/>
        <w:keepNext w:val="0"/>
        <w:keepLines w:val="0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8ACDF18" w14:textId="77777777" w:rsidR="000A6478" w:rsidRPr="00D4573C" w:rsidRDefault="000A6478" w:rsidP="00D4573C">
      <w:pPr>
        <w:pStyle w:val="Ttulo1"/>
        <w:keepNext w:val="0"/>
        <w:keepLines w:val="0"/>
        <w:spacing w:line="480" w:lineRule="auto"/>
      </w:pPr>
      <w:r w:rsidRPr="00D4573C">
        <w:t>Referencias citadas</w:t>
      </w:r>
    </w:p>
    <w:p w14:paraId="0AF75245" w14:textId="77777777" w:rsidR="000A6478" w:rsidRPr="00D4573C" w:rsidRDefault="000A6478" w:rsidP="00A4522A">
      <w:pPr>
        <w:pStyle w:val="EndNoteBibliography"/>
        <w:rPr>
          <w:lang w:val="es-AR"/>
        </w:rPr>
      </w:pPr>
    </w:p>
    <w:p w14:paraId="4D1BDD88" w14:textId="77777777" w:rsidR="000A6478" w:rsidRPr="003B098C" w:rsidRDefault="000A6478" w:rsidP="003B098C">
      <w:pPr>
        <w:pStyle w:val="EndNoteBibliography"/>
        <w:rPr>
          <w:lang w:val="es-AR"/>
        </w:rPr>
      </w:pPr>
      <w:bookmarkStart w:id="0" w:name="_ENREF_1"/>
      <w:r w:rsidRPr="003B098C">
        <w:rPr>
          <w:lang w:val="es-AR"/>
        </w:rPr>
        <w:t>Aschero, Carlos</w:t>
      </w:r>
    </w:p>
    <w:p w14:paraId="410E9AA6" w14:textId="77777777" w:rsidR="000A6478" w:rsidRPr="003B098C" w:rsidRDefault="000A6478" w:rsidP="003B098C">
      <w:pPr>
        <w:pStyle w:val="EndNoteBibliography"/>
        <w:ind w:left="720" w:hanging="720"/>
        <w:rPr>
          <w:lang w:val="es-AR"/>
        </w:rPr>
      </w:pPr>
      <w:r w:rsidRPr="003B098C">
        <w:rPr>
          <w:lang w:val="es-AR"/>
        </w:rPr>
        <w:tab/>
        <w:t>1975</w:t>
      </w:r>
      <w:r w:rsidRPr="003B098C">
        <w:rPr>
          <w:lang w:val="es-AR"/>
        </w:rPr>
        <w:tab/>
        <w:t>Ensayo para una clasificación morfológica de artefactos líticos aplicada a estudios tipológicos comparativos</w:t>
      </w:r>
      <w:r w:rsidRPr="003B098C">
        <w:rPr>
          <w:i/>
          <w:lang w:val="es-AR"/>
        </w:rPr>
        <w:t>.</w:t>
      </w:r>
      <w:r w:rsidRPr="003B098C">
        <w:rPr>
          <w:lang w:val="es-AR"/>
        </w:rPr>
        <w:t xml:space="preserve"> In </w:t>
      </w:r>
      <w:r w:rsidRPr="003B098C">
        <w:rPr>
          <w:i/>
          <w:lang w:val="es-AR"/>
        </w:rPr>
        <w:t>Informe al CONICET</w:t>
      </w:r>
      <w:r w:rsidRPr="003B098C">
        <w:rPr>
          <w:lang w:val="es-AR"/>
        </w:rPr>
        <w:t>. Disponible en la Facultad de Filosofia y Letras, UBA, Buenos Aires.</w:t>
      </w:r>
    </w:p>
    <w:bookmarkEnd w:id="0"/>
    <w:p w14:paraId="684FAFE3" w14:textId="77777777" w:rsidR="000A6478" w:rsidRPr="003B098C" w:rsidRDefault="000A6478" w:rsidP="003B098C">
      <w:pPr>
        <w:pStyle w:val="EndNoteBibliography"/>
        <w:rPr>
          <w:lang w:val="es-AR"/>
        </w:rPr>
      </w:pPr>
    </w:p>
    <w:p w14:paraId="541B92A5" w14:textId="77777777" w:rsidR="000A6478" w:rsidRPr="003B098C" w:rsidRDefault="000A6478" w:rsidP="003B098C">
      <w:pPr>
        <w:pStyle w:val="EndNoteBibliography"/>
        <w:rPr>
          <w:lang w:val="es-AR"/>
        </w:rPr>
      </w:pPr>
      <w:bookmarkStart w:id="1" w:name="_ENREF_2"/>
      <w:r w:rsidRPr="003B098C">
        <w:rPr>
          <w:lang w:val="es-AR"/>
        </w:rPr>
        <w:tab/>
        <w:t>1983</w:t>
      </w:r>
      <w:r w:rsidRPr="003B098C">
        <w:rPr>
          <w:lang w:val="es-AR"/>
        </w:rPr>
        <w:tab/>
        <w:t xml:space="preserve">Ensayo para una clasificación morfológica de artefactos líticos aplicada a estudios tipológicos comparativos. </w:t>
      </w:r>
      <w:r w:rsidRPr="003B098C">
        <w:rPr>
          <w:i/>
          <w:lang w:val="es-AR"/>
        </w:rPr>
        <w:t>Apéndices A - C. Revisión. Cátedra de Ergología y Tecnología (FFyL-UBA)</w:t>
      </w:r>
      <w:r w:rsidRPr="003B098C">
        <w:rPr>
          <w:lang w:val="es-AR"/>
        </w:rPr>
        <w:t xml:space="preserve"> MS.</w:t>
      </w:r>
    </w:p>
    <w:bookmarkEnd w:id="1"/>
    <w:p w14:paraId="40D5B575" w14:textId="77777777" w:rsidR="000A6478" w:rsidRPr="003B098C" w:rsidRDefault="000A6478" w:rsidP="003B098C">
      <w:pPr>
        <w:pStyle w:val="EndNoteBibliography"/>
        <w:rPr>
          <w:lang w:val="es-AR"/>
        </w:rPr>
      </w:pPr>
    </w:p>
    <w:p w14:paraId="619F2A76" w14:textId="77777777" w:rsidR="000A6478" w:rsidRPr="003B098C" w:rsidRDefault="000A6478" w:rsidP="003B098C">
      <w:pPr>
        <w:pStyle w:val="EndNoteBibliography"/>
        <w:rPr>
          <w:lang w:val="es-AR"/>
        </w:rPr>
      </w:pPr>
      <w:bookmarkStart w:id="2" w:name="_ENREF_3"/>
      <w:r w:rsidRPr="003B098C">
        <w:rPr>
          <w:lang w:val="es-AR"/>
        </w:rPr>
        <w:t>Cardich, Augusto y Rafael S. Paunero</w:t>
      </w:r>
    </w:p>
    <w:p w14:paraId="322CCC5B" w14:textId="77777777" w:rsidR="000A6478" w:rsidRPr="003B098C" w:rsidRDefault="000A6478" w:rsidP="003B098C">
      <w:pPr>
        <w:pStyle w:val="EndNoteBibliography"/>
        <w:ind w:left="720" w:hanging="720"/>
        <w:rPr>
          <w:lang w:val="es-AR"/>
        </w:rPr>
      </w:pPr>
      <w:r w:rsidRPr="003B098C">
        <w:rPr>
          <w:lang w:val="es-AR"/>
        </w:rPr>
        <w:tab/>
        <w:t>1991-92</w:t>
      </w:r>
      <w:r w:rsidRPr="003B098C">
        <w:rPr>
          <w:lang w:val="es-AR"/>
        </w:rPr>
        <w:tab/>
        <w:t xml:space="preserve">Arqueología de la Cueva 2 de Los Toldos (Santa Cruz, Argentina). </w:t>
      </w:r>
      <w:r w:rsidRPr="003B098C">
        <w:rPr>
          <w:i/>
          <w:lang w:val="es-AR"/>
        </w:rPr>
        <w:t>Anales de Arqueología y Etnología</w:t>
      </w:r>
      <w:r w:rsidRPr="003B098C">
        <w:rPr>
          <w:lang w:val="es-AR"/>
        </w:rPr>
        <w:t xml:space="preserve"> Tomo 46/47:49-97.</w:t>
      </w:r>
    </w:p>
    <w:bookmarkEnd w:id="2"/>
    <w:p w14:paraId="7BA89094" w14:textId="77777777" w:rsidR="000A6478" w:rsidRPr="003B098C" w:rsidRDefault="000A6478" w:rsidP="003B098C">
      <w:pPr>
        <w:pStyle w:val="EndNoteBibliography"/>
        <w:rPr>
          <w:lang w:val="es-AR"/>
        </w:rPr>
      </w:pPr>
    </w:p>
    <w:p w14:paraId="0CBF6F96" w14:textId="77777777" w:rsidR="000A6478" w:rsidRPr="003B098C" w:rsidRDefault="000A6478" w:rsidP="003B098C">
      <w:pPr>
        <w:pStyle w:val="EndNoteBibliography"/>
        <w:rPr>
          <w:lang w:val="es-AR"/>
        </w:rPr>
      </w:pPr>
      <w:bookmarkStart w:id="3" w:name="_ENREF_4"/>
      <w:r w:rsidRPr="003B098C">
        <w:rPr>
          <w:lang w:val="es-AR"/>
        </w:rPr>
        <w:t>Civalero, María T. y Nora V. Franco</w:t>
      </w:r>
    </w:p>
    <w:p w14:paraId="27287DAC" w14:textId="77777777" w:rsidR="000A6478" w:rsidRPr="003B098C" w:rsidRDefault="000A6478" w:rsidP="003B098C">
      <w:pPr>
        <w:pStyle w:val="EndNoteBibliography"/>
        <w:ind w:left="720" w:hanging="720"/>
      </w:pPr>
      <w:r w:rsidRPr="003B098C">
        <w:rPr>
          <w:lang w:val="es-AR"/>
        </w:rPr>
        <w:tab/>
      </w:r>
      <w:r w:rsidRPr="003B098C">
        <w:t>2003</w:t>
      </w:r>
      <w:r w:rsidRPr="003B098C">
        <w:tab/>
        <w:t xml:space="preserve">Early human occupations in Western Santa Cruz Province, Southernmost South America. </w:t>
      </w:r>
      <w:r w:rsidRPr="003B098C">
        <w:rPr>
          <w:i/>
        </w:rPr>
        <w:t>Quaternary International</w:t>
      </w:r>
      <w:r w:rsidRPr="003B098C">
        <w:t xml:space="preserve"> 109-110:77-86.</w:t>
      </w:r>
    </w:p>
    <w:bookmarkEnd w:id="3"/>
    <w:p w14:paraId="576A0174" w14:textId="77777777" w:rsidR="000A6478" w:rsidRPr="003B098C" w:rsidRDefault="000A6478" w:rsidP="003B098C">
      <w:pPr>
        <w:pStyle w:val="EndNoteBibliography"/>
      </w:pPr>
    </w:p>
    <w:p w14:paraId="18C6B468" w14:textId="77777777" w:rsidR="000A6478" w:rsidRPr="003B098C" w:rsidRDefault="000A6478" w:rsidP="003B098C">
      <w:pPr>
        <w:pStyle w:val="EndNoteBibliography"/>
      </w:pPr>
      <w:bookmarkStart w:id="4" w:name="_ENREF_5"/>
      <w:r w:rsidRPr="003B098C">
        <w:t>Inizan, Marie L., Helene Roche, Jacques Tixier y Michele Reduron</w:t>
      </w:r>
    </w:p>
    <w:p w14:paraId="1A03B786" w14:textId="77777777" w:rsidR="000A6478" w:rsidRPr="003B098C" w:rsidRDefault="000A6478" w:rsidP="003B098C">
      <w:pPr>
        <w:pStyle w:val="EndNoteBibliography"/>
        <w:ind w:left="720" w:hanging="720"/>
        <w:rPr>
          <w:lang w:val="es-AR"/>
        </w:rPr>
      </w:pPr>
      <w:r w:rsidRPr="003B098C">
        <w:tab/>
        <w:t>1999</w:t>
      </w:r>
      <w:r w:rsidRPr="003B098C">
        <w:tab/>
      </w:r>
      <w:r w:rsidRPr="003B098C">
        <w:rPr>
          <w:i/>
        </w:rPr>
        <w:t>Technology and Terminology of Knapped Stone followed by a multilingual vocabulary.</w:t>
      </w:r>
      <w:r w:rsidRPr="003B098C">
        <w:t xml:space="preserve"> </w:t>
      </w:r>
      <w:r w:rsidRPr="003B098C">
        <w:rPr>
          <w:lang w:val="es-AR"/>
        </w:rPr>
        <w:t>Translated by J. Féblot-Augustins. CREP, Nanterre.</w:t>
      </w:r>
    </w:p>
    <w:bookmarkEnd w:id="4"/>
    <w:p w14:paraId="1BA45CEF" w14:textId="77777777" w:rsidR="000A6478" w:rsidRPr="003B098C" w:rsidRDefault="000A6478" w:rsidP="003B098C">
      <w:pPr>
        <w:pStyle w:val="EndNoteBibliography"/>
        <w:rPr>
          <w:lang w:val="es-AR"/>
        </w:rPr>
      </w:pPr>
    </w:p>
    <w:p w14:paraId="0B8DFAB8" w14:textId="77777777" w:rsidR="000A6478" w:rsidRPr="003B098C" w:rsidRDefault="000A6478" w:rsidP="003B098C">
      <w:pPr>
        <w:pStyle w:val="EndNoteBibliography"/>
        <w:rPr>
          <w:lang w:val="es-AR"/>
        </w:rPr>
      </w:pPr>
      <w:bookmarkStart w:id="5" w:name="_ENREF_6"/>
      <w:r w:rsidRPr="003B098C">
        <w:rPr>
          <w:lang w:val="es-AR"/>
        </w:rPr>
        <w:t>Mansur-Franchomme, Estela</w:t>
      </w:r>
    </w:p>
    <w:p w14:paraId="60D819AB" w14:textId="77777777" w:rsidR="000A6478" w:rsidRPr="003B098C" w:rsidRDefault="000A6478" w:rsidP="003B098C">
      <w:pPr>
        <w:pStyle w:val="EndNoteBibliography"/>
        <w:ind w:left="720" w:hanging="720"/>
      </w:pPr>
      <w:r w:rsidRPr="003B098C">
        <w:rPr>
          <w:lang w:val="es-AR"/>
        </w:rPr>
        <w:tab/>
        <w:t>1984</w:t>
      </w:r>
      <w:r w:rsidRPr="003B098C">
        <w:rPr>
          <w:lang w:val="es-AR"/>
        </w:rPr>
        <w:tab/>
      </w:r>
      <w:r w:rsidRPr="003B098C">
        <w:rPr>
          <w:i/>
          <w:lang w:val="es-AR"/>
        </w:rPr>
        <w:t xml:space="preserve">Préhistoire de Patagonie: l'industrie "Nivel 11" de la Province de Santa Cruz (Argentine). </w:t>
      </w:r>
      <w:r w:rsidRPr="003B098C">
        <w:rPr>
          <w:i/>
        </w:rPr>
        <w:t>Technologie Lithique et Traces d'Utilisation</w:t>
      </w:r>
      <w:r w:rsidRPr="003B098C">
        <w:t>. British Archaeological Reports, Oxford.</w:t>
      </w:r>
    </w:p>
    <w:bookmarkEnd w:id="5"/>
    <w:p w14:paraId="5D5D9122" w14:textId="77777777" w:rsidR="000A6478" w:rsidRPr="003B098C" w:rsidRDefault="000A6478" w:rsidP="003B098C">
      <w:pPr>
        <w:pStyle w:val="EndNoteBibliography"/>
      </w:pPr>
    </w:p>
    <w:p w14:paraId="6995A149" w14:textId="4514639D" w:rsidR="000A6478" w:rsidRPr="003B098C" w:rsidRDefault="000A6478" w:rsidP="003B098C">
      <w:pPr>
        <w:pStyle w:val="EndNoteBibliography"/>
      </w:pPr>
      <w:bookmarkStart w:id="6" w:name="_ENREF_7"/>
      <w:r w:rsidRPr="003B098C">
        <w:t>Orquera, L</w:t>
      </w:r>
      <w:r w:rsidR="00967FE7">
        <w:t>uis</w:t>
      </w:r>
      <w:r w:rsidRPr="003B098C">
        <w:t xml:space="preserve"> A. y E</w:t>
      </w:r>
      <w:r w:rsidR="00967FE7">
        <w:t>rnesto</w:t>
      </w:r>
      <w:r w:rsidRPr="003B098C">
        <w:t xml:space="preserve"> Piana</w:t>
      </w:r>
    </w:p>
    <w:p w14:paraId="2C5968DA" w14:textId="77777777" w:rsidR="000A6478" w:rsidRPr="003B098C" w:rsidRDefault="000A6478" w:rsidP="003B098C">
      <w:pPr>
        <w:pStyle w:val="EndNoteBibliography"/>
        <w:ind w:left="720" w:hanging="720"/>
      </w:pPr>
      <w:r w:rsidRPr="003B098C">
        <w:tab/>
      </w:r>
      <w:r w:rsidRPr="003B098C">
        <w:rPr>
          <w:lang w:val="es-AR"/>
        </w:rPr>
        <w:t>1986</w:t>
      </w:r>
      <w:r w:rsidRPr="003B098C">
        <w:rPr>
          <w:lang w:val="es-AR"/>
        </w:rPr>
        <w:tab/>
        <w:t xml:space="preserve">Normas para la descripción de objetos arqueológicos de piedra tallada. </w:t>
      </w:r>
      <w:r w:rsidRPr="003B098C">
        <w:rPr>
          <w:i/>
        </w:rPr>
        <w:t>Contribución Científica. Publicación Especial CADIC. Ushuaia</w:t>
      </w:r>
      <w:r w:rsidRPr="003B098C">
        <w:t xml:space="preserve"> 1.</w:t>
      </w:r>
    </w:p>
    <w:bookmarkEnd w:id="6"/>
    <w:p w14:paraId="7D184C48" w14:textId="77777777" w:rsidR="000A6478" w:rsidRPr="003B098C" w:rsidRDefault="000A6478" w:rsidP="003B098C">
      <w:pPr>
        <w:pStyle w:val="EndNoteBibliography"/>
      </w:pPr>
    </w:p>
    <w:p w14:paraId="2833653D" w14:textId="77777777" w:rsidR="000A6478" w:rsidRPr="009A7A3D" w:rsidRDefault="000A6478" w:rsidP="00AB43D7">
      <w:pPr>
        <w:pStyle w:val="Prrafodelista"/>
        <w:keepNext w:val="0"/>
        <w:keepLines w:val="0"/>
        <w:spacing w:line="480" w:lineRule="auto"/>
        <w:ind w:left="360"/>
        <w:rPr>
          <w:rFonts w:ascii="Times New Roman" w:hAnsi="Times New Roman" w:cs="Times New Roman"/>
          <w:sz w:val="24"/>
          <w:szCs w:val="24"/>
          <w:lang w:val="es-AR"/>
        </w:rPr>
      </w:pPr>
    </w:p>
    <w:p w14:paraId="56BF8B08" w14:textId="77777777" w:rsidR="005262AC" w:rsidRDefault="005262AC"/>
    <w:sectPr w:rsidR="005262AC" w:rsidSect="003B09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86BF7"/>
    <w:multiLevelType w:val="hybridMultilevel"/>
    <w:tmpl w:val="45BC9D68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502231"/>
    <w:multiLevelType w:val="hybridMultilevel"/>
    <w:tmpl w:val="B0EC01A6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93D75"/>
    <w:multiLevelType w:val="hybridMultilevel"/>
    <w:tmpl w:val="6CE88B6E"/>
    <w:lvl w:ilvl="0" w:tplc="6D96750A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B50D0"/>
    <w:multiLevelType w:val="hybridMultilevel"/>
    <w:tmpl w:val="1CA898C8"/>
    <w:lvl w:ilvl="0" w:tplc="2C0A000F">
      <w:start w:val="1"/>
      <w:numFmt w:val="decimal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7A42AF"/>
    <w:multiLevelType w:val="hybridMultilevel"/>
    <w:tmpl w:val="DA8E0C4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45F59"/>
    <w:multiLevelType w:val="hybridMultilevel"/>
    <w:tmpl w:val="6CE88B6E"/>
    <w:lvl w:ilvl="0" w:tplc="6D96750A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8939CA"/>
    <w:multiLevelType w:val="hybridMultilevel"/>
    <w:tmpl w:val="70AAC870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CF7F57"/>
    <w:multiLevelType w:val="hybridMultilevel"/>
    <w:tmpl w:val="FF784EAE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0357E"/>
    <w:multiLevelType w:val="hybridMultilevel"/>
    <w:tmpl w:val="AB2E7B0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73EA3"/>
    <w:multiLevelType w:val="hybridMultilevel"/>
    <w:tmpl w:val="45BC9D68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F496E"/>
    <w:multiLevelType w:val="hybridMultilevel"/>
    <w:tmpl w:val="E3C22A9E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F64D4"/>
    <w:multiLevelType w:val="hybridMultilevel"/>
    <w:tmpl w:val="E2DA8774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A2E66"/>
    <w:multiLevelType w:val="hybridMultilevel"/>
    <w:tmpl w:val="8C68FE0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85A81"/>
    <w:multiLevelType w:val="hybridMultilevel"/>
    <w:tmpl w:val="BEFC7F9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95D08"/>
    <w:multiLevelType w:val="hybridMultilevel"/>
    <w:tmpl w:val="FFB21166"/>
    <w:lvl w:ilvl="0" w:tplc="C8BA30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F326C"/>
    <w:multiLevelType w:val="hybridMultilevel"/>
    <w:tmpl w:val="2A3EFF1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D354D"/>
    <w:multiLevelType w:val="hybridMultilevel"/>
    <w:tmpl w:val="F7CCD790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327870"/>
    <w:multiLevelType w:val="hybridMultilevel"/>
    <w:tmpl w:val="56546578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7"/>
  </w:num>
  <w:num w:numId="10">
    <w:abstractNumId w:val="13"/>
  </w:num>
  <w:num w:numId="11">
    <w:abstractNumId w:val="12"/>
  </w:num>
  <w:num w:numId="12">
    <w:abstractNumId w:val="0"/>
  </w:num>
  <w:num w:numId="13">
    <w:abstractNumId w:val="11"/>
  </w:num>
  <w:num w:numId="14">
    <w:abstractNumId w:val="10"/>
  </w:num>
  <w:num w:numId="15">
    <w:abstractNumId w:val="15"/>
  </w:num>
  <w:num w:numId="16">
    <w:abstractNumId w:val="1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0A6478"/>
    <w:rsid w:val="000A6478"/>
    <w:rsid w:val="005262AC"/>
    <w:rsid w:val="009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D30D"/>
  <w15:chartTrackingRefBased/>
  <w15:docId w15:val="{9361370A-841F-49A0-BD3C-2C91432C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478"/>
    <w:pPr>
      <w:keepNext/>
      <w:keepLines/>
      <w:spacing w:after="0" w:line="276" w:lineRule="auto"/>
      <w:jc w:val="both"/>
    </w:pPr>
    <w:rPr>
      <w:rFonts w:eastAsia="Times New Roman" w:cstheme="minorHAns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6478"/>
    <w:pPr>
      <w:outlineLvl w:val="0"/>
    </w:pPr>
    <w:rPr>
      <w:rFonts w:ascii="Times New Roman" w:hAnsi="Times New Roman" w:cs="Times New Roman"/>
      <w:b/>
      <w:bCs/>
      <w:color w:val="000000"/>
      <w:sz w:val="24"/>
      <w:szCs w:val="24"/>
      <w:lang w:val="es-AR" w:eastAsia="es-AR"/>
    </w:rPr>
  </w:style>
  <w:style w:type="character" w:default="1" w:styleId="Fuentedeprrafopredeter">
    <w:name w:val="Default Paragraph Font"/>
    <w:uiPriority w:val="1"/>
    <w:unhideWhenUsed/>
    <w:rsid w:val="000A6478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0A6478"/>
  </w:style>
  <w:style w:type="character" w:customStyle="1" w:styleId="Ttulo1Car">
    <w:name w:val="Título 1 Car"/>
    <w:basedOn w:val="Fuentedeprrafopredeter"/>
    <w:link w:val="Ttulo1"/>
    <w:uiPriority w:val="9"/>
    <w:rsid w:val="000A6478"/>
    <w:rPr>
      <w:rFonts w:ascii="Times New Roman" w:eastAsia="Times New Roman" w:hAnsi="Times New Roman" w:cs="Times New Roman"/>
      <w:b/>
      <w:bCs/>
      <w:color w:val="000000"/>
      <w:sz w:val="24"/>
      <w:szCs w:val="24"/>
      <w:lang w:val="es-AR" w:eastAsia="es-AR"/>
    </w:rPr>
  </w:style>
  <w:style w:type="paragraph" w:customStyle="1" w:styleId="LQA">
    <w:name w:val="LQA"/>
    <w:basedOn w:val="Normal"/>
    <w:qFormat/>
    <w:rsid w:val="000A6478"/>
    <w:pPr>
      <w:jc w:val="center"/>
    </w:pPr>
    <w:rPr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0A647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A64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647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6478"/>
    <w:rPr>
      <w:rFonts w:eastAsia="Times New Roman" w:cstheme="minorHAns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64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6478"/>
    <w:rPr>
      <w:rFonts w:eastAsia="Times New Roman" w:cstheme="minorHAnsi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6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478"/>
    <w:rPr>
      <w:rFonts w:ascii="Segoe UI" w:eastAsia="Times New Roman" w:hAnsi="Segoe UI" w:cs="Segoe UI"/>
      <w:sz w:val="18"/>
      <w:szCs w:val="18"/>
      <w:lang w:val="es-ES"/>
    </w:rPr>
  </w:style>
  <w:style w:type="paragraph" w:customStyle="1" w:styleId="EndNoteBibliographyTitle">
    <w:name w:val="EndNote Bibliography Title"/>
    <w:basedOn w:val="Normal"/>
    <w:link w:val="EndNoteBibliographyTitleCar"/>
    <w:rsid w:val="000A6478"/>
    <w:pPr>
      <w:jc w:val="center"/>
    </w:pPr>
    <w:rPr>
      <w:rFonts w:ascii="Times New Roman" w:hAnsi="Times New Roman" w:cs="Times New Roman"/>
      <w:noProof/>
      <w:sz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A6478"/>
    <w:rPr>
      <w:rFonts w:eastAsia="Times New Roman" w:cstheme="minorHAnsi"/>
      <w:lang w:val="es-ES"/>
    </w:rPr>
  </w:style>
  <w:style w:type="character" w:customStyle="1" w:styleId="EndNoteBibliographyTitleCar">
    <w:name w:val="EndNote Bibliography Title Car"/>
    <w:basedOn w:val="PrrafodelistaCar"/>
    <w:link w:val="EndNoteBibliographyTitle"/>
    <w:rsid w:val="000A6478"/>
    <w:rPr>
      <w:rFonts w:ascii="Times New Roman" w:eastAsia="Times New Roman" w:hAnsi="Times New Roman" w:cs="Times New Roman"/>
      <w:noProof/>
      <w:sz w:val="24"/>
      <w:lang w:val="es-ES"/>
    </w:rPr>
  </w:style>
  <w:style w:type="paragraph" w:customStyle="1" w:styleId="EndNoteBibliography">
    <w:name w:val="EndNote Bibliography"/>
    <w:basedOn w:val="Normal"/>
    <w:link w:val="EndNoteBibliographyCar"/>
    <w:rsid w:val="000A6478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ar">
    <w:name w:val="EndNote Bibliography Car"/>
    <w:basedOn w:val="PrrafodelistaCar"/>
    <w:link w:val="EndNoteBibliography"/>
    <w:rsid w:val="000A6478"/>
    <w:rPr>
      <w:rFonts w:ascii="Times New Roman" w:eastAsia="Times New Roman" w:hAnsi="Times New Roman" w:cs="Times New Roman"/>
      <w:noProof/>
      <w:sz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0A647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A6478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A6478"/>
    <w:pPr>
      <w:spacing w:after="0" w:line="240" w:lineRule="auto"/>
    </w:pPr>
    <w:rPr>
      <w:rFonts w:eastAsia="Times New Roman" w:cstheme="minorHAnsi"/>
      <w:lang w:val="es-E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6478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0A6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706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2020-11-05T10:49:00Z</dcterms:created>
  <dcterms:modified xsi:type="dcterms:W3CDTF">2020-11-05T10:50:00Z</dcterms:modified>
</cp:coreProperties>
</file>