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0776BB" w14:textId="77777777" w:rsidR="00935D04" w:rsidRPr="00674050" w:rsidRDefault="00935D04" w:rsidP="00674050">
      <w:pPr>
        <w:pStyle w:val="Epigrafes"/>
        <w:rPr>
          <w:rFonts w:ascii="Times New Roman" w:hAnsi="Times New Roman"/>
          <w:sz w:val="24"/>
        </w:rPr>
      </w:pPr>
      <w:r w:rsidRPr="00F616B4">
        <w:rPr>
          <w:rFonts w:ascii="Times New Roman" w:hAnsi="Times New Roman"/>
          <w:sz w:val="24"/>
        </w:rPr>
        <w:t xml:space="preserve">Tabla </w:t>
      </w:r>
      <w:r>
        <w:rPr>
          <w:rFonts w:ascii="Times New Roman" w:hAnsi="Times New Roman"/>
          <w:sz w:val="24"/>
        </w:rPr>
        <w:t xml:space="preserve">Suplementaria </w:t>
      </w:r>
      <w:r w:rsidRPr="00F616B4">
        <w:rPr>
          <w:rFonts w:ascii="Times New Roman" w:hAnsi="Times New Roman"/>
          <w:sz w:val="24"/>
        </w:rPr>
        <w:t xml:space="preserve">1. Fechados </w:t>
      </w:r>
      <w:r>
        <w:rPr>
          <w:rFonts w:ascii="Times New Roman" w:hAnsi="Times New Roman"/>
          <w:sz w:val="24"/>
        </w:rPr>
        <w:t>Radiocarbónicos de los C</w:t>
      </w:r>
      <w:r w:rsidRPr="00F616B4">
        <w:rPr>
          <w:rFonts w:ascii="Times New Roman" w:hAnsi="Times New Roman"/>
          <w:sz w:val="24"/>
        </w:rPr>
        <w:t xml:space="preserve">omponentes </w:t>
      </w:r>
      <w:r>
        <w:rPr>
          <w:rFonts w:ascii="Times New Roman" w:hAnsi="Times New Roman"/>
          <w:sz w:val="24"/>
        </w:rPr>
        <w:t>A</w:t>
      </w:r>
      <w:r w:rsidRPr="00F616B4">
        <w:rPr>
          <w:rFonts w:ascii="Times New Roman" w:hAnsi="Times New Roman"/>
          <w:sz w:val="24"/>
        </w:rPr>
        <w:t>nalizados. Comp.: Componente</w:t>
      </w:r>
      <w:r>
        <w:rPr>
          <w:rFonts w:ascii="Times New Roman" w:hAnsi="Times New Roman"/>
          <w:sz w:val="24"/>
        </w:rPr>
        <w:t>,</w:t>
      </w:r>
      <w:r w:rsidRPr="00F616B4">
        <w:rPr>
          <w:rFonts w:ascii="Times New Roman" w:hAnsi="Times New Roman"/>
          <w:sz w:val="24"/>
        </w:rPr>
        <w:t xml:space="preserve"> E</w:t>
      </w:r>
      <w:r>
        <w:rPr>
          <w:rFonts w:ascii="Times New Roman" w:hAnsi="Times New Roman"/>
          <w:sz w:val="24"/>
        </w:rPr>
        <w:t>C</w:t>
      </w:r>
      <w:r w:rsidRPr="00F616B4">
        <w:rPr>
          <w:rFonts w:ascii="Times New Roman" w:hAnsi="Times New Roman"/>
          <w:sz w:val="24"/>
        </w:rPr>
        <w:t xml:space="preserve">7 </w:t>
      </w:r>
      <w:r>
        <w:rPr>
          <w:rFonts w:ascii="Times New Roman" w:hAnsi="Times New Roman"/>
          <w:sz w:val="24"/>
          <w:lang w:val="es-ES"/>
        </w:rPr>
        <w:t>Sin</w:t>
      </w:r>
      <w:r w:rsidRPr="00F616B4">
        <w:rPr>
          <w:rFonts w:ascii="Times New Roman" w:hAnsi="Times New Roman"/>
          <w:sz w:val="24"/>
        </w:rPr>
        <w:t xml:space="preserve"> </w:t>
      </w:r>
      <w:r>
        <w:rPr>
          <w:rFonts w:ascii="Times New Roman" w:hAnsi="Times New Roman"/>
          <w:sz w:val="24"/>
          <w:lang w:val="es-ES"/>
        </w:rPr>
        <w:t>F</w:t>
      </w:r>
      <w:r w:rsidRPr="00F616B4">
        <w:rPr>
          <w:rFonts w:ascii="Times New Roman" w:hAnsi="Times New Roman"/>
          <w:sz w:val="24"/>
        </w:rPr>
        <w:t>echado.</w:t>
      </w:r>
    </w:p>
    <w:tbl>
      <w:tblPr>
        <w:tblW w:w="47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78"/>
        <w:gridCol w:w="1364"/>
        <w:gridCol w:w="2984"/>
        <w:gridCol w:w="2913"/>
      </w:tblGrid>
      <w:tr w:rsidR="00935D04" w:rsidRPr="00F616B4" w14:paraId="762463B3" w14:textId="77777777" w:rsidTr="002E59C6">
        <w:trPr>
          <w:trHeight w:val="360"/>
          <w:jc w:val="center"/>
        </w:trPr>
        <w:tc>
          <w:tcPr>
            <w:tcW w:w="698" w:type="pct"/>
            <w:tcBorders>
              <w:left w:val="nil"/>
              <w:bottom w:val="single" w:sz="4" w:space="0" w:color="auto"/>
              <w:right w:val="nil"/>
            </w:tcBorders>
            <w:noWrap/>
            <w:vAlign w:val="center"/>
          </w:tcPr>
          <w:p w14:paraId="70629A54" w14:textId="77777777" w:rsidR="00935D04" w:rsidRPr="0090106B" w:rsidRDefault="00935D04" w:rsidP="009F2C47">
            <w:pPr>
              <w:pStyle w:val="Tabla"/>
              <w:keepNext w:val="0"/>
              <w:keepLines w:val="0"/>
              <w:spacing w:line="480" w:lineRule="auto"/>
              <w:rPr>
                <w:rFonts w:ascii="Times New Roman" w:eastAsia="Times New Roman" w:hAnsi="Times New Roman"/>
                <w:bCs/>
                <w:color w:val="auto"/>
                <w:sz w:val="24"/>
                <w:lang w:val="en-US" w:eastAsia="es-AR"/>
              </w:rPr>
            </w:pPr>
            <w:r w:rsidRPr="0090106B">
              <w:rPr>
                <w:rFonts w:ascii="Times New Roman" w:eastAsia="Times New Roman" w:hAnsi="Times New Roman"/>
                <w:bCs/>
                <w:color w:val="auto"/>
                <w:sz w:val="24"/>
                <w:lang w:val="en-US" w:eastAsia="es-AR"/>
              </w:rPr>
              <w:t>Sitio</w:t>
            </w:r>
          </w:p>
        </w:tc>
        <w:tc>
          <w:tcPr>
            <w:tcW w:w="808" w:type="pct"/>
            <w:tcBorders>
              <w:left w:val="nil"/>
              <w:bottom w:val="single" w:sz="4" w:space="0" w:color="auto"/>
              <w:right w:val="nil"/>
            </w:tcBorders>
            <w:noWrap/>
            <w:vAlign w:val="center"/>
          </w:tcPr>
          <w:p w14:paraId="11C783C7" w14:textId="77777777" w:rsidR="00935D04" w:rsidRPr="0090106B" w:rsidRDefault="00935D04" w:rsidP="009F2C47">
            <w:pPr>
              <w:pStyle w:val="Tabla"/>
              <w:keepNext w:val="0"/>
              <w:keepLines w:val="0"/>
              <w:spacing w:line="480" w:lineRule="auto"/>
              <w:rPr>
                <w:rFonts w:ascii="Times New Roman" w:eastAsia="Times New Roman" w:hAnsi="Times New Roman"/>
                <w:bCs/>
                <w:color w:val="auto"/>
                <w:sz w:val="24"/>
                <w:lang w:val="en-US" w:eastAsia="es-AR"/>
              </w:rPr>
            </w:pPr>
            <w:r w:rsidRPr="0090106B">
              <w:rPr>
                <w:rFonts w:ascii="Times New Roman" w:eastAsia="Times New Roman" w:hAnsi="Times New Roman"/>
                <w:bCs/>
                <w:color w:val="auto"/>
                <w:sz w:val="24"/>
                <w:lang w:val="en-US" w:eastAsia="es-AR"/>
              </w:rPr>
              <w:t>Unidad</w:t>
            </w:r>
          </w:p>
        </w:tc>
        <w:tc>
          <w:tcPr>
            <w:tcW w:w="1768" w:type="pct"/>
            <w:tcBorders>
              <w:left w:val="nil"/>
              <w:bottom w:val="single" w:sz="4" w:space="0" w:color="auto"/>
              <w:right w:val="nil"/>
            </w:tcBorders>
            <w:noWrap/>
            <w:vAlign w:val="center"/>
          </w:tcPr>
          <w:p w14:paraId="2E171521" w14:textId="77777777" w:rsidR="00935D04" w:rsidRPr="0090106B" w:rsidRDefault="00935D04" w:rsidP="009F2C47">
            <w:pPr>
              <w:pStyle w:val="Tabla"/>
              <w:keepNext w:val="0"/>
              <w:keepLines w:val="0"/>
              <w:spacing w:line="480" w:lineRule="auto"/>
              <w:rPr>
                <w:rFonts w:ascii="Times New Roman" w:eastAsia="Times New Roman" w:hAnsi="Times New Roman"/>
                <w:bCs/>
                <w:color w:val="auto"/>
                <w:sz w:val="24"/>
                <w:lang w:val="en-US" w:eastAsia="es-AR"/>
              </w:rPr>
            </w:pPr>
            <w:proofErr w:type="spellStart"/>
            <w:r w:rsidRPr="0090106B">
              <w:rPr>
                <w:rFonts w:ascii="Times New Roman" w:eastAsia="Times New Roman" w:hAnsi="Times New Roman"/>
                <w:bCs/>
                <w:color w:val="auto"/>
                <w:sz w:val="24"/>
                <w:lang w:val="en-US" w:eastAsia="es-AR"/>
              </w:rPr>
              <w:t>Fechados</w:t>
            </w:r>
            <w:proofErr w:type="spellEnd"/>
            <w:r w:rsidRPr="0090106B">
              <w:rPr>
                <w:rFonts w:ascii="Times New Roman" w:eastAsia="Times New Roman" w:hAnsi="Times New Roman"/>
                <w:bCs/>
                <w:color w:val="auto"/>
                <w:sz w:val="24"/>
                <w:vertAlign w:val="superscript"/>
                <w:lang w:val="en-US" w:eastAsia="es-AR"/>
              </w:rPr>
              <w:t xml:space="preserve"> 14</w:t>
            </w:r>
            <w:r w:rsidRPr="0090106B">
              <w:rPr>
                <w:rFonts w:ascii="Times New Roman" w:eastAsia="Times New Roman" w:hAnsi="Times New Roman"/>
                <w:bCs/>
                <w:color w:val="auto"/>
                <w:sz w:val="24"/>
                <w:lang w:val="en-US" w:eastAsia="es-AR"/>
              </w:rPr>
              <w:t>C</w:t>
            </w:r>
          </w:p>
        </w:tc>
        <w:tc>
          <w:tcPr>
            <w:tcW w:w="1727" w:type="pct"/>
            <w:tcBorders>
              <w:left w:val="nil"/>
              <w:bottom w:val="single" w:sz="4" w:space="0" w:color="auto"/>
              <w:right w:val="nil"/>
            </w:tcBorders>
            <w:vAlign w:val="center"/>
          </w:tcPr>
          <w:p w14:paraId="4692506E" w14:textId="77777777" w:rsidR="00935D04" w:rsidRPr="0090106B" w:rsidRDefault="00935D04" w:rsidP="009F2C47">
            <w:pPr>
              <w:pStyle w:val="Tabla"/>
              <w:keepNext w:val="0"/>
              <w:keepLines w:val="0"/>
              <w:spacing w:line="480" w:lineRule="auto"/>
              <w:rPr>
                <w:rFonts w:ascii="Times New Roman" w:eastAsia="Times New Roman" w:hAnsi="Times New Roman"/>
                <w:bCs/>
                <w:color w:val="auto"/>
                <w:sz w:val="24"/>
                <w:lang w:val="en-US" w:eastAsia="es-AR"/>
              </w:rPr>
            </w:pPr>
            <w:proofErr w:type="spellStart"/>
            <w:r w:rsidRPr="0090106B">
              <w:rPr>
                <w:rFonts w:ascii="Times New Roman" w:eastAsia="Times New Roman" w:hAnsi="Times New Roman"/>
                <w:bCs/>
                <w:color w:val="auto"/>
                <w:sz w:val="24"/>
                <w:lang w:val="en-US" w:eastAsia="es-AR"/>
              </w:rPr>
              <w:t>Referencias</w:t>
            </w:r>
            <w:proofErr w:type="spellEnd"/>
          </w:p>
        </w:tc>
      </w:tr>
      <w:tr w:rsidR="00935D04" w:rsidRPr="00F616B4" w14:paraId="094863D4" w14:textId="77777777" w:rsidTr="002E59C6">
        <w:trPr>
          <w:trHeight w:val="1840"/>
          <w:jc w:val="center"/>
        </w:trPr>
        <w:tc>
          <w:tcPr>
            <w:tcW w:w="698" w:type="pct"/>
            <w:tcBorders>
              <w:left w:val="nil"/>
              <w:bottom w:val="nil"/>
              <w:right w:val="nil"/>
            </w:tcBorders>
            <w:noWrap/>
            <w:vAlign w:val="center"/>
          </w:tcPr>
          <w:p w14:paraId="6D11BEC3" w14:textId="77777777" w:rsidR="00935D04" w:rsidRPr="00F616B4" w:rsidRDefault="00935D04" w:rsidP="009F2C47">
            <w:pPr>
              <w:pStyle w:val="Tabla"/>
              <w:keepNext w:val="0"/>
              <w:keepLines w:val="0"/>
              <w:spacing w:line="480" w:lineRule="auto"/>
              <w:rPr>
                <w:rFonts w:ascii="Times New Roman" w:eastAsia="Times New Roman" w:hAnsi="Times New Roman"/>
                <w:color w:val="auto"/>
                <w:sz w:val="24"/>
                <w:lang w:val="en-US" w:eastAsia="es-AR"/>
              </w:rPr>
            </w:pPr>
            <w:r w:rsidRPr="00F616B4">
              <w:rPr>
                <w:rFonts w:ascii="Times New Roman" w:eastAsia="Times New Roman" w:hAnsi="Times New Roman"/>
                <w:color w:val="auto"/>
                <w:sz w:val="24"/>
                <w:lang w:val="en-US" w:eastAsia="es-AR"/>
              </w:rPr>
              <w:t>C3T1</w:t>
            </w:r>
          </w:p>
        </w:tc>
        <w:tc>
          <w:tcPr>
            <w:tcW w:w="808" w:type="pct"/>
            <w:tcBorders>
              <w:left w:val="nil"/>
              <w:bottom w:val="nil"/>
              <w:right w:val="nil"/>
            </w:tcBorders>
            <w:noWrap/>
            <w:vAlign w:val="center"/>
          </w:tcPr>
          <w:p w14:paraId="5CD03F0A" w14:textId="77777777" w:rsidR="00935D04" w:rsidRPr="00F616B4" w:rsidRDefault="00935D04" w:rsidP="009F2C47">
            <w:pPr>
              <w:pStyle w:val="Tabla"/>
              <w:keepNext w:val="0"/>
              <w:keepLines w:val="0"/>
              <w:spacing w:line="480" w:lineRule="auto"/>
              <w:rPr>
                <w:rFonts w:ascii="Times New Roman" w:eastAsia="Times New Roman" w:hAnsi="Times New Roman"/>
                <w:color w:val="auto"/>
                <w:sz w:val="24"/>
                <w:lang w:val="en-US" w:eastAsia="es-AR"/>
              </w:rPr>
            </w:pPr>
            <w:r w:rsidRPr="00F616B4">
              <w:rPr>
                <w:rFonts w:ascii="Times New Roman" w:eastAsia="Times New Roman" w:hAnsi="Times New Roman"/>
                <w:color w:val="auto"/>
                <w:sz w:val="24"/>
                <w:lang w:val="en-US" w:eastAsia="es-AR"/>
              </w:rPr>
              <w:t>5</w:t>
            </w:r>
          </w:p>
        </w:tc>
        <w:tc>
          <w:tcPr>
            <w:tcW w:w="1768" w:type="pct"/>
            <w:tcBorders>
              <w:left w:val="nil"/>
              <w:bottom w:val="nil"/>
              <w:right w:val="nil"/>
            </w:tcBorders>
            <w:noWrap/>
            <w:vAlign w:val="center"/>
          </w:tcPr>
          <w:p w14:paraId="3C0F5ABE" w14:textId="77777777" w:rsidR="00935D04" w:rsidRPr="00DE22BD" w:rsidRDefault="00935D04" w:rsidP="009F2C47">
            <w:pPr>
              <w:pStyle w:val="Tabla"/>
              <w:keepNext w:val="0"/>
              <w:keepLines w:val="0"/>
              <w:spacing w:line="480" w:lineRule="auto"/>
              <w:rPr>
                <w:rFonts w:ascii="Times New Roman" w:eastAsia="Times New Roman" w:hAnsi="Times New Roman"/>
                <w:color w:val="auto"/>
                <w:sz w:val="24"/>
                <w:lang w:val="en-US" w:eastAsia="es-AR"/>
              </w:rPr>
            </w:pPr>
            <w:r w:rsidRPr="00DE22BD">
              <w:rPr>
                <w:rFonts w:ascii="Times New Roman" w:eastAsia="Times New Roman" w:hAnsi="Times New Roman"/>
                <w:color w:val="auto"/>
                <w:sz w:val="24"/>
                <w:lang w:val="en-US" w:eastAsia="es-AR"/>
              </w:rPr>
              <w:t xml:space="preserve">LP- 800: 10.260 ± 110 </w:t>
            </w:r>
            <w:proofErr w:type="spellStart"/>
            <w:r w:rsidRPr="00DE22BD">
              <w:rPr>
                <w:rFonts w:ascii="Times New Roman" w:eastAsia="Times New Roman" w:hAnsi="Times New Roman"/>
                <w:color w:val="auto"/>
                <w:sz w:val="24"/>
                <w:lang w:val="en-US" w:eastAsia="es-AR"/>
              </w:rPr>
              <w:t>aP</w:t>
            </w:r>
            <w:proofErr w:type="spellEnd"/>
          </w:p>
          <w:p w14:paraId="34190B62" w14:textId="77777777" w:rsidR="00935D04" w:rsidRPr="00DE22BD" w:rsidRDefault="00935D04" w:rsidP="009F2C47">
            <w:pPr>
              <w:pStyle w:val="Tabla"/>
              <w:keepNext w:val="0"/>
              <w:keepLines w:val="0"/>
              <w:spacing w:line="480" w:lineRule="auto"/>
              <w:rPr>
                <w:rFonts w:ascii="Times New Roman" w:eastAsia="Times New Roman" w:hAnsi="Times New Roman"/>
                <w:color w:val="auto"/>
                <w:sz w:val="24"/>
                <w:lang w:val="en-US" w:eastAsia="es-AR"/>
              </w:rPr>
            </w:pPr>
            <w:r w:rsidRPr="00DE22BD">
              <w:rPr>
                <w:rFonts w:ascii="Times New Roman" w:eastAsia="Times New Roman" w:hAnsi="Times New Roman"/>
                <w:color w:val="auto"/>
                <w:sz w:val="24"/>
                <w:lang w:val="en-US" w:eastAsia="es-AR"/>
              </w:rPr>
              <w:t xml:space="preserve">LP-781: 10.850 ± 150 </w:t>
            </w:r>
            <w:proofErr w:type="spellStart"/>
            <w:r w:rsidRPr="00DE22BD">
              <w:rPr>
                <w:rFonts w:ascii="Times New Roman" w:eastAsia="Times New Roman" w:hAnsi="Times New Roman"/>
                <w:color w:val="auto"/>
                <w:sz w:val="24"/>
                <w:lang w:val="en-US" w:eastAsia="es-AR"/>
              </w:rPr>
              <w:t>aP</w:t>
            </w:r>
            <w:proofErr w:type="spellEnd"/>
          </w:p>
          <w:p w14:paraId="3FD678B5" w14:textId="77777777" w:rsidR="00935D04" w:rsidRPr="00DE22BD" w:rsidRDefault="00935D04" w:rsidP="009F2C47">
            <w:pPr>
              <w:pStyle w:val="Tabla"/>
              <w:keepNext w:val="0"/>
              <w:keepLines w:val="0"/>
              <w:spacing w:line="480" w:lineRule="auto"/>
              <w:rPr>
                <w:rFonts w:ascii="Times New Roman" w:eastAsia="Times New Roman" w:hAnsi="Times New Roman"/>
                <w:color w:val="auto"/>
                <w:sz w:val="24"/>
                <w:lang w:val="en-US" w:eastAsia="es-AR"/>
              </w:rPr>
            </w:pPr>
            <w:r w:rsidRPr="00DE22BD">
              <w:rPr>
                <w:rFonts w:ascii="Times New Roman" w:eastAsia="Times New Roman" w:hAnsi="Times New Roman"/>
                <w:color w:val="auto"/>
                <w:sz w:val="24"/>
                <w:lang w:val="en-US" w:eastAsia="es-AR"/>
              </w:rPr>
              <w:t xml:space="preserve">AA-39366: 10.853 ± 70 </w:t>
            </w:r>
            <w:proofErr w:type="spellStart"/>
            <w:r w:rsidRPr="00DE22BD">
              <w:rPr>
                <w:rFonts w:ascii="Times New Roman" w:eastAsia="Times New Roman" w:hAnsi="Times New Roman"/>
                <w:color w:val="auto"/>
                <w:sz w:val="24"/>
                <w:lang w:val="en-US" w:eastAsia="es-AR"/>
              </w:rPr>
              <w:t>aP</w:t>
            </w:r>
            <w:proofErr w:type="spellEnd"/>
          </w:p>
          <w:p w14:paraId="21E183E2" w14:textId="77777777" w:rsidR="00935D04" w:rsidRPr="00674050" w:rsidRDefault="00935D04" w:rsidP="009F2C47">
            <w:pPr>
              <w:pStyle w:val="Tabla"/>
              <w:keepNext w:val="0"/>
              <w:keepLines w:val="0"/>
              <w:spacing w:line="480" w:lineRule="auto"/>
              <w:rPr>
                <w:rFonts w:ascii="Times New Roman" w:eastAsia="Times New Roman" w:hAnsi="Times New Roman"/>
                <w:color w:val="auto"/>
                <w:sz w:val="24"/>
                <w:lang w:val="pt-BR" w:eastAsia="es-AR"/>
              </w:rPr>
            </w:pPr>
            <w:r w:rsidRPr="00674050">
              <w:rPr>
                <w:rFonts w:ascii="Times New Roman" w:eastAsia="Times New Roman" w:hAnsi="Times New Roman"/>
                <w:color w:val="auto"/>
                <w:sz w:val="24"/>
                <w:lang w:val="pt-BR" w:eastAsia="es-AR"/>
              </w:rPr>
              <w:t xml:space="preserve">OxA-9244: 10.915 ± 65 </w:t>
            </w:r>
            <w:proofErr w:type="spellStart"/>
            <w:r w:rsidRPr="00674050">
              <w:rPr>
                <w:rFonts w:ascii="Times New Roman" w:eastAsia="Times New Roman" w:hAnsi="Times New Roman"/>
                <w:color w:val="auto"/>
                <w:sz w:val="24"/>
                <w:lang w:val="pt-BR" w:eastAsia="es-AR"/>
              </w:rPr>
              <w:t>aP</w:t>
            </w:r>
            <w:proofErr w:type="spellEnd"/>
          </w:p>
          <w:p w14:paraId="638D3D8E" w14:textId="77777777" w:rsidR="00935D04" w:rsidRPr="00674050" w:rsidRDefault="00935D04" w:rsidP="009F2C47">
            <w:pPr>
              <w:pStyle w:val="Tabla"/>
              <w:keepNext w:val="0"/>
              <w:keepLines w:val="0"/>
              <w:spacing w:line="480" w:lineRule="auto"/>
              <w:rPr>
                <w:rFonts w:ascii="Times New Roman" w:eastAsia="Times New Roman" w:hAnsi="Times New Roman"/>
                <w:color w:val="auto"/>
                <w:sz w:val="24"/>
                <w:lang w:val="pt-BR" w:eastAsia="es-AR"/>
              </w:rPr>
            </w:pPr>
            <w:r w:rsidRPr="00674050">
              <w:rPr>
                <w:rFonts w:ascii="Times New Roman" w:eastAsia="Times New Roman" w:hAnsi="Times New Roman"/>
                <w:color w:val="auto"/>
                <w:sz w:val="24"/>
                <w:lang w:val="pt-BR" w:eastAsia="es-AR"/>
              </w:rPr>
              <w:t xml:space="preserve">AA-39368: 11.015 ± 66 </w:t>
            </w:r>
            <w:proofErr w:type="spellStart"/>
            <w:r w:rsidRPr="00674050">
              <w:rPr>
                <w:rFonts w:ascii="Times New Roman" w:eastAsia="Times New Roman" w:hAnsi="Times New Roman"/>
                <w:color w:val="auto"/>
                <w:sz w:val="24"/>
                <w:lang w:val="pt-BR" w:eastAsia="es-AR"/>
              </w:rPr>
              <w:t>aP</w:t>
            </w:r>
            <w:proofErr w:type="spellEnd"/>
          </w:p>
          <w:p w14:paraId="3C7F633A" w14:textId="77777777" w:rsidR="00935D04" w:rsidRPr="00674050" w:rsidRDefault="00935D04" w:rsidP="009F2C47">
            <w:pPr>
              <w:pStyle w:val="Tabla"/>
              <w:keepNext w:val="0"/>
              <w:keepLines w:val="0"/>
              <w:spacing w:line="480" w:lineRule="auto"/>
              <w:rPr>
                <w:rFonts w:ascii="Times New Roman" w:eastAsia="Times New Roman" w:hAnsi="Times New Roman"/>
                <w:color w:val="auto"/>
                <w:sz w:val="24"/>
                <w:lang w:val="pt-BR" w:eastAsia="es-AR"/>
              </w:rPr>
            </w:pPr>
            <w:r w:rsidRPr="00674050">
              <w:rPr>
                <w:rFonts w:ascii="Times New Roman" w:eastAsia="Times New Roman" w:hAnsi="Times New Roman"/>
                <w:color w:val="auto"/>
                <w:sz w:val="24"/>
                <w:lang w:val="pt-BR" w:eastAsia="es-AR"/>
              </w:rPr>
              <w:t xml:space="preserve">AA-22233: 11.100 ± 150 </w:t>
            </w:r>
            <w:proofErr w:type="spellStart"/>
            <w:r w:rsidRPr="00674050">
              <w:rPr>
                <w:rFonts w:ascii="Times New Roman" w:eastAsia="Times New Roman" w:hAnsi="Times New Roman"/>
                <w:color w:val="auto"/>
                <w:sz w:val="24"/>
                <w:lang w:val="pt-BR" w:eastAsia="es-AR"/>
              </w:rPr>
              <w:t>aP</w:t>
            </w:r>
            <w:proofErr w:type="spellEnd"/>
          </w:p>
          <w:p w14:paraId="7E0E7E76" w14:textId="77777777" w:rsidR="00935D04" w:rsidRPr="00C23FBC" w:rsidRDefault="00935D04" w:rsidP="009F2C47">
            <w:pPr>
              <w:pStyle w:val="Tabla"/>
              <w:keepNext w:val="0"/>
              <w:keepLines w:val="0"/>
              <w:spacing w:line="480" w:lineRule="auto"/>
              <w:rPr>
                <w:rFonts w:ascii="Times New Roman" w:eastAsia="Times New Roman" w:hAnsi="Times New Roman"/>
                <w:color w:val="auto"/>
                <w:sz w:val="24"/>
                <w:lang w:val="es-AR" w:eastAsia="es-AR"/>
              </w:rPr>
            </w:pPr>
            <w:r w:rsidRPr="00C23FBC">
              <w:rPr>
                <w:rFonts w:ascii="Times New Roman" w:eastAsia="Times New Roman" w:hAnsi="Times New Roman"/>
                <w:color w:val="auto"/>
                <w:sz w:val="24"/>
                <w:lang w:val="es-AR" w:eastAsia="es-AR"/>
              </w:rPr>
              <w:t xml:space="preserve">OxA-10745: 11.145 ± 60 </w:t>
            </w:r>
            <w:proofErr w:type="spellStart"/>
            <w:r w:rsidRPr="00C23FBC">
              <w:rPr>
                <w:rFonts w:ascii="Times New Roman" w:eastAsia="Times New Roman" w:hAnsi="Times New Roman"/>
                <w:color w:val="auto"/>
                <w:sz w:val="24"/>
                <w:lang w:val="es-AR" w:eastAsia="es-AR"/>
              </w:rPr>
              <w:t>aP</w:t>
            </w:r>
            <w:proofErr w:type="spellEnd"/>
          </w:p>
          <w:p w14:paraId="0D165F45" w14:textId="77777777" w:rsidR="00935D04" w:rsidRPr="00C23FBC" w:rsidRDefault="00935D04" w:rsidP="009F2C47">
            <w:pPr>
              <w:pStyle w:val="Tabla"/>
              <w:keepNext w:val="0"/>
              <w:keepLines w:val="0"/>
              <w:spacing w:line="480" w:lineRule="auto"/>
              <w:rPr>
                <w:rFonts w:ascii="Times New Roman" w:eastAsia="Times New Roman" w:hAnsi="Times New Roman"/>
                <w:color w:val="auto"/>
                <w:sz w:val="24"/>
                <w:lang w:val="es-AR" w:eastAsia="es-AR"/>
              </w:rPr>
            </w:pPr>
            <w:r w:rsidRPr="00C23FBC">
              <w:rPr>
                <w:rFonts w:ascii="Times New Roman" w:eastAsia="Times New Roman" w:hAnsi="Times New Roman"/>
                <w:color w:val="auto"/>
                <w:sz w:val="24"/>
                <w:lang w:val="es-AR" w:eastAsia="es-AR"/>
              </w:rPr>
              <w:t xml:space="preserve">LP–525: 11.560 ± 140 </w:t>
            </w:r>
            <w:proofErr w:type="spellStart"/>
            <w:r w:rsidRPr="00C23FBC">
              <w:rPr>
                <w:rFonts w:ascii="Times New Roman" w:eastAsia="Times New Roman" w:hAnsi="Times New Roman"/>
                <w:color w:val="auto"/>
                <w:sz w:val="24"/>
                <w:lang w:val="es-AR" w:eastAsia="es-AR"/>
              </w:rPr>
              <w:t>aP</w:t>
            </w:r>
            <w:proofErr w:type="spellEnd"/>
          </w:p>
        </w:tc>
        <w:tc>
          <w:tcPr>
            <w:tcW w:w="1727" w:type="pct"/>
            <w:tcBorders>
              <w:left w:val="nil"/>
              <w:bottom w:val="nil"/>
              <w:right w:val="nil"/>
            </w:tcBorders>
            <w:vAlign w:val="center"/>
          </w:tcPr>
          <w:p w14:paraId="2E518AD9" w14:textId="77777777" w:rsidR="00935D04" w:rsidRPr="00C23FBC" w:rsidRDefault="00935D04" w:rsidP="009F2C47">
            <w:pPr>
              <w:pStyle w:val="Tabla"/>
              <w:keepNext w:val="0"/>
              <w:keepLines w:val="0"/>
              <w:spacing w:line="480" w:lineRule="auto"/>
              <w:rPr>
                <w:rFonts w:ascii="Times New Roman" w:eastAsia="Times New Roman" w:hAnsi="Times New Roman"/>
                <w:noProof/>
                <w:color w:val="auto"/>
                <w:sz w:val="24"/>
                <w:lang w:val="es-AR" w:eastAsia="es-AR"/>
              </w:rPr>
            </w:pPr>
            <w:r>
              <w:rPr>
                <w:rFonts w:ascii="Times New Roman" w:eastAsia="Times New Roman" w:hAnsi="Times New Roman"/>
                <w:noProof/>
                <w:color w:val="auto"/>
                <w:sz w:val="24"/>
                <w:lang w:val="es-AR" w:eastAsia="es-AR"/>
              </w:rPr>
              <w:t>Paunero y Castro (2001)</w:t>
            </w:r>
          </w:p>
        </w:tc>
      </w:tr>
      <w:tr w:rsidR="00935D04" w:rsidRPr="00F616B4" w14:paraId="7C07A010" w14:textId="77777777" w:rsidTr="002E59C6">
        <w:trPr>
          <w:trHeight w:val="650"/>
          <w:jc w:val="center"/>
        </w:trPr>
        <w:tc>
          <w:tcPr>
            <w:tcW w:w="698" w:type="pct"/>
            <w:vMerge w:val="restart"/>
            <w:tcBorders>
              <w:top w:val="nil"/>
              <w:left w:val="nil"/>
              <w:bottom w:val="nil"/>
              <w:right w:val="nil"/>
            </w:tcBorders>
            <w:vAlign w:val="center"/>
          </w:tcPr>
          <w:p w14:paraId="392A69F3" w14:textId="77777777" w:rsidR="00935D04" w:rsidRPr="00F616B4" w:rsidRDefault="00935D04" w:rsidP="009F2C47">
            <w:pPr>
              <w:pStyle w:val="Tabla"/>
              <w:keepNext w:val="0"/>
              <w:keepLines w:val="0"/>
              <w:spacing w:line="480" w:lineRule="auto"/>
              <w:rPr>
                <w:rFonts w:ascii="Times New Roman" w:eastAsia="Times New Roman" w:hAnsi="Times New Roman"/>
                <w:color w:val="auto"/>
                <w:sz w:val="24"/>
                <w:lang w:val="en-US" w:eastAsia="es-AR"/>
              </w:rPr>
            </w:pPr>
            <w:r w:rsidRPr="00F616B4">
              <w:rPr>
                <w:rFonts w:ascii="Times New Roman" w:eastAsia="Times New Roman" w:hAnsi="Times New Roman"/>
                <w:color w:val="auto"/>
                <w:sz w:val="24"/>
                <w:lang w:val="en-US" w:eastAsia="es-AR"/>
              </w:rPr>
              <w:t>CDM1</w:t>
            </w:r>
          </w:p>
        </w:tc>
        <w:tc>
          <w:tcPr>
            <w:tcW w:w="808" w:type="pct"/>
            <w:tcBorders>
              <w:top w:val="nil"/>
              <w:left w:val="nil"/>
              <w:bottom w:val="nil"/>
              <w:right w:val="nil"/>
            </w:tcBorders>
            <w:noWrap/>
            <w:vAlign w:val="center"/>
          </w:tcPr>
          <w:p w14:paraId="2B2F5004" w14:textId="77777777" w:rsidR="00935D04" w:rsidRPr="00F616B4" w:rsidRDefault="00935D04" w:rsidP="009F2C47">
            <w:pPr>
              <w:pStyle w:val="Tabla"/>
              <w:keepNext w:val="0"/>
              <w:keepLines w:val="0"/>
              <w:spacing w:line="480" w:lineRule="auto"/>
              <w:rPr>
                <w:rFonts w:ascii="Times New Roman" w:eastAsia="Times New Roman" w:hAnsi="Times New Roman"/>
                <w:color w:val="auto"/>
                <w:sz w:val="24"/>
                <w:lang w:val="en-US" w:eastAsia="es-AR"/>
              </w:rPr>
            </w:pPr>
            <w:r w:rsidRPr="00F616B4">
              <w:rPr>
                <w:rFonts w:ascii="Times New Roman" w:eastAsia="Times New Roman" w:hAnsi="Times New Roman"/>
                <w:color w:val="auto"/>
                <w:sz w:val="24"/>
                <w:lang w:val="en-US" w:eastAsia="es-AR"/>
              </w:rPr>
              <w:t>4</w:t>
            </w:r>
          </w:p>
        </w:tc>
        <w:tc>
          <w:tcPr>
            <w:tcW w:w="1768" w:type="pct"/>
            <w:tcBorders>
              <w:top w:val="nil"/>
              <w:left w:val="nil"/>
              <w:bottom w:val="nil"/>
              <w:right w:val="nil"/>
            </w:tcBorders>
            <w:noWrap/>
            <w:vAlign w:val="center"/>
          </w:tcPr>
          <w:p w14:paraId="511D80E5" w14:textId="77777777" w:rsidR="00935D04" w:rsidRPr="00674050" w:rsidRDefault="00935D04" w:rsidP="009F2C47">
            <w:pPr>
              <w:pStyle w:val="Tabla"/>
              <w:keepNext w:val="0"/>
              <w:keepLines w:val="0"/>
              <w:spacing w:line="480" w:lineRule="auto"/>
              <w:rPr>
                <w:rFonts w:ascii="Times New Roman" w:eastAsia="Times New Roman" w:hAnsi="Times New Roman"/>
                <w:color w:val="auto"/>
                <w:sz w:val="24"/>
                <w:lang w:val="pt-BR" w:eastAsia="es-AR"/>
              </w:rPr>
            </w:pPr>
            <w:r w:rsidRPr="00674050">
              <w:rPr>
                <w:rFonts w:ascii="Times New Roman" w:eastAsia="Times New Roman" w:hAnsi="Times New Roman"/>
                <w:color w:val="auto"/>
                <w:sz w:val="24"/>
                <w:lang w:val="pt-BR" w:eastAsia="es-AR"/>
              </w:rPr>
              <w:t xml:space="preserve">OXA-26128: 10.750 ± 45 </w:t>
            </w:r>
            <w:proofErr w:type="spellStart"/>
            <w:r w:rsidRPr="00674050">
              <w:rPr>
                <w:rFonts w:ascii="Times New Roman" w:eastAsia="Times New Roman" w:hAnsi="Times New Roman"/>
                <w:color w:val="auto"/>
                <w:sz w:val="24"/>
                <w:lang w:val="pt-BR" w:eastAsia="es-AR"/>
              </w:rPr>
              <w:t>aP</w:t>
            </w:r>
            <w:proofErr w:type="spellEnd"/>
          </w:p>
          <w:p w14:paraId="73E6AA0E" w14:textId="77777777" w:rsidR="00935D04" w:rsidRPr="00674050" w:rsidRDefault="00935D04" w:rsidP="009F2C47">
            <w:pPr>
              <w:pStyle w:val="Tabla"/>
              <w:keepNext w:val="0"/>
              <w:keepLines w:val="0"/>
              <w:spacing w:line="480" w:lineRule="auto"/>
              <w:rPr>
                <w:rFonts w:ascii="Times New Roman" w:eastAsia="Times New Roman" w:hAnsi="Times New Roman"/>
                <w:color w:val="auto"/>
                <w:sz w:val="24"/>
                <w:lang w:val="pt-BR" w:eastAsia="es-AR"/>
              </w:rPr>
            </w:pPr>
            <w:r w:rsidRPr="00674050">
              <w:rPr>
                <w:rFonts w:ascii="Times New Roman" w:eastAsia="Times New Roman" w:hAnsi="Times New Roman"/>
                <w:color w:val="auto"/>
                <w:sz w:val="24"/>
                <w:lang w:val="pt-BR" w:eastAsia="es-AR"/>
              </w:rPr>
              <w:t xml:space="preserve">AA-37208: 10.967 ± 55 </w:t>
            </w:r>
            <w:proofErr w:type="spellStart"/>
            <w:r w:rsidRPr="00674050">
              <w:rPr>
                <w:rFonts w:ascii="Times New Roman" w:eastAsia="Times New Roman" w:hAnsi="Times New Roman"/>
                <w:color w:val="auto"/>
                <w:sz w:val="24"/>
                <w:lang w:val="pt-BR" w:eastAsia="es-AR"/>
              </w:rPr>
              <w:t>aP</w:t>
            </w:r>
            <w:proofErr w:type="spellEnd"/>
          </w:p>
          <w:p w14:paraId="7316C542" w14:textId="77777777" w:rsidR="00935D04" w:rsidRPr="00674050" w:rsidRDefault="00935D04" w:rsidP="009F2C47">
            <w:pPr>
              <w:pStyle w:val="Tabla"/>
              <w:keepNext w:val="0"/>
              <w:keepLines w:val="0"/>
              <w:spacing w:line="480" w:lineRule="auto"/>
              <w:rPr>
                <w:rFonts w:ascii="Times New Roman" w:eastAsia="Times New Roman" w:hAnsi="Times New Roman"/>
                <w:color w:val="auto"/>
                <w:sz w:val="24"/>
                <w:lang w:val="pt-BR" w:eastAsia="es-AR"/>
              </w:rPr>
            </w:pPr>
            <w:r w:rsidRPr="00674050">
              <w:rPr>
                <w:rFonts w:ascii="Times New Roman" w:eastAsia="Times New Roman" w:hAnsi="Times New Roman"/>
                <w:color w:val="auto"/>
                <w:sz w:val="24"/>
                <w:lang w:val="pt-BR" w:eastAsia="es-AR"/>
              </w:rPr>
              <w:t xml:space="preserve">AA-37207: 10.999 ± 55 </w:t>
            </w:r>
            <w:proofErr w:type="spellStart"/>
            <w:r w:rsidRPr="00674050">
              <w:rPr>
                <w:rFonts w:ascii="Times New Roman" w:eastAsia="Times New Roman" w:hAnsi="Times New Roman"/>
                <w:color w:val="auto"/>
                <w:sz w:val="24"/>
                <w:lang w:val="pt-BR" w:eastAsia="es-AR"/>
              </w:rPr>
              <w:t>aP</w:t>
            </w:r>
            <w:proofErr w:type="spellEnd"/>
          </w:p>
        </w:tc>
        <w:tc>
          <w:tcPr>
            <w:tcW w:w="1727" w:type="pct"/>
            <w:vMerge w:val="restart"/>
            <w:tcBorders>
              <w:top w:val="nil"/>
              <w:left w:val="nil"/>
              <w:bottom w:val="nil"/>
              <w:right w:val="nil"/>
            </w:tcBorders>
            <w:vAlign w:val="center"/>
          </w:tcPr>
          <w:p w14:paraId="4B9A5DA7" w14:textId="77777777" w:rsidR="00935D04" w:rsidRPr="00324ACE" w:rsidRDefault="00935D04" w:rsidP="009F2C47">
            <w:pPr>
              <w:pStyle w:val="Tabla"/>
              <w:keepNext w:val="0"/>
              <w:keepLines w:val="0"/>
              <w:spacing w:line="480" w:lineRule="auto"/>
              <w:rPr>
                <w:rFonts w:ascii="Times New Roman" w:eastAsia="Times New Roman" w:hAnsi="Times New Roman"/>
                <w:noProof/>
                <w:color w:val="auto"/>
                <w:sz w:val="24"/>
                <w:lang w:val="fr-FR" w:eastAsia="es-AR"/>
              </w:rPr>
            </w:pPr>
            <w:r>
              <w:rPr>
                <w:rFonts w:ascii="Times New Roman" w:eastAsia="Times New Roman" w:hAnsi="Times New Roman"/>
                <w:noProof/>
                <w:color w:val="auto"/>
                <w:sz w:val="24"/>
                <w:lang w:val="fr-FR" w:eastAsia="es-AR"/>
              </w:rPr>
              <w:t>Metcalf et al. (2016); Paunero et al. (2007)</w:t>
            </w:r>
          </w:p>
        </w:tc>
      </w:tr>
      <w:tr w:rsidR="00935D04" w:rsidRPr="00F616B4" w14:paraId="66F66C38" w14:textId="77777777" w:rsidTr="002E59C6">
        <w:trPr>
          <w:trHeight w:val="421"/>
          <w:jc w:val="center"/>
        </w:trPr>
        <w:tc>
          <w:tcPr>
            <w:tcW w:w="698" w:type="pct"/>
            <w:vMerge/>
            <w:tcBorders>
              <w:top w:val="nil"/>
              <w:left w:val="nil"/>
              <w:bottom w:val="nil"/>
              <w:right w:val="nil"/>
            </w:tcBorders>
            <w:vAlign w:val="center"/>
          </w:tcPr>
          <w:p w14:paraId="4B948231" w14:textId="77777777" w:rsidR="00935D04" w:rsidRPr="00C23FBC" w:rsidRDefault="00935D04" w:rsidP="009F2C47">
            <w:pPr>
              <w:pStyle w:val="Tabla"/>
              <w:keepNext w:val="0"/>
              <w:keepLines w:val="0"/>
              <w:spacing w:line="480" w:lineRule="auto"/>
              <w:rPr>
                <w:rFonts w:ascii="Times New Roman" w:eastAsia="Times New Roman" w:hAnsi="Times New Roman"/>
                <w:color w:val="auto"/>
                <w:sz w:val="24"/>
                <w:lang w:val="es-AR" w:eastAsia="es-AR"/>
              </w:rPr>
            </w:pPr>
          </w:p>
        </w:tc>
        <w:tc>
          <w:tcPr>
            <w:tcW w:w="808" w:type="pct"/>
            <w:tcBorders>
              <w:top w:val="nil"/>
              <w:left w:val="nil"/>
              <w:bottom w:val="nil"/>
              <w:right w:val="nil"/>
            </w:tcBorders>
            <w:noWrap/>
            <w:vAlign w:val="center"/>
          </w:tcPr>
          <w:p w14:paraId="1B537FB9" w14:textId="77777777" w:rsidR="00935D04" w:rsidRPr="00F616B4" w:rsidRDefault="00935D04" w:rsidP="009F2C47">
            <w:pPr>
              <w:pStyle w:val="Tabla"/>
              <w:keepNext w:val="0"/>
              <w:keepLines w:val="0"/>
              <w:spacing w:line="480" w:lineRule="auto"/>
              <w:rPr>
                <w:rFonts w:ascii="Times New Roman" w:eastAsia="Times New Roman" w:hAnsi="Times New Roman"/>
                <w:color w:val="auto"/>
                <w:sz w:val="24"/>
                <w:lang w:val="en-US" w:eastAsia="es-AR"/>
              </w:rPr>
            </w:pPr>
            <w:r w:rsidRPr="00F616B4">
              <w:rPr>
                <w:rFonts w:ascii="Times New Roman" w:eastAsia="Times New Roman" w:hAnsi="Times New Roman"/>
                <w:color w:val="auto"/>
                <w:sz w:val="24"/>
                <w:lang w:val="en-US" w:eastAsia="es-AR"/>
              </w:rPr>
              <w:t xml:space="preserve">3 </w:t>
            </w:r>
            <w:proofErr w:type="gramStart"/>
            <w:r w:rsidRPr="00F616B4">
              <w:rPr>
                <w:rFonts w:ascii="Times New Roman" w:eastAsia="Times New Roman" w:hAnsi="Times New Roman"/>
                <w:color w:val="auto"/>
                <w:sz w:val="24"/>
                <w:lang w:val="en-US" w:eastAsia="es-AR"/>
              </w:rPr>
              <w:t>inferior</w:t>
            </w:r>
            <w:proofErr w:type="gramEnd"/>
          </w:p>
        </w:tc>
        <w:tc>
          <w:tcPr>
            <w:tcW w:w="1768" w:type="pct"/>
            <w:tcBorders>
              <w:top w:val="nil"/>
              <w:left w:val="nil"/>
              <w:bottom w:val="nil"/>
              <w:right w:val="nil"/>
            </w:tcBorders>
            <w:noWrap/>
            <w:vAlign w:val="center"/>
          </w:tcPr>
          <w:p w14:paraId="6D57A197" w14:textId="77777777" w:rsidR="00935D04" w:rsidRPr="00C23FBC" w:rsidRDefault="00935D04" w:rsidP="009F2C47">
            <w:pPr>
              <w:pStyle w:val="Tabla"/>
              <w:keepNext w:val="0"/>
              <w:keepLines w:val="0"/>
              <w:spacing w:line="480" w:lineRule="auto"/>
              <w:rPr>
                <w:rFonts w:ascii="Times New Roman" w:eastAsia="Times New Roman" w:hAnsi="Times New Roman"/>
                <w:color w:val="auto"/>
                <w:sz w:val="24"/>
                <w:lang w:val="es-AR" w:eastAsia="es-AR"/>
              </w:rPr>
            </w:pPr>
            <w:r w:rsidRPr="00C23FBC">
              <w:rPr>
                <w:rFonts w:ascii="Times New Roman" w:eastAsia="Times New Roman" w:hAnsi="Times New Roman"/>
                <w:color w:val="auto"/>
                <w:sz w:val="24"/>
                <w:lang w:val="es-AR" w:eastAsia="es-AR"/>
              </w:rPr>
              <w:t xml:space="preserve">AA-45705: 10.250 ± 110 </w:t>
            </w:r>
            <w:proofErr w:type="spellStart"/>
            <w:r w:rsidRPr="00C23FBC">
              <w:rPr>
                <w:rFonts w:ascii="Times New Roman" w:eastAsia="Times New Roman" w:hAnsi="Times New Roman"/>
                <w:color w:val="auto"/>
                <w:sz w:val="24"/>
                <w:lang w:val="es-AR" w:eastAsia="es-AR"/>
              </w:rPr>
              <w:t>aP</w:t>
            </w:r>
            <w:proofErr w:type="spellEnd"/>
          </w:p>
        </w:tc>
        <w:tc>
          <w:tcPr>
            <w:tcW w:w="1727" w:type="pct"/>
            <w:vMerge/>
            <w:tcBorders>
              <w:top w:val="nil"/>
              <w:left w:val="nil"/>
              <w:bottom w:val="nil"/>
              <w:right w:val="nil"/>
            </w:tcBorders>
            <w:vAlign w:val="center"/>
          </w:tcPr>
          <w:p w14:paraId="55DEFF56" w14:textId="77777777" w:rsidR="00935D04" w:rsidRPr="00C23FBC" w:rsidRDefault="00935D04" w:rsidP="009F2C47">
            <w:pPr>
              <w:pStyle w:val="Tabla"/>
              <w:keepNext w:val="0"/>
              <w:keepLines w:val="0"/>
              <w:spacing w:line="480" w:lineRule="auto"/>
              <w:rPr>
                <w:rFonts w:ascii="Times New Roman" w:eastAsia="Times New Roman" w:hAnsi="Times New Roman"/>
                <w:b/>
                <w:bCs/>
                <w:color w:val="auto"/>
                <w:sz w:val="24"/>
                <w:lang w:val="es-AR" w:eastAsia="es-AR"/>
              </w:rPr>
            </w:pPr>
          </w:p>
        </w:tc>
      </w:tr>
      <w:tr w:rsidR="00935D04" w:rsidRPr="00F616B4" w14:paraId="7A67039D" w14:textId="77777777" w:rsidTr="002E59C6">
        <w:trPr>
          <w:trHeight w:val="1278"/>
          <w:jc w:val="center"/>
        </w:trPr>
        <w:tc>
          <w:tcPr>
            <w:tcW w:w="698" w:type="pct"/>
            <w:tcBorders>
              <w:top w:val="nil"/>
              <w:left w:val="nil"/>
              <w:bottom w:val="nil"/>
              <w:right w:val="nil"/>
            </w:tcBorders>
            <w:vAlign w:val="center"/>
          </w:tcPr>
          <w:p w14:paraId="16A2825A" w14:textId="77777777" w:rsidR="00935D04" w:rsidRPr="00F616B4" w:rsidRDefault="00935D04" w:rsidP="009F2C47">
            <w:pPr>
              <w:pStyle w:val="Tabla"/>
              <w:keepNext w:val="0"/>
              <w:keepLines w:val="0"/>
              <w:spacing w:line="480" w:lineRule="auto"/>
              <w:rPr>
                <w:rFonts w:ascii="Times New Roman" w:eastAsia="Times New Roman" w:hAnsi="Times New Roman"/>
                <w:color w:val="auto"/>
                <w:sz w:val="24"/>
                <w:lang w:val="en-US" w:eastAsia="es-AR"/>
              </w:rPr>
            </w:pPr>
            <w:r w:rsidRPr="00F616B4">
              <w:rPr>
                <w:rFonts w:ascii="Times New Roman" w:eastAsia="Times New Roman" w:hAnsi="Times New Roman"/>
                <w:color w:val="auto"/>
                <w:sz w:val="24"/>
                <w:lang w:val="en-US" w:eastAsia="es-AR"/>
              </w:rPr>
              <w:t>CT</w:t>
            </w:r>
          </w:p>
        </w:tc>
        <w:tc>
          <w:tcPr>
            <w:tcW w:w="808" w:type="pct"/>
            <w:tcBorders>
              <w:top w:val="nil"/>
              <w:left w:val="nil"/>
              <w:bottom w:val="nil"/>
              <w:right w:val="nil"/>
            </w:tcBorders>
            <w:noWrap/>
            <w:vAlign w:val="center"/>
          </w:tcPr>
          <w:p w14:paraId="736F80A6" w14:textId="77777777" w:rsidR="00935D04" w:rsidRPr="00C23FBC" w:rsidRDefault="00935D04" w:rsidP="009F2C47">
            <w:pPr>
              <w:pStyle w:val="Tabla"/>
              <w:keepNext w:val="0"/>
              <w:keepLines w:val="0"/>
              <w:spacing w:line="480" w:lineRule="auto"/>
              <w:rPr>
                <w:rFonts w:ascii="Times New Roman" w:eastAsia="Times New Roman" w:hAnsi="Times New Roman"/>
                <w:color w:val="auto"/>
                <w:sz w:val="24"/>
                <w:lang w:val="es-AR" w:eastAsia="es-AR"/>
              </w:rPr>
            </w:pPr>
            <w:r w:rsidRPr="00C23FBC">
              <w:rPr>
                <w:rFonts w:ascii="Times New Roman" w:eastAsia="Times New Roman" w:hAnsi="Times New Roman"/>
                <w:color w:val="auto"/>
                <w:sz w:val="24"/>
                <w:lang w:val="es-AR" w:eastAsia="es-AR"/>
              </w:rPr>
              <w:t xml:space="preserve">Comp. </w:t>
            </w:r>
            <w:r>
              <w:rPr>
                <w:rFonts w:ascii="Times New Roman" w:eastAsia="Times New Roman" w:hAnsi="Times New Roman"/>
                <w:color w:val="auto"/>
                <w:sz w:val="24"/>
                <w:lang w:val="es-AR" w:eastAsia="es-AR"/>
              </w:rPr>
              <w:t>i</w:t>
            </w:r>
            <w:r w:rsidRPr="00C23FBC">
              <w:rPr>
                <w:rFonts w:ascii="Times New Roman" w:eastAsia="Times New Roman" w:hAnsi="Times New Roman"/>
                <w:color w:val="auto"/>
                <w:sz w:val="24"/>
                <w:lang w:val="es-AR" w:eastAsia="es-AR"/>
              </w:rPr>
              <w:t>nf</w:t>
            </w:r>
            <w:r>
              <w:rPr>
                <w:rFonts w:ascii="Times New Roman" w:eastAsia="Times New Roman" w:hAnsi="Times New Roman"/>
                <w:color w:val="auto"/>
                <w:sz w:val="24"/>
                <w:lang w:val="es-AR" w:eastAsia="es-AR"/>
              </w:rPr>
              <w:t>erior</w:t>
            </w:r>
          </w:p>
        </w:tc>
        <w:tc>
          <w:tcPr>
            <w:tcW w:w="1768" w:type="pct"/>
            <w:tcBorders>
              <w:top w:val="nil"/>
              <w:left w:val="nil"/>
              <w:bottom w:val="nil"/>
              <w:right w:val="nil"/>
            </w:tcBorders>
            <w:noWrap/>
            <w:vAlign w:val="center"/>
          </w:tcPr>
          <w:p w14:paraId="17A744DC" w14:textId="77777777" w:rsidR="00935D04" w:rsidRPr="00810148" w:rsidRDefault="00935D04" w:rsidP="009F2C47">
            <w:pPr>
              <w:pStyle w:val="Tabla"/>
              <w:keepNext w:val="0"/>
              <w:keepLines w:val="0"/>
              <w:spacing w:line="480" w:lineRule="auto"/>
              <w:rPr>
                <w:rFonts w:ascii="Times New Roman" w:eastAsia="Times New Roman" w:hAnsi="Times New Roman"/>
                <w:color w:val="auto"/>
                <w:sz w:val="24"/>
                <w:lang w:val="en-US" w:eastAsia="es-AR"/>
              </w:rPr>
            </w:pPr>
            <w:r w:rsidRPr="00810148">
              <w:rPr>
                <w:rFonts w:ascii="Times New Roman" w:eastAsia="Times New Roman" w:hAnsi="Times New Roman"/>
                <w:color w:val="auto"/>
                <w:sz w:val="24"/>
                <w:lang w:val="en-US" w:eastAsia="es-AR"/>
              </w:rPr>
              <w:t xml:space="preserve">AA-71148: 10.400 ± 100 </w:t>
            </w:r>
            <w:proofErr w:type="spellStart"/>
            <w:r w:rsidRPr="00810148">
              <w:rPr>
                <w:rFonts w:ascii="Times New Roman" w:eastAsia="Times New Roman" w:hAnsi="Times New Roman"/>
                <w:color w:val="auto"/>
                <w:sz w:val="24"/>
                <w:lang w:val="en-US" w:eastAsia="es-AR"/>
              </w:rPr>
              <w:t>aP</w:t>
            </w:r>
            <w:proofErr w:type="spellEnd"/>
          </w:p>
          <w:p w14:paraId="07097CC6" w14:textId="77777777" w:rsidR="00935D04" w:rsidRPr="00810148" w:rsidRDefault="00935D04" w:rsidP="009F2C47">
            <w:pPr>
              <w:pStyle w:val="Tabla"/>
              <w:keepNext w:val="0"/>
              <w:keepLines w:val="0"/>
              <w:spacing w:line="480" w:lineRule="auto"/>
              <w:rPr>
                <w:rFonts w:ascii="Times New Roman" w:eastAsia="Times New Roman" w:hAnsi="Times New Roman"/>
                <w:color w:val="auto"/>
                <w:sz w:val="24"/>
                <w:lang w:val="en-US" w:eastAsia="es-AR"/>
              </w:rPr>
            </w:pPr>
            <w:r w:rsidRPr="00810148">
              <w:rPr>
                <w:rFonts w:ascii="Times New Roman" w:eastAsia="Times New Roman" w:hAnsi="Times New Roman"/>
                <w:color w:val="auto"/>
                <w:sz w:val="24"/>
                <w:lang w:val="en-US" w:eastAsia="es-AR"/>
              </w:rPr>
              <w:t xml:space="preserve">AA-71147: 10.408 ± 59 </w:t>
            </w:r>
            <w:proofErr w:type="spellStart"/>
            <w:r w:rsidRPr="00810148">
              <w:rPr>
                <w:rFonts w:ascii="Times New Roman" w:eastAsia="Times New Roman" w:hAnsi="Times New Roman"/>
                <w:color w:val="auto"/>
                <w:sz w:val="24"/>
                <w:lang w:val="en-US" w:eastAsia="es-AR"/>
              </w:rPr>
              <w:t>aP</w:t>
            </w:r>
            <w:proofErr w:type="spellEnd"/>
          </w:p>
          <w:p w14:paraId="12046B09" w14:textId="77777777" w:rsidR="00935D04" w:rsidRPr="00810148" w:rsidRDefault="00935D04" w:rsidP="009F2C47">
            <w:pPr>
              <w:pStyle w:val="Tabla"/>
              <w:keepNext w:val="0"/>
              <w:keepLines w:val="0"/>
              <w:spacing w:line="480" w:lineRule="auto"/>
              <w:rPr>
                <w:rFonts w:ascii="Times New Roman" w:eastAsia="Times New Roman" w:hAnsi="Times New Roman"/>
                <w:color w:val="auto"/>
                <w:sz w:val="24"/>
                <w:lang w:val="en-US" w:eastAsia="es-AR"/>
              </w:rPr>
            </w:pPr>
            <w:r w:rsidRPr="00810148">
              <w:rPr>
                <w:rFonts w:ascii="Times New Roman" w:eastAsia="Times New Roman" w:hAnsi="Times New Roman"/>
                <w:color w:val="auto"/>
                <w:sz w:val="24"/>
                <w:lang w:val="en-US" w:eastAsia="es-AR"/>
              </w:rPr>
              <w:t xml:space="preserve">LP-1965: 10.420 ± 180 </w:t>
            </w:r>
            <w:proofErr w:type="spellStart"/>
            <w:r w:rsidRPr="00810148">
              <w:rPr>
                <w:rFonts w:ascii="Times New Roman" w:eastAsia="Times New Roman" w:hAnsi="Times New Roman"/>
                <w:color w:val="auto"/>
                <w:sz w:val="24"/>
                <w:lang w:val="en-US" w:eastAsia="es-AR"/>
              </w:rPr>
              <w:t>aP</w:t>
            </w:r>
            <w:proofErr w:type="spellEnd"/>
          </w:p>
          <w:p w14:paraId="4E8AE719" w14:textId="77777777" w:rsidR="00935D04" w:rsidRPr="00C23FBC" w:rsidRDefault="00935D04" w:rsidP="009F2C47">
            <w:pPr>
              <w:pStyle w:val="Tabla"/>
              <w:keepNext w:val="0"/>
              <w:keepLines w:val="0"/>
              <w:spacing w:line="480" w:lineRule="auto"/>
              <w:rPr>
                <w:rFonts w:ascii="Times New Roman" w:eastAsia="Times New Roman" w:hAnsi="Times New Roman"/>
                <w:color w:val="auto"/>
                <w:sz w:val="24"/>
                <w:lang w:val="es-AR" w:eastAsia="es-AR"/>
              </w:rPr>
            </w:pPr>
            <w:r w:rsidRPr="00C23FBC">
              <w:rPr>
                <w:rFonts w:ascii="Times New Roman" w:eastAsia="Times New Roman" w:hAnsi="Times New Roman"/>
                <w:color w:val="auto"/>
                <w:sz w:val="24"/>
                <w:lang w:val="es-AR" w:eastAsia="es-AR"/>
              </w:rPr>
              <w:t xml:space="preserve">AA-82496: 10.510 ± 100 </w:t>
            </w:r>
            <w:proofErr w:type="spellStart"/>
            <w:r w:rsidRPr="00C23FBC">
              <w:rPr>
                <w:rFonts w:ascii="Times New Roman" w:eastAsia="Times New Roman" w:hAnsi="Times New Roman"/>
                <w:color w:val="auto"/>
                <w:sz w:val="24"/>
                <w:lang w:val="es-AR" w:eastAsia="es-AR"/>
              </w:rPr>
              <w:t>aP</w:t>
            </w:r>
            <w:proofErr w:type="spellEnd"/>
          </w:p>
        </w:tc>
        <w:tc>
          <w:tcPr>
            <w:tcW w:w="1727" w:type="pct"/>
            <w:tcBorders>
              <w:top w:val="nil"/>
              <w:left w:val="nil"/>
              <w:bottom w:val="nil"/>
              <w:right w:val="nil"/>
            </w:tcBorders>
            <w:vAlign w:val="center"/>
          </w:tcPr>
          <w:p w14:paraId="41D09814" w14:textId="77777777" w:rsidR="00935D04" w:rsidRPr="00C23FBC" w:rsidRDefault="00935D04" w:rsidP="009F2C47">
            <w:pPr>
              <w:pStyle w:val="Tabla"/>
              <w:keepNext w:val="0"/>
              <w:keepLines w:val="0"/>
              <w:spacing w:line="480" w:lineRule="auto"/>
              <w:rPr>
                <w:rFonts w:ascii="Times New Roman" w:eastAsia="Times New Roman" w:hAnsi="Times New Roman"/>
                <w:noProof/>
                <w:color w:val="auto"/>
                <w:sz w:val="24"/>
                <w:lang w:val="es-AR" w:eastAsia="es-AR"/>
              </w:rPr>
            </w:pPr>
            <w:r>
              <w:rPr>
                <w:rFonts w:ascii="Times New Roman" w:eastAsia="Times New Roman" w:hAnsi="Times New Roman"/>
                <w:noProof/>
                <w:color w:val="auto"/>
                <w:sz w:val="24"/>
                <w:lang w:val="es-AR" w:eastAsia="es-AR"/>
              </w:rPr>
              <w:t>Paunero et al. (2015)</w:t>
            </w:r>
          </w:p>
        </w:tc>
      </w:tr>
      <w:tr w:rsidR="00935D04" w:rsidRPr="00F616B4" w14:paraId="7962343E" w14:textId="77777777" w:rsidTr="002E59C6">
        <w:trPr>
          <w:trHeight w:val="559"/>
          <w:jc w:val="center"/>
        </w:trPr>
        <w:tc>
          <w:tcPr>
            <w:tcW w:w="698" w:type="pct"/>
            <w:tcBorders>
              <w:top w:val="nil"/>
              <w:left w:val="nil"/>
              <w:bottom w:val="nil"/>
              <w:right w:val="nil"/>
            </w:tcBorders>
            <w:vAlign w:val="center"/>
          </w:tcPr>
          <w:p w14:paraId="5D02A1C2" w14:textId="77777777" w:rsidR="00935D04" w:rsidRPr="00F616B4" w:rsidRDefault="00935D04" w:rsidP="009F2C47">
            <w:pPr>
              <w:pStyle w:val="Tabla"/>
              <w:keepNext w:val="0"/>
              <w:keepLines w:val="0"/>
              <w:spacing w:line="480" w:lineRule="auto"/>
              <w:rPr>
                <w:rFonts w:ascii="Times New Roman" w:eastAsia="Times New Roman" w:hAnsi="Times New Roman"/>
                <w:color w:val="auto"/>
                <w:sz w:val="24"/>
                <w:lang w:val="en-US" w:eastAsia="es-AR"/>
              </w:rPr>
            </w:pPr>
            <w:r w:rsidRPr="00F616B4">
              <w:rPr>
                <w:rFonts w:ascii="Times New Roman" w:eastAsia="Times New Roman" w:hAnsi="Times New Roman"/>
                <w:color w:val="auto"/>
                <w:sz w:val="24"/>
                <w:lang w:val="en-US" w:eastAsia="es-AR"/>
              </w:rPr>
              <w:t>LT3</w:t>
            </w:r>
          </w:p>
        </w:tc>
        <w:tc>
          <w:tcPr>
            <w:tcW w:w="808" w:type="pct"/>
            <w:tcBorders>
              <w:top w:val="nil"/>
              <w:left w:val="nil"/>
              <w:bottom w:val="nil"/>
              <w:right w:val="nil"/>
            </w:tcBorders>
            <w:noWrap/>
            <w:vAlign w:val="center"/>
          </w:tcPr>
          <w:p w14:paraId="490475E7" w14:textId="77777777" w:rsidR="00935D04" w:rsidRPr="00F616B4" w:rsidRDefault="00935D04" w:rsidP="009F2C47">
            <w:pPr>
              <w:pStyle w:val="Tabla"/>
              <w:keepNext w:val="0"/>
              <w:keepLines w:val="0"/>
              <w:spacing w:line="480" w:lineRule="auto"/>
              <w:rPr>
                <w:rFonts w:ascii="Times New Roman" w:eastAsia="Times New Roman" w:hAnsi="Times New Roman"/>
                <w:color w:val="auto"/>
                <w:sz w:val="24"/>
                <w:lang w:val="en-US" w:eastAsia="es-AR"/>
              </w:rPr>
            </w:pPr>
            <w:r w:rsidRPr="00F616B4">
              <w:rPr>
                <w:rFonts w:ascii="Times New Roman" w:eastAsia="Times New Roman" w:hAnsi="Times New Roman"/>
                <w:color w:val="auto"/>
                <w:sz w:val="24"/>
                <w:lang w:val="en-US" w:eastAsia="es-AR"/>
              </w:rPr>
              <w:t>11</w:t>
            </w:r>
          </w:p>
        </w:tc>
        <w:tc>
          <w:tcPr>
            <w:tcW w:w="1768" w:type="pct"/>
            <w:tcBorders>
              <w:top w:val="nil"/>
              <w:left w:val="nil"/>
              <w:bottom w:val="nil"/>
              <w:right w:val="nil"/>
            </w:tcBorders>
            <w:noWrap/>
            <w:vAlign w:val="center"/>
          </w:tcPr>
          <w:p w14:paraId="4B2C045F" w14:textId="77777777" w:rsidR="00935D04" w:rsidRPr="00C23FBC" w:rsidRDefault="00935D04" w:rsidP="009F2C47">
            <w:pPr>
              <w:pStyle w:val="Tabla"/>
              <w:keepNext w:val="0"/>
              <w:keepLines w:val="0"/>
              <w:spacing w:line="480" w:lineRule="auto"/>
              <w:rPr>
                <w:rFonts w:ascii="Times New Roman" w:eastAsia="Times New Roman" w:hAnsi="Times New Roman"/>
                <w:color w:val="auto"/>
                <w:sz w:val="24"/>
                <w:lang w:val="es-AR" w:eastAsia="es-AR"/>
              </w:rPr>
            </w:pPr>
            <w:r w:rsidRPr="00C23FBC">
              <w:rPr>
                <w:rFonts w:ascii="Times New Roman" w:eastAsia="Times New Roman" w:hAnsi="Times New Roman"/>
                <w:color w:val="auto"/>
                <w:sz w:val="24"/>
                <w:lang w:val="es-AR" w:eastAsia="es-AR"/>
              </w:rPr>
              <w:t xml:space="preserve">FRA-98: 12.600 ± 600 </w:t>
            </w:r>
            <w:proofErr w:type="spellStart"/>
            <w:r w:rsidRPr="00C23FBC">
              <w:rPr>
                <w:rFonts w:ascii="Times New Roman" w:eastAsia="Times New Roman" w:hAnsi="Times New Roman"/>
                <w:color w:val="auto"/>
                <w:sz w:val="24"/>
                <w:lang w:val="es-AR" w:eastAsia="es-AR"/>
              </w:rPr>
              <w:t>aP</w:t>
            </w:r>
            <w:proofErr w:type="spellEnd"/>
          </w:p>
        </w:tc>
        <w:tc>
          <w:tcPr>
            <w:tcW w:w="1727" w:type="pct"/>
            <w:tcBorders>
              <w:top w:val="nil"/>
              <w:left w:val="nil"/>
              <w:bottom w:val="nil"/>
              <w:right w:val="nil"/>
            </w:tcBorders>
            <w:vAlign w:val="center"/>
          </w:tcPr>
          <w:p w14:paraId="72B0881A" w14:textId="77777777" w:rsidR="00935D04" w:rsidRPr="00C23FBC" w:rsidRDefault="00935D04" w:rsidP="009F2C47">
            <w:pPr>
              <w:pStyle w:val="Tabla"/>
              <w:keepNext w:val="0"/>
              <w:keepLines w:val="0"/>
              <w:spacing w:line="480" w:lineRule="auto"/>
              <w:rPr>
                <w:rFonts w:ascii="Times New Roman" w:eastAsia="Times New Roman" w:hAnsi="Times New Roman"/>
                <w:color w:val="auto"/>
                <w:sz w:val="24"/>
                <w:lang w:val="es-AR" w:eastAsia="es-AR"/>
              </w:rPr>
            </w:pPr>
            <w:r>
              <w:rPr>
                <w:rFonts w:ascii="Times New Roman" w:eastAsia="Times New Roman" w:hAnsi="Times New Roman"/>
                <w:noProof/>
                <w:color w:val="auto"/>
                <w:sz w:val="24"/>
                <w:lang w:val="es-AR" w:eastAsia="es-AR"/>
              </w:rPr>
              <w:t>Cardich et al. (1973)</w:t>
            </w:r>
          </w:p>
        </w:tc>
      </w:tr>
      <w:tr w:rsidR="00935D04" w:rsidRPr="00F616B4" w14:paraId="5EE175E3" w14:textId="77777777" w:rsidTr="002E59C6">
        <w:trPr>
          <w:trHeight w:val="862"/>
          <w:jc w:val="center"/>
        </w:trPr>
        <w:tc>
          <w:tcPr>
            <w:tcW w:w="698" w:type="pct"/>
            <w:vMerge w:val="restart"/>
            <w:tcBorders>
              <w:top w:val="nil"/>
              <w:left w:val="nil"/>
              <w:bottom w:val="nil"/>
              <w:right w:val="nil"/>
            </w:tcBorders>
            <w:vAlign w:val="center"/>
          </w:tcPr>
          <w:p w14:paraId="477B36D1" w14:textId="77777777" w:rsidR="00935D04" w:rsidRPr="00F616B4" w:rsidRDefault="00935D04" w:rsidP="009F2C47">
            <w:pPr>
              <w:pStyle w:val="Tabla"/>
              <w:keepNext w:val="0"/>
              <w:keepLines w:val="0"/>
              <w:spacing w:line="480" w:lineRule="auto"/>
              <w:rPr>
                <w:rFonts w:ascii="Times New Roman" w:eastAsia="Times New Roman" w:hAnsi="Times New Roman"/>
                <w:color w:val="auto"/>
                <w:sz w:val="24"/>
                <w:lang w:val="en-US" w:eastAsia="es-AR"/>
              </w:rPr>
            </w:pPr>
            <w:r w:rsidRPr="00F616B4">
              <w:rPr>
                <w:rFonts w:ascii="Times New Roman" w:eastAsia="Times New Roman" w:hAnsi="Times New Roman"/>
                <w:color w:val="auto"/>
                <w:sz w:val="24"/>
                <w:lang w:val="en-US" w:eastAsia="es-AR"/>
              </w:rPr>
              <w:t>AEP1</w:t>
            </w:r>
          </w:p>
        </w:tc>
        <w:tc>
          <w:tcPr>
            <w:tcW w:w="808" w:type="pct"/>
            <w:tcBorders>
              <w:top w:val="nil"/>
              <w:left w:val="nil"/>
              <w:bottom w:val="nil"/>
              <w:right w:val="nil"/>
            </w:tcBorders>
            <w:noWrap/>
            <w:vAlign w:val="center"/>
          </w:tcPr>
          <w:p w14:paraId="5CF2D959" w14:textId="77777777" w:rsidR="00935D04" w:rsidRPr="00F616B4" w:rsidRDefault="00935D04" w:rsidP="009F2C47">
            <w:pPr>
              <w:pStyle w:val="Tabla"/>
              <w:keepNext w:val="0"/>
              <w:keepLines w:val="0"/>
              <w:spacing w:line="480" w:lineRule="auto"/>
              <w:rPr>
                <w:rFonts w:ascii="Times New Roman" w:eastAsia="Times New Roman" w:hAnsi="Times New Roman"/>
                <w:color w:val="auto"/>
                <w:sz w:val="24"/>
                <w:lang w:val="en-US" w:eastAsia="es-AR"/>
              </w:rPr>
            </w:pPr>
            <w:r w:rsidRPr="00F616B4">
              <w:rPr>
                <w:rFonts w:ascii="Times New Roman" w:eastAsia="Times New Roman" w:hAnsi="Times New Roman"/>
                <w:color w:val="auto"/>
                <w:sz w:val="24"/>
                <w:lang w:val="en-US" w:eastAsia="es-AR"/>
              </w:rPr>
              <w:t>Unidad 6</w:t>
            </w:r>
          </w:p>
        </w:tc>
        <w:tc>
          <w:tcPr>
            <w:tcW w:w="1768" w:type="pct"/>
            <w:tcBorders>
              <w:top w:val="nil"/>
              <w:left w:val="nil"/>
              <w:bottom w:val="nil"/>
              <w:right w:val="nil"/>
            </w:tcBorders>
            <w:noWrap/>
            <w:vAlign w:val="center"/>
          </w:tcPr>
          <w:p w14:paraId="6B891AF9" w14:textId="77777777" w:rsidR="00935D04" w:rsidRPr="00674050" w:rsidRDefault="00935D04" w:rsidP="009F2C47">
            <w:pPr>
              <w:pStyle w:val="Tabla"/>
              <w:keepNext w:val="0"/>
              <w:keepLines w:val="0"/>
              <w:spacing w:line="480" w:lineRule="auto"/>
              <w:rPr>
                <w:rFonts w:ascii="Times New Roman" w:eastAsia="Times New Roman" w:hAnsi="Times New Roman"/>
                <w:color w:val="auto"/>
                <w:sz w:val="24"/>
                <w:lang w:val="pt-BR" w:eastAsia="es-AR"/>
              </w:rPr>
            </w:pPr>
            <w:r w:rsidRPr="00674050">
              <w:rPr>
                <w:rFonts w:ascii="Times New Roman" w:eastAsia="Times New Roman" w:hAnsi="Times New Roman"/>
                <w:color w:val="auto"/>
                <w:sz w:val="24"/>
                <w:lang w:val="pt-BR" w:eastAsia="es-AR"/>
              </w:rPr>
              <w:t xml:space="preserve">AA-20125: 12.890±90 </w:t>
            </w:r>
            <w:proofErr w:type="spellStart"/>
            <w:r w:rsidRPr="00674050">
              <w:rPr>
                <w:rFonts w:ascii="Times New Roman" w:eastAsia="Times New Roman" w:hAnsi="Times New Roman"/>
                <w:color w:val="auto"/>
                <w:sz w:val="24"/>
                <w:lang w:val="pt-BR" w:eastAsia="es-AR"/>
              </w:rPr>
              <w:t>aP</w:t>
            </w:r>
            <w:proofErr w:type="spellEnd"/>
          </w:p>
          <w:p w14:paraId="05DCB507" w14:textId="77777777" w:rsidR="00935D04" w:rsidRPr="00674050" w:rsidRDefault="00935D04" w:rsidP="009F2C47">
            <w:pPr>
              <w:pStyle w:val="Tabla"/>
              <w:keepNext w:val="0"/>
              <w:keepLines w:val="0"/>
              <w:spacing w:line="480" w:lineRule="auto"/>
              <w:rPr>
                <w:rFonts w:ascii="Times New Roman" w:eastAsia="Times New Roman" w:hAnsi="Times New Roman"/>
                <w:color w:val="auto"/>
                <w:sz w:val="24"/>
                <w:lang w:val="pt-BR" w:eastAsia="es-AR"/>
              </w:rPr>
            </w:pPr>
            <w:r w:rsidRPr="00674050">
              <w:rPr>
                <w:rFonts w:ascii="Times New Roman" w:eastAsia="Times New Roman" w:hAnsi="Times New Roman"/>
                <w:color w:val="auto"/>
                <w:sz w:val="24"/>
                <w:lang w:val="pt-BR" w:eastAsia="es-AR"/>
              </w:rPr>
              <w:t xml:space="preserve">AA-27950: 11.000±65 </w:t>
            </w:r>
            <w:proofErr w:type="spellStart"/>
            <w:r w:rsidRPr="00674050">
              <w:rPr>
                <w:rFonts w:ascii="Times New Roman" w:eastAsia="Times New Roman" w:hAnsi="Times New Roman"/>
                <w:color w:val="auto"/>
                <w:sz w:val="24"/>
                <w:lang w:val="pt-BR" w:eastAsia="es-AR"/>
              </w:rPr>
              <w:t>aP</w:t>
            </w:r>
            <w:proofErr w:type="spellEnd"/>
          </w:p>
          <w:p w14:paraId="7F1976AD" w14:textId="77777777" w:rsidR="00935D04" w:rsidRPr="00674050" w:rsidRDefault="00935D04" w:rsidP="009F2C47">
            <w:pPr>
              <w:pStyle w:val="Tabla"/>
              <w:keepNext w:val="0"/>
              <w:keepLines w:val="0"/>
              <w:spacing w:line="480" w:lineRule="auto"/>
              <w:rPr>
                <w:rFonts w:ascii="Times New Roman" w:eastAsia="Times New Roman" w:hAnsi="Times New Roman"/>
                <w:color w:val="auto"/>
                <w:sz w:val="24"/>
                <w:lang w:val="pt-BR" w:eastAsia="es-AR"/>
              </w:rPr>
            </w:pPr>
            <w:r w:rsidRPr="00674050">
              <w:rPr>
                <w:rFonts w:ascii="Times New Roman" w:eastAsia="Times New Roman" w:hAnsi="Times New Roman"/>
                <w:color w:val="auto"/>
                <w:sz w:val="24"/>
                <w:lang w:val="pt-BR" w:eastAsia="es-AR"/>
              </w:rPr>
              <w:t xml:space="preserve">OxA8528: 10.925±65 </w:t>
            </w:r>
            <w:proofErr w:type="spellStart"/>
            <w:r w:rsidRPr="00674050">
              <w:rPr>
                <w:rFonts w:ascii="Times New Roman" w:eastAsia="Times New Roman" w:hAnsi="Times New Roman"/>
                <w:color w:val="auto"/>
                <w:sz w:val="24"/>
                <w:lang w:val="pt-BR" w:eastAsia="es-AR"/>
              </w:rPr>
              <w:t>aP</w:t>
            </w:r>
            <w:proofErr w:type="spellEnd"/>
          </w:p>
        </w:tc>
        <w:tc>
          <w:tcPr>
            <w:tcW w:w="1727" w:type="pct"/>
            <w:vMerge w:val="restart"/>
            <w:tcBorders>
              <w:top w:val="nil"/>
              <w:left w:val="nil"/>
              <w:bottom w:val="nil"/>
              <w:right w:val="nil"/>
            </w:tcBorders>
            <w:vAlign w:val="center"/>
          </w:tcPr>
          <w:p w14:paraId="0EEAC057" w14:textId="77777777" w:rsidR="00935D04" w:rsidRPr="00810148" w:rsidRDefault="00935D04" w:rsidP="009F2C47">
            <w:pPr>
              <w:pStyle w:val="Tabla"/>
              <w:keepNext w:val="0"/>
              <w:keepLines w:val="0"/>
              <w:spacing w:line="480" w:lineRule="auto"/>
              <w:rPr>
                <w:rFonts w:ascii="Times New Roman" w:eastAsia="Times New Roman" w:hAnsi="Times New Roman"/>
                <w:noProof/>
                <w:color w:val="auto"/>
                <w:sz w:val="24"/>
                <w:lang w:val="fr-FR" w:eastAsia="es-AR"/>
              </w:rPr>
            </w:pPr>
            <w:r>
              <w:rPr>
                <w:rFonts w:ascii="Times New Roman" w:eastAsia="Times New Roman" w:hAnsi="Times New Roman"/>
                <w:noProof/>
                <w:color w:val="auto"/>
                <w:sz w:val="24"/>
                <w:lang w:val="fr-FR" w:eastAsia="es-AR"/>
              </w:rPr>
              <w:t>Miotti et al. (2000); Miotti et al. (1999)</w:t>
            </w:r>
          </w:p>
        </w:tc>
      </w:tr>
      <w:tr w:rsidR="00935D04" w:rsidRPr="00F616B4" w14:paraId="7EE5166D" w14:textId="77777777" w:rsidTr="002E59C6">
        <w:trPr>
          <w:trHeight w:val="692"/>
          <w:jc w:val="center"/>
        </w:trPr>
        <w:tc>
          <w:tcPr>
            <w:tcW w:w="698" w:type="pct"/>
            <w:vMerge/>
            <w:tcBorders>
              <w:top w:val="nil"/>
              <w:left w:val="nil"/>
              <w:bottom w:val="nil"/>
              <w:right w:val="nil"/>
            </w:tcBorders>
            <w:vAlign w:val="center"/>
          </w:tcPr>
          <w:p w14:paraId="0A746CB8" w14:textId="77777777" w:rsidR="00935D04" w:rsidRPr="00C23FBC" w:rsidRDefault="00935D04" w:rsidP="009F2C47">
            <w:pPr>
              <w:pStyle w:val="Tabla"/>
              <w:keepNext w:val="0"/>
              <w:keepLines w:val="0"/>
              <w:spacing w:line="480" w:lineRule="auto"/>
              <w:rPr>
                <w:rFonts w:ascii="Times New Roman" w:eastAsia="Times New Roman" w:hAnsi="Times New Roman"/>
                <w:color w:val="auto"/>
                <w:sz w:val="24"/>
                <w:lang w:val="es-AR" w:eastAsia="es-AR"/>
              </w:rPr>
            </w:pPr>
          </w:p>
        </w:tc>
        <w:tc>
          <w:tcPr>
            <w:tcW w:w="808" w:type="pct"/>
            <w:tcBorders>
              <w:top w:val="nil"/>
              <w:left w:val="nil"/>
              <w:bottom w:val="nil"/>
              <w:right w:val="nil"/>
            </w:tcBorders>
            <w:noWrap/>
            <w:vAlign w:val="center"/>
          </w:tcPr>
          <w:p w14:paraId="2F7B8DDC" w14:textId="77777777" w:rsidR="00935D04" w:rsidRPr="00C23FBC" w:rsidRDefault="00935D04" w:rsidP="009F2C47">
            <w:pPr>
              <w:pStyle w:val="Tabla"/>
              <w:keepNext w:val="0"/>
              <w:keepLines w:val="0"/>
              <w:spacing w:line="480" w:lineRule="auto"/>
              <w:rPr>
                <w:rFonts w:ascii="Times New Roman" w:eastAsia="Times New Roman" w:hAnsi="Times New Roman"/>
                <w:color w:val="auto"/>
                <w:sz w:val="24"/>
                <w:lang w:val="es-AR" w:eastAsia="es-AR"/>
              </w:rPr>
            </w:pPr>
            <w:r w:rsidRPr="00C23FBC">
              <w:rPr>
                <w:rFonts w:ascii="Times New Roman" w:eastAsia="Times New Roman" w:hAnsi="Times New Roman"/>
                <w:color w:val="auto"/>
                <w:sz w:val="24"/>
                <w:lang w:val="es-AR" w:eastAsia="es-AR"/>
              </w:rPr>
              <w:t>Transición Unidad 6/ Unidad 5</w:t>
            </w:r>
          </w:p>
        </w:tc>
        <w:tc>
          <w:tcPr>
            <w:tcW w:w="1768" w:type="pct"/>
            <w:tcBorders>
              <w:top w:val="nil"/>
              <w:left w:val="nil"/>
              <w:bottom w:val="nil"/>
              <w:right w:val="nil"/>
            </w:tcBorders>
            <w:noWrap/>
            <w:vAlign w:val="center"/>
          </w:tcPr>
          <w:p w14:paraId="31FE018C" w14:textId="77777777" w:rsidR="00935D04" w:rsidRPr="00C23FBC" w:rsidRDefault="00935D04" w:rsidP="009F2C47">
            <w:pPr>
              <w:pStyle w:val="Tabla"/>
              <w:keepNext w:val="0"/>
              <w:keepLines w:val="0"/>
              <w:spacing w:line="480" w:lineRule="auto"/>
              <w:rPr>
                <w:rFonts w:ascii="Times New Roman" w:eastAsia="Times New Roman" w:hAnsi="Times New Roman"/>
                <w:color w:val="auto"/>
                <w:sz w:val="24"/>
                <w:lang w:val="es-AR" w:eastAsia="es-AR"/>
              </w:rPr>
            </w:pPr>
            <w:r w:rsidRPr="00C23FBC">
              <w:rPr>
                <w:rFonts w:ascii="Times New Roman" w:eastAsia="Times New Roman" w:hAnsi="Times New Roman"/>
                <w:color w:val="auto"/>
                <w:sz w:val="24"/>
                <w:lang w:val="es-AR" w:eastAsia="es-AR"/>
              </w:rPr>
              <w:t xml:space="preserve">OxA8527: 10.390±70 </w:t>
            </w:r>
            <w:proofErr w:type="spellStart"/>
            <w:r w:rsidRPr="00C23FBC">
              <w:rPr>
                <w:rFonts w:ascii="Times New Roman" w:eastAsia="Times New Roman" w:hAnsi="Times New Roman"/>
                <w:color w:val="auto"/>
                <w:sz w:val="24"/>
                <w:lang w:val="es-AR" w:eastAsia="es-AR"/>
              </w:rPr>
              <w:t>aP</w:t>
            </w:r>
            <w:proofErr w:type="spellEnd"/>
          </w:p>
        </w:tc>
        <w:tc>
          <w:tcPr>
            <w:tcW w:w="1727" w:type="pct"/>
            <w:vMerge/>
            <w:tcBorders>
              <w:top w:val="nil"/>
              <w:left w:val="nil"/>
              <w:bottom w:val="nil"/>
              <w:right w:val="nil"/>
            </w:tcBorders>
            <w:vAlign w:val="center"/>
          </w:tcPr>
          <w:p w14:paraId="788E1C6A" w14:textId="77777777" w:rsidR="00935D04" w:rsidRPr="00C23FBC" w:rsidRDefault="00935D04" w:rsidP="009F2C47">
            <w:pPr>
              <w:pStyle w:val="Tabla"/>
              <w:keepNext w:val="0"/>
              <w:keepLines w:val="0"/>
              <w:spacing w:line="480" w:lineRule="auto"/>
              <w:rPr>
                <w:rFonts w:ascii="Times New Roman" w:eastAsia="Times New Roman" w:hAnsi="Times New Roman"/>
                <w:b/>
                <w:bCs/>
                <w:color w:val="auto"/>
                <w:sz w:val="24"/>
                <w:lang w:val="es-AR" w:eastAsia="es-AR"/>
              </w:rPr>
            </w:pPr>
          </w:p>
        </w:tc>
      </w:tr>
      <w:tr w:rsidR="00935D04" w:rsidRPr="00F616B4" w14:paraId="75A4E58A" w14:textId="77777777" w:rsidTr="002E59C6">
        <w:trPr>
          <w:trHeight w:val="433"/>
          <w:jc w:val="center"/>
        </w:trPr>
        <w:tc>
          <w:tcPr>
            <w:tcW w:w="698" w:type="pct"/>
            <w:vMerge/>
            <w:tcBorders>
              <w:left w:val="nil"/>
              <w:bottom w:val="nil"/>
              <w:right w:val="nil"/>
            </w:tcBorders>
            <w:vAlign w:val="center"/>
          </w:tcPr>
          <w:p w14:paraId="359A409F" w14:textId="77777777" w:rsidR="00935D04" w:rsidRPr="00C23FBC" w:rsidRDefault="00935D04" w:rsidP="009F2C47">
            <w:pPr>
              <w:pStyle w:val="Tabla"/>
              <w:keepNext w:val="0"/>
              <w:keepLines w:val="0"/>
              <w:spacing w:line="480" w:lineRule="auto"/>
              <w:rPr>
                <w:rFonts w:ascii="Times New Roman" w:eastAsia="Times New Roman" w:hAnsi="Times New Roman"/>
                <w:b/>
                <w:bCs/>
                <w:color w:val="auto"/>
                <w:sz w:val="24"/>
                <w:lang w:val="es-AR" w:eastAsia="es-AR"/>
              </w:rPr>
            </w:pPr>
          </w:p>
        </w:tc>
        <w:tc>
          <w:tcPr>
            <w:tcW w:w="808" w:type="pct"/>
            <w:tcBorders>
              <w:top w:val="nil"/>
              <w:left w:val="nil"/>
              <w:bottom w:val="nil"/>
              <w:right w:val="nil"/>
            </w:tcBorders>
            <w:noWrap/>
            <w:vAlign w:val="center"/>
          </w:tcPr>
          <w:p w14:paraId="79ADD253" w14:textId="77777777" w:rsidR="00935D04" w:rsidRPr="00C23FBC" w:rsidRDefault="00935D04" w:rsidP="009F2C47">
            <w:pPr>
              <w:pStyle w:val="Tabla"/>
              <w:keepNext w:val="0"/>
              <w:keepLines w:val="0"/>
              <w:spacing w:line="480" w:lineRule="auto"/>
              <w:rPr>
                <w:rFonts w:ascii="Times New Roman" w:eastAsia="Times New Roman" w:hAnsi="Times New Roman"/>
                <w:color w:val="auto"/>
                <w:sz w:val="24"/>
                <w:lang w:val="es-AR" w:eastAsia="es-AR"/>
              </w:rPr>
            </w:pPr>
            <w:r w:rsidRPr="00C23FBC">
              <w:rPr>
                <w:rFonts w:ascii="Times New Roman" w:eastAsia="Times New Roman" w:hAnsi="Times New Roman"/>
                <w:color w:val="auto"/>
                <w:sz w:val="24"/>
                <w:lang w:val="es-AR" w:eastAsia="es-AR"/>
              </w:rPr>
              <w:t>Base Unidad 5</w:t>
            </w:r>
          </w:p>
        </w:tc>
        <w:tc>
          <w:tcPr>
            <w:tcW w:w="1768" w:type="pct"/>
            <w:tcBorders>
              <w:top w:val="nil"/>
              <w:left w:val="nil"/>
              <w:bottom w:val="nil"/>
              <w:right w:val="nil"/>
            </w:tcBorders>
            <w:noWrap/>
            <w:vAlign w:val="center"/>
          </w:tcPr>
          <w:p w14:paraId="1C6AADB2" w14:textId="77777777" w:rsidR="00935D04" w:rsidRPr="00C23FBC" w:rsidRDefault="00935D04" w:rsidP="009F2C47">
            <w:pPr>
              <w:pStyle w:val="Tabla"/>
              <w:keepNext w:val="0"/>
              <w:keepLines w:val="0"/>
              <w:spacing w:line="480" w:lineRule="auto"/>
              <w:rPr>
                <w:rFonts w:ascii="Times New Roman" w:eastAsia="Times New Roman" w:hAnsi="Times New Roman"/>
                <w:color w:val="auto"/>
                <w:sz w:val="24"/>
                <w:lang w:val="es-AR" w:eastAsia="es-AR"/>
              </w:rPr>
            </w:pPr>
            <w:proofErr w:type="spellStart"/>
            <w:r w:rsidRPr="00C23FBC">
              <w:rPr>
                <w:rFonts w:ascii="Times New Roman" w:eastAsia="Times New Roman" w:hAnsi="Times New Roman"/>
                <w:color w:val="auto"/>
                <w:sz w:val="24"/>
                <w:lang w:val="es-AR" w:eastAsia="es-AR"/>
              </w:rPr>
              <w:t>OxA</w:t>
            </w:r>
            <w:proofErr w:type="spellEnd"/>
            <w:r>
              <w:rPr>
                <w:rFonts w:ascii="Times New Roman" w:eastAsia="Times New Roman" w:hAnsi="Times New Roman"/>
                <w:color w:val="auto"/>
                <w:sz w:val="24"/>
                <w:lang w:val="en-US" w:eastAsia="es-AR"/>
              </w:rPr>
              <w:t>9249: 10.</w:t>
            </w:r>
            <w:r w:rsidRPr="00F616B4">
              <w:rPr>
                <w:rFonts w:ascii="Times New Roman" w:eastAsia="Times New Roman" w:hAnsi="Times New Roman"/>
                <w:color w:val="auto"/>
                <w:sz w:val="24"/>
                <w:lang w:val="en-US" w:eastAsia="es-AR"/>
              </w:rPr>
              <w:t xml:space="preserve">470±60 </w:t>
            </w:r>
            <w:proofErr w:type="spellStart"/>
            <w:r w:rsidRPr="00C23FBC">
              <w:rPr>
                <w:rFonts w:ascii="Times New Roman" w:eastAsia="Times New Roman" w:hAnsi="Times New Roman"/>
                <w:color w:val="auto"/>
                <w:sz w:val="24"/>
                <w:lang w:val="es-AR" w:eastAsia="es-AR"/>
              </w:rPr>
              <w:t>aP</w:t>
            </w:r>
            <w:proofErr w:type="spellEnd"/>
          </w:p>
        </w:tc>
        <w:tc>
          <w:tcPr>
            <w:tcW w:w="1727" w:type="pct"/>
            <w:vMerge/>
            <w:tcBorders>
              <w:left w:val="nil"/>
              <w:bottom w:val="nil"/>
              <w:right w:val="nil"/>
            </w:tcBorders>
            <w:vAlign w:val="center"/>
          </w:tcPr>
          <w:p w14:paraId="43963CBD" w14:textId="77777777" w:rsidR="00935D04" w:rsidRPr="00C23FBC" w:rsidRDefault="00935D04" w:rsidP="009F2C47">
            <w:pPr>
              <w:pStyle w:val="Tabla"/>
              <w:keepNext w:val="0"/>
              <w:keepLines w:val="0"/>
              <w:spacing w:line="480" w:lineRule="auto"/>
              <w:rPr>
                <w:rFonts w:ascii="Times New Roman" w:eastAsia="Times New Roman" w:hAnsi="Times New Roman"/>
                <w:b/>
                <w:bCs/>
                <w:color w:val="auto"/>
                <w:sz w:val="24"/>
                <w:lang w:val="es-AR" w:eastAsia="es-AR"/>
              </w:rPr>
            </w:pPr>
          </w:p>
        </w:tc>
      </w:tr>
      <w:tr w:rsidR="00935D04" w:rsidRPr="00F616B4" w14:paraId="30763D0A" w14:textId="77777777" w:rsidTr="002E59C6">
        <w:trPr>
          <w:trHeight w:val="539"/>
          <w:jc w:val="center"/>
        </w:trPr>
        <w:tc>
          <w:tcPr>
            <w:tcW w:w="698" w:type="pct"/>
            <w:vMerge/>
            <w:tcBorders>
              <w:left w:val="nil"/>
              <w:bottom w:val="nil"/>
              <w:right w:val="nil"/>
            </w:tcBorders>
            <w:vAlign w:val="center"/>
          </w:tcPr>
          <w:p w14:paraId="5206D8E4" w14:textId="77777777" w:rsidR="00935D04" w:rsidRPr="00F616B4" w:rsidRDefault="00935D04" w:rsidP="009F2C47">
            <w:pPr>
              <w:pStyle w:val="Tabla"/>
              <w:keepNext w:val="0"/>
              <w:keepLines w:val="0"/>
              <w:spacing w:line="480" w:lineRule="auto"/>
              <w:rPr>
                <w:rFonts w:ascii="Times New Roman" w:eastAsia="Times New Roman" w:hAnsi="Times New Roman"/>
                <w:b/>
                <w:bCs/>
                <w:color w:val="auto"/>
                <w:sz w:val="24"/>
                <w:lang w:val="en-US" w:eastAsia="es-AR"/>
              </w:rPr>
            </w:pPr>
          </w:p>
        </w:tc>
        <w:tc>
          <w:tcPr>
            <w:tcW w:w="808" w:type="pct"/>
            <w:tcBorders>
              <w:top w:val="nil"/>
              <w:left w:val="nil"/>
              <w:bottom w:val="nil"/>
              <w:right w:val="nil"/>
            </w:tcBorders>
            <w:noWrap/>
            <w:vAlign w:val="center"/>
          </w:tcPr>
          <w:p w14:paraId="6BBB831C" w14:textId="77777777" w:rsidR="00935D04" w:rsidRPr="00F616B4" w:rsidRDefault="00935D04" w:rsidP="009F2C47">
            <w:pPr>
              <w:pStyle w:val="Tabla"/>
              <w:keepNext w:val="0"/>
              <w:keepLines w:val="0"/>
              <w:spacing w:line="480" w:lineRule="auto"/>
              <w:rPr>
                <w:rFonts w:ascii="Times New Roman" w:eastAsia="Times New Roman" w:hAnsi="Times New Roman"/>
                <w:color w:val="auto"/>
                <w:sz w:val="24"/>
                <w:lang w:val="en-US" w:eastAsia="es-AR"/>
              </w:rPr>
            </w:pPr>
            <w:r w:rsidRPr="00F616B4">
              <w:rPr>
                <w:rFonts w:ascii="Times New Roman" w:eastAsia="Times New Roman" w:hAnsi="Times New Roman"/>
                <w:color w:val="auto"/>
                <w:sz w:val="24"/>
                <w:lang w:val="en-US" w:eastAsia="es-AR"/>
              </w:rPr>
              <w:t>Unidad 5/ Unidad 4</w:t>
            </w:r>
          </w:p>
        </w:tc>
        <w:tc>
          <w:tcPr>
            <w:tcW w:w="1768" w:type="pct"/>
            <w:tcBorders>
              <w:top w:val="nil"/>
              <w:left w:val="nil"/>
              <w:bottom w:val="nil"/>
              <w:right w:val="nil"/>
            </w:tcBorders>
            <w:noWrap/>
            <w:vAlign w:val="center"/>
          </w:tcPr>
          <w:p w14:paraId="13A1B2AD" w14:textId="77777777" w:rsidR="00935D04" w:rsidRPr="00C23FBC" w:rsidRDefault="00935D04" w:rsidP="009F2C47">
            <w:pPr>
              <w:pStyle w:val="Tabla"/>
              <w:keepNext w:val="0"/>
              <w:keepLines w:val="0"/>
              <w:spacing w:line="480" w:lineRule="auto"/>
              <w:rPr>
                <w:rFonts w:ascii="Times New Roman" w:eastAsia="Times New Roman" w:hAnsi="Times New Roman"/>
                <w:color w:val="auto"/>
                <w:sz w:val="24"/>
                <w:lang w:val="es-AR" w:eastAsia="es-AR"/>
              </w:rPr>
            </w:pPr>
            <w:r w:rsidRPr="00C23FBC">
              <w:rPr>
                <w:rFonts w:ascii="Times New Roman" w:eastAsia="Times New Roman" w:hAnsi="Times New Roman"/>
                <w:color w:val="auto"/>
                <w:sz w:val="24"/>
                <w:lang w:val="es-AR" w:eastAsia="es-AR"/>
              </w:rPr>
              <w:t xml:space="preserve">GRA9837: 10.470±65 </w:t>
            </w:r>
            <w:proofErr w:type="spellStart"/>
            <w:r w:rsidRPr="00C23FBC">
              <w:rPr>
                <w:rFonts w:ascii="Times New Roman" w:eastAsia="Times New Roman" w:hAnsi="Times New Roman"/>
                <w:color w:val="auto"/>
                <w:sz w:val="24"/>
                <w:lang w:val="es-AR" w:eastAsia="es-AR"/>
              </w:rPr>
              <w:t>aP</w:t>
            </w:r>
            <w:proofErr w:type="spellEnd"/>
          </w:p>
          <w:p w14:paraId="3D5040BC" w14:textId="77777777" w:rsidR="00935D04" w:rsidRPr="00C23FBC" w:rsidRDefault="00935D04" w:rsidP="009F2C47">
            <w:pPr>
              <w:pStyle w:val="Tabla"/>
              <w:keepNext w:val="0"/>
              <w:keepLines w:val="0"/>
              <w:spacing w:line="480" w:lineRule="auto"/>
              <w:rPr>
                <w:rFonts w:ascii="Times New Roman" w:eastAsia="Times New Roman" w:hAnsi="Times New Roman"/>
                <w:color w:val="auto"/>
                <w:sz w:val="24"/>
                <w:lang w:val="es-AR" w:eastAsia="es-AR"/>
              </w:rPr>
            </w:pPr>
            <w:r w:rsidRPr="00C23FBC">
              <w:rPr>
                <w:rFonts w:ascii="Times New Roman" w:eastAsia="Times New Roman" w:hAnsi="Times New Roman"/>
                <w:color w:val="auto"/>
                <w:sz w:val="24"/>
                <w:lang w:val="es-AR" w:eastAsia="es-AR"/>
              </w:rPr>
              <w:t xml:space="preserve">AA-8428: 10.400±80 </w:t>
            </w:r>
            <w:proofErr w:type="spellStart"/>
            <w:r w:rsidRPr="00C23FBC">
              <w:rPr>
                <w:rFonts w:ascii="Times New Roman" w:eastAsia="Times New Roman" w:hAnsi="Times New Roman"/>
                <w:color w:val="auto"/>
                <w:sz w:val="24"/>
                <w:lang w:val="es-AR" w:eastAsia="es-AR"/>
              </w:rPr>
              <w:t>aP</w:t>
            </w:r>
            <w:proofErr w:type="spellEnd"/>
          </w:p>
        </w:tc>
        <w:tc>
          <w:tcPr>
            <w:tcW w:w="1727" w:type="pct"/>
            <w:vMerge/>
            <w:tcBorders>
              <w:left w:val="nil"/>
              <w:bottom w:val="nil"/>
              <w:right w:val="nil"/>
            </w:tcBorders>
            <w:vAlign w:val="center"/>
          </w:tcPr>
          <w:p w14:paraId="4AD03461" w14:textId="77777777" w:rsidR="00935D04" w:rsidRPr="00C23FBC" w:rsidRDefault="00935D04" w:rsidP="009F2C47">
            <w:pPr>
              <w:pStyle w:val="Tabla"/>
              <w:keepNext w:val="0"/>
              <w:keepLines w:val="0"/>
              <w:spacing w:line="480" w:lineRule="auto"/>
              <w:rPr>
                <w:rFonts w:ascii="Times New Roman" w:eastAsia="Times New Roman" w:hAnsi="Times New Roman"/>
                <w:b/>
                <w:bCs/>
                <w:color w:val="auto"/>
                <w:sz w:val="24"/>
                <w:lang w:val="es-AR" w:eastAsia="es-AR"/>
              </w:rPr>
            </w:pPr>
          </w:p>
        </w:tc>
      </w:tr>
      <w:tr w:rsidR="00935D04" w:rsidRPr="00F616B4" w14:paraId="71AA845F" w14:textId="77777777" w:rsidTr="002E59C6">
        <w:trPr>
          <w:trHeight w:val="561"/>
          <w:jc w:val="center"/>
        </w:trPr>
        <w:tc>
          <w:tcPr>
            <w:tcW w:w="698" w:type="pct"/>
            <w:vMerge/>
            <w:tcBorders>
              <w:left w:val="nil"/>
              <w:bottom w:val="nil"/>
              <w:right w:val="nil"/>
            </w:tcBorders>
            <w:vAlign w:val="center"/>
          </w:tcPr>
          <w:p w14:paraId="43106D44" w14:textId="77777777" w:rsidR="00935D04" w:rsidRPr="00C23FBC" w:rsidRDefault="00935D04" w:rsidP="009F2C47">
            <w:pPr>
              <w:pStyle w:val="Tabla"/>
              <w:keepNext w:val="0"/>
              <w:keepLines w:val="0"/>
              <w:spacing w:line="480" w:lineRule="auto"/>
              <w:rPr>
                <w:rFonts w:ascii="Times New Roman" w:eastAsia="Times New Roman" w:hAnsi="Times New Roman"/>
                <w:b/>
                <w:bCs/>
                <w:color w:val="auto"/>
                <w:sz w:val="24"/>
                <w:lang w:val="es-AR" w:eastAsia="es-AR"/>
              </w:rPr>
            </w:pPr>
          </w:p>
        </w:tc>
        <w:tc>
          <w:tcPr>
            <w:tcW w:w="808" w:type="pct"/>
            <w:tcBorders>
              <w:top w:val="nil"/>
              <w:left w:val="nil"/>
              <w:bottom w:val="nil"/>
              <w:right w:val="nil"/>
            </w:tcBorders>
            <w:noWrap/>
            <w:vAlign w:val="center"/>
          </w:tcPr>
          <w:p w14:paraId="683CB23A" w14:textId="77777777" w:rsidR="00935D04" w:rsidRPr="00F616B4" w:rsidRDefault="00935D04" w:rsidP="009F2C47">
            <w:pPr>
              <w:pStyle w:val="Tabla"/>
              <w:keepNext w:val="0"/>
              <w:keepLines w:val="0"/>
              <w:spacing w:line="480" w:lineRule="auto"/>
              <w:rPr>
                <w:rFonts w:ascii="Times New Roman" w:eastAsia="Times New Roman" w:hAnsi="Times New Roman"/>
                <w:color w:val="auto"/>
                <w:sz w:val="24"/>
                <w:lang w:val="en-US" w:eastAsia="es-AR"/>
              </w:rPr>
            </w:pPr>
            <w:r w:rsidRPr="00F616B4">
              <w:rPr>
                <w:rFonts w:ascii="Times New Roman" w:eastAsia="Times New Roman" w:hAnsi="Times New Roman"/>
                <w:color w:val="auto"/>
                <w:sz w:val="24"/>
                <w:lang w:val="en-US" w:eastAsia="es-AR"/>
              </w:rPr>
              <w:t>Tope de Unidad 4</w:t>
            </w:r>
          </w:p>
        </w:tc>
        <w:tc>
          <w:tcPr>
            <w:tcW w:w="1768" w:type="pct"/>
            <w:tcBorders>
              <w:top w:val="nil"/>
              <w:left w:val="nil"/>
              <w:bottom w:val="nil"/>
              <w:right w:val="nil"/>
            </w:tcBorders>
            <w:noWrap/>
            <w:vAlign w:val="center"/>
          </w:tcPr>
          <w:p w14:paraId="7B8E43D1" w14:textId="77777777" w:rsidR="00935D04" w:rsidRPr="00C23FBC" w:rsidRDefault="00935D04" w:rsidP="009F2C47">
            <w:pPr>
              <w:pStyle w:val="Tabla"/>
              <w:keepNext w:val="0"/>
              <w:keepLines w:val="0"/>
              <w:spacing w:line="480" w:lineRule="auto"/>
              <w:rPr>
                <w:rFonts w:ascii="Times New Roman" w:eastAsia="Times New Roman" w:hAnsi="Times New Roman"/>
                <w:color w:val="auto"/>
                <w:sz w:val="24"/>
                <w:lang w:val="es-AR" w:eastAsia="es-AR"/>
              </w:rPr>
            </w:pPr>
            <w:r w:rsidRPr="00C23FBC">
              <w:rPr>
                <w:rFonts w:ascii="Times New Roman" w:eastAsia="Times New Roman" w:hAnsi="Times New Roman"/>
                <w:color w:val="auto"/>
                <w:sz w:val="24"/>
                <w:lang w:val="es-AR" w:eastAsia="es-AR"/>
              </w:rPr>
              <w:t xml:space="preserve">LP-859: 9710±105 </w:t>
            </w:r>
            <w:proofErr w:type="spellStart"/>
            <w:r w:rsidRPr="00C23FBC">
              <w:rPr>
                <w:rFonts w:ascii="Times New Roman" w:eastAsia="Times New Roman" w:hAnsi="Times New Roman"/>
                <w:color w:val="auto"/>
                <w:sz w:val="24"/>
                <w:lang w:val="es-AR" w:eastAsia="es-AR"/>
              </w:rPr>
              <w:t>aP</w:t>
            </w:r>
            <w:proofErr w:type="spellEnd"/>
          </w:p>
          <w:p w14:paraId="1BCCA695" w14:textId="77777777" w:rsidR="00935D04" w:rsidRPr="00C23FBC" w:rsidRDefault="00935D04" w:rsidP="009F2C47">
            <w:pPr>
              <w:pStyle w:val="Tabla"/>
              <w:keepNext w:val="0"/>
              <w:keepLines w:val="0"/>
              <w:spacing w:line="480" w:lineRule="auto"/>
              <w:rPr>
                <w:rFonts w:ascii="Times New Roman" w:eastAsia="Times New Roman" w:hAnsi="Times New Roman"/>
                <w:color w:val="auto"/>
                <w:sz w:val="24"/>
                <w:lang w:val="es-AR" w:eastAsia="es-AR"/>
              </w:rPr>
            </w:pPr>
            <w:r w:rsidRPr="00C23FBC">
              <w:rPr>
                <w:rFonts w:ascii="Times New Roman" w:eastAsia="Times New Roman" w:hAnsi="Times New Roman"/>
                <w:color w:val="auto"/>
                <w:sz w:val="24"/>
                <w:lang w:val="es-AR" w:eastAsia="es-AR"/>
              </w:rPr>
              <w:t xml:space="preserve">LP-949: 9230±105 </w:t>
            </w:r>
            <w:proofErr w:type="spellStart"/>
            <w:r w:rsidRPr="00C23FBC">
              <w:rPr>
                <w:rFonts w:ascii="Times New Roman" w:eastAsia="Times New Roman" w:hAnsi="Times New Roman"/>
                <w:color w:val="auto"/>
                <w:sz w:val="24"/>
                <w:lang w:val="es-AR" w:eastAsia="es-AR"/>
              </w:rPr>
              <w:t>aP</w:t>
            </w:r>
            <w:proofErr w:type="spellEnd"/>
          </w:p>
        </w:tc>
        <w:tc>
          <w:tcPr>
            <w:tcW w:w="1727" w:type="pct"/>
            <w:vMerge/>
            <w:tcBorders>
              <w:left w:val="nil"/>
              <w:bottom w:val="nil"/>
              <w:right w:val="nil"/>
            </w:tcBorders>
            <w:vAlign w:val="center"/>
          </w:tcPr>
          <w:p w14:paraId="151F6D23" w14:textId="77777777" w:rsidR="00935D04" w:rsidRPr="00C23FBC" w:rsidRDefault="00935D04" w:rsidP="009F2C47">
            <w:pPr>
              <w:pStyle w:val="Tabla"/>
              <w:keepNext w:val="0"/>
              <w:keepLines w:val="0"/>
              <w:spacing w:line="480" w:lineRule="auto"/>
              <w:rPr>
                <w:rFonts w:ascii="Times New Roman" w:eastAsia="Times New Roman" w:hAnsi="Times New Roman"/>
                <w:b/>
                <w:bCs/>
                <w:color w:val="auto"/>
                <w:sz w:val="24"/>
                <w:lang w:val="es-AR" w:eastAsia="es-AR"/>
              </w:rPr>
            </w:pPr>
          </w:p>
        </w:tc>
      </w:tr>
      <w:tr w:rsidR="00935D04" w:rsidRPr="00F616B4" w14:paraId="45D82101" w14:textId="77777777" w:rsidTr="002E59C6">
        <w:trPr>
          <w:trHeight w:val="1008"/>
          <w:jc w:val="center"/>
        </w:trPr>
        <w:tc>
          <w:tcPr>
            <w:tcW w:w="698" w:type="pct"/>
            <w:tcBorders>
              <w:top w:val="nil"/>
              <w:left w:val="nil"/>
              <w:right w:val="nil"/>
            </w:tcBorders>
            <w:vAlign w:val="center"/>
          </w:tcPr>
          <w:p w14:paraId="35A5143E" w14:textId="77777777" w:rsidR="00935D04" w:rsidRPr="00C23FBC" w:rsidRDefault="00935D04" w:rsidP="009F2C47">
            <w:pPr>
              <w:pStyle w:val="Tabla"/>
              <w:keepNext w:val="0"/>
              <w:keepLines w:val="0"/>
              <w:spacing w:line="480" w:lineRule="auto"/>
              <w:rPr>
                <w:rFonts w:ascii="Times New Roman" w:eastAsia="Times New Roman" w:hAnsi="Times New Roman"/>
                <w:color w:val="auto"/>
                <w:sz w:val="24"/>
                <w:lang w:val="es-AR" w:eastAsia="es-AR"/>
              </w:rPr>
            </w:pPr>
            <w:r w:rsidRPr="00C23FBC">
              <w:rPr>
                <w:rFonts w:ascii="Times New Roman" w:eastAsia="Times New Roman" w:hAnsi="Times New Roman"/>
                <w:color w:val="auto"/>
                <w:sz w:val="24"/>
                <w:lang w:val="es-AR" w:eastAsia="es-AR"/>
              </w:rPr>
              <w:t>LG1</w:t>
            </w:r>
          </w:p>
        </w:tc>
        <w:tc>
          <w:tcPr>
            <w:tcW w:w="808" w:type="pct"/>
            <w:tcBorders>
              <w:top w:val="nil"/>
              <w:left w:val="nil"/>
              <w:right w:val="nil"/>
            </w:tcBorders>
            <w:noWrap/>
            <w:vAlign w:val="center"/>
          </w:tcPr>
          <w:p w14:paraId="19065F60" w14:textId="77777777" w:rsidR="00935D04" w:rsidRPr="00C23FBC" w:rsidRDefault="00935D04" w:rsidP="009F2C47">
            <w:pPr>
              <w:pStyle w:val="Tabla"/>
              <w:keepNext w:val="0"/>
              <w:keepLines w:val="0"/>
              <w:spacing w:line="480" w:lineRule="auto"/>
              <w:rPr>
                <w:rFonts w:ascii="Times New Roman" w:eastAsia="Times New Roman" w:hAnsi="Times New Roman"/>
                <w:color w:val="auto"/>
                <w:sz w:val="24"/>
                <w:lang w:val="es-AR" w:eastAsia="es-AR"/>
              </w:rPr>
            </w:pPr>
            <w:r>
              <w:rPr>
                <w:rFonts w:ascii="Times New Roman" w:eastAsia="Times New Roman" w:hAnsi="Times New Roman"/>
                <w:color w:val="auto"/>
                <w:sz w:val="24"/>
                <w:lang w:val="es-AR" w:eastAsia="es-AR"/>
              </w:rPr>
              <w:t>Unidad A</w:t>
            </w:r>
          </w:p>
        </w:tc>
        <w:tc>
          <w:tcPr>
            <w:tcW w:w="1768" w:type="pct"/>
            <w:tcBorders>
              <w:top w:val="nil"/>
              <w:left w:val="nil"/>
              <w:right w:val="nil"/>
            </w:tcBorders>
            <w:noWrap/>
            <w:vAlign w:val="center"/>
          </w:tcPr>
          <w:p w14:paraId="248598FA" w14:textId="77777777" w:rsidR="00935D04" w:rsidRPr="00810148" w:rsidRDefault="00935D04" w:rsidP="009F2C47">
            <w:pPr>
              <w:pStyle w:val="Tabla"/>
              <w:keepNext w:val="0"/>
              <w:keepLines w:val="0"/>
              <w:spacing w:line="480" w:lineRule="auto"/>
              <w:rPr>
                <w:rFonts w:ascii="Times New Roman" w:eastAsia="Times New Roman" w:hAnsi="Times New Roman"/>
                <w:color w:val="auto"/>
                <w:sz w:val="24"/>
                <w:lang w:val="en-US" w:eastAsia="es-AR"/>
              </w:rPr>
            </w:pPr>
            <w:r w:rsidRPr="00810148">
              <w:rPr>
                <w:rFonts w:ascii="Times New Roman" w:eastAsia="Times New Roman" w:hAnsi="Times New Roman"/>
                <w:color w:val="auto"/>
                <w:sz w:val="24"/>
                <w:lang w:val="en-US" w:eastAsia="es-AR"/>
              </w:rPr>
              <w:t xml:space="preserve">AA-84224: 10.845±61 </w:t>
            </w:r>
            <w:proofErr w:type="spellStart"/>
            <w:r w:rsidRPr="00810148">
              <w:rPr>
                <w:rFonts w:ascii="Times New Roman" w:eastAsia="Times New Roman" w:hAnsi="Times New Roman"/>
                <w:color w:val="auto"/>
                <w:sz w:val="24"/>
                <w:lang w:val="en-US" w:eastAsia="es-AR"/>
              </w:rPr>
              <w:t>aP</w:t>
            </w:r>
            <w:proofErr w:type="spellEnd"/>
          </w:p>
          <w:p w14:paraId="344A8404" w14:textId="77777777" w:rsidR="00935D04" w:rsidRPr="00810148" w:rsidRDefault="00935D04" w:rsidP="009F2C47">
            <w:pPr>
              <w:pStyle w:val="Tabla"/>
              <w:keepNext w:val="0"/>
              <w:keepLines w:val="0"/>
              <w:spacing w:line="480" w:lineRule="auto"/>
              <w:rPr>
                <w:rFonts w:ascii="Times New Roman" w:eastAsia="Times New Roman" w:hAnsi="Times New Roman"/>
                <w:color w:val="auto"/>
                <w:sz w:val="24"/>
                <w:lang w:val="en-US" w:eastAsia="es-AR"/>
              </w:rPr>
            </w:pPr>
            <w:r w:rsidRPr="00810148">
              <w:rPr>
                <w:rFonts w:ascii="Times New Roman" w:eastAsia="Times New Roman" w:hAnsi="Times New Roman"/>
                <w:color w:val="auto"/>
                <w:sz w:val="24"/>
                <w:lang w:val="en-US" w:eastAsia="es-AR"/>
              </w:rPr>
              <w:t xml:space="preserve">AA-84223: 10.840±62 </w:t>
            </w:r>
            <w:proofErr w:type="spellStart"/>
            <w:r w:rsidRPr="00810148">
              <w:rPr>
                <w:rFonts w:ascii="Times New Roman" w:eastAsia="Times New Roman" w:hAnsi="Times New Roman"/>
                <w:color w:val="auto"/>
                <w:sz w:val="24"/>
                <w:lang w:val="en-US" w:eastAsia="es-AR"/>
              </w:rPr>
              <w:t>aP</w:t>
            </w:r>
            <w:proofErr w:type="spellEnd"/>
          </w:p>
          <w:p w14:paraId="29B75516" w14:textId="77777777" w:rsidR="00935D04" w:rsidRDefault="00935D04" w:rsidP="009F2C47">
            <w:pPr>
              <w:pStyle w:val="Tabla"/>
              <w:keepNext w:val="0"/>
              <w:keepLines w:val="0"/>
              <w:spacing w:line="480" w:lineRule="auto"/>
              <w:rPr>
                <w:rFonts w:ascii="Times New Roman" w:eastAsia="Times New Roman" w:hAnsi="Times New Roman"/>
                <w:color w:val="auto"/>
                <w:sz w:val="24"/>
                <w:lang w:val="en-US" w:eastAsia="es-AR"/>
              </w:rPr>
            </w:pPr>
            <w:r w:rsidRPr="004B5918">
              <w:rPr>
                <w:rFonts w:ascii="Times New Roman" w:eastAsia="Times New Roman" w:hAnsi="Times New Roman"/>
                <w:color w:val="auto"/>
                <w:sz w:val="24"/>
                <w:lang w:val="en-US" w:eastAsia="es-AR"/>
              </w:rPr>
              <w:t xml:space="preserve">UGAMS-7538: 10.790±30 </w:t>
            </w:r>
            <w:proofErr w:type="spellStart"/>
            <w:r w:rsidRPr="004B5918">
              <w:rPr>
                <w:rFonts w:ascii="Times New Roman" w:eastAsia="Times New Roman" w:hAnsi="Times New Roman"/>
                <w:color w:val="auto"/>
                <w:sz w:val="24"/>
                <w:lang w:val="en-US" w:eastAsia="es-AR"/>
              </w:rPr>
              <w:t>aP</w:t>
            </w:r>
            <w:proofErr w:type="spellEnd"/>
          </w:p>
          <w:p w14:paraId="7947F957" w14:textId="77777777" w:rsidR="00935D04" w:rsidRPr="004B5918" w:rsidRDefault="00935D04" w:rsidP="009F2C47">
            <w:pPr>
              <w:pStyle w:val="Tabla"/>
              <w:keepNext w:val="0"/>
              <w:keepLines w:val="0"/>
              <w:spacing w:line="480" w:lineRule="auto"/>
              <w:rPr>
                <w:rFonts w:ascii="Times New Roman" w:eastAsia="Times New Roman" w:hAnsi="Times New Roman"/>
                <w:color w:val="auto"/>
                <w:sz w:val="24"/>
                <w:lang w:val="en-US" w:eastAsia="es-AR"/>
              </w:rPr>
            </w:pPr>
            <w:r w:rsidRPr="004B5918">
              <w:rPr>
                <w:rFonts w:ascii="Times New Roman" w:eastAsia="Times New Roman" w:hAnsi="Times New Roman"/>
                <w:color w:val="auto"/>
                <w:sz w:val="24"/>
                <w:lang w:val="en-US" w:eastAsia="es-AR"/>
              </w:rPr>
              <w:t xml:space="preserve">AA-76792: 10.656±54 </w:t>
            </w:r>
            <w:proofErr w:type="spellStart"/>
            <w:r w:rsidRPr="004B5918">
              <w:rPr>
                <w:rFonts w:ascii="Times New Roman" w:eastAsia="Times New Roman" w:hAnsi="Times New Roman"/>
                <w:color w:val="auto"/>
                <w:sz w:val="24"/>
                <w:lang w:val="en-US" w:eastAsia="es-AR"/>
              </w:rPr>
              <w:t>aP</w:t>
            </w:r>
            <w:proofErr w:type="spellEnd"/>
          </w:p>
          <w:p w14:paraId="59358254" w14:textId="77777777" w:rsidR="00935D04" w:rsidRPr="004B5918" w:rsidRDefault="00935D04" w:rsidP="009F2C47">
            <w:pPr>
              <w:pStyle w:val="Tabla"/>
              <w:keepNext w:val="0"/>
              <w:keepLines w:val="0"/>
              <w:spacing w:line="480" w:lineRule="auto"/>
              <w:rPr>
                <w:rFonts w:ascii="Times New Roman" w:eastAsia="Times New Roman" w:hAnsi="Times New Roman"/>
                <w:color w:val="auto"/>
                <w:sz w:val="24"/>
                <w:lang w:val="en-US" w:eastAsia="es-AR"/>
              </w:rPr>
            </w:pPr>
            <w:r w:rsidRPr="004B5918">
              <w:rPr>
                <w:rFonts w:ascii="Times New Roman" w:eastAsia="Times New Roman" w:hAnsi="Times New Roman"/>
                <w:color w:val="auto"/>
                <w:sz w:val="24"/>
                <w:lang w:val="en-US" w:eastAsia="es-AR"/>
              </w:rPr>
              <w:t xml:space="preserve">AA-84225: 10.477±56 </w:t>
            </w:r>
            <w:proofErr w:type="spellStart"/>
            <w:r w:rsidRPr="004B5918">
              <w:rPr>
                <w:rFonts w:ascii="Times New Roman" w:eastAsia="Times New Roman" w:hAnsi="Times New Roman"/>
                <w:color w:val="auto"/>
                <w:sz w:val="24"/>
                <w:lang w:val="en-US" w:eastAsia="es-AR"/>
              </w:rPr>
              <w:t>aP</w:t>
            </w:r>
            <w:proofErr w:type="spellEnd"/>
          </w:p>
        </w:tc>
        <w:tc>
          <w:tcPr>
            <w:tcW w:w="1727" w:type="pct"/>
            <w:tcBorders>
              <w:top w:val="nil"/>
              <w:left w:val="nil"/>
              <w:right w:val="nil"/>
            </w:tcBorders>
            <w:vAlign w:val="center"/>
          </w:tcPr>
          <w:p w14:paraId="74D5B6F1" w14:textId="77777777" w:rsidR="00935D04" w:rsidRPr="00C23FBC" w:rsidRDefault="00935D04" w:rsidP="009F2C47">
            <w:pPr>
              <w:pStyle w:val="Tabla"/>
              <w:keepNext w:val="0"/>
              <w:keepLines w:val="0"/>
              <w:spacing w:line="480" w:lineRule="auto"/>
              <w:rPr>
                <w:rFonts w:ascii="Times New Roman" w:eastAsia="Times New Roman" w:hAnsi="Times New Roman"/>
                <w:noProof/>
                <w:color w:val="auto"/>
                <w:sz w:val="24"/>
                <w:lang w:val="es-AR" w:eastAsia="es-AR"/>
              </w:rPr>
            </w:pPr>
            <w:r>
              <w:rPr>
                <w:rFonts w:ascii="Times New Roman" w:eastAsia="Times New Roman" w:hAnsi="Times New Roman"/>
                <w:noProof/>
                <w:color w:val="auto"/>
                <w:sz w:val="24"/>
                <w:lang w:val="es-AR" w:eastAsia="es-AR"/>
              </w:rPr>
              <w:t>Franco et al. (2013); Franco et al. (2010)</w:t>
            </w:r>
          </w:p>
        </w:tc>
      </w:tr>
    </w:tbl>
    <w:p w14:paraId="0F76FB1C" w14:textId="77777777" w:rsidR="00935D04" w:rsidRDefault="00935D04" w:rsidP="00674050">
      <w:pPr>
        <w:pStyle w:val="Epigrafes"/>
        <w:rPr>
          <w:rFonts w:ascii="Times New Roman" w:hAnsi="Times New Roman"/>
          <w:sz w:val="24"/>
        </w:rPr>
      </w:pPr>
    </w:p>
    <w:p w14:paraId="628C092F" w14:textId="77777777" w:rsidR="00935D04" w:rsidRDefault="00935D04" w:rsidP="00086285">
      <w:pPr>
        <w:pStyle w:val="Epigrafes"/>
        <w:rPr>
          <w:rFonts w:ascii="Times New Roman" w:hAnsi="Times New Roman"/>
          <w:sz w:val="24"/>
          <w:lang w:val="es-AR"/>
        </w:rPr>
      </w:pPr>
      <w:r>
        <w:rPr>
          <w:rFonts w:ascii="Times New Roman" w:hAnsi="Times New Roman"/>
          <w:sz w:val="24"/>
          <w:lang w:val="es-AR"/>
        </w:rPr>
        <w:t>Referencias citadas</w:t>
      </w:r>
    </w:p>
    <w:p w14:paraId="314929C4" w14:textId="77777777" w:rsidR="00935D04" w:rsidRPr="009F2C47" w:rsidRDefault="00935D04" w:rsidP="00086285">
      <w:pPr>
        <w:pStyle w:val="EndNoteBibliography"/>
        <w:jc w:val="both"/>
        <w:rPr>
          <w:lang w:val="es-AR"/>
        </w:rPr>
      </w:pPr>
      <w:r w:rsidRPr="009F2C47">
        <w:rPr>
          <w:lang w:val="es-AR"/>
        </w:rPr>
        <w:t>Cardich, Augusto, Lucio Adolfo Cardich y Adam  Hajduk</w:t>
      </w:r>
    </w:p>
    <w:p w14:paraId="5ED407F0" w14:textId="77777777" w:rsidR="00935D04" w:rsidRPr="009F2C47" w:rsidRDefault="00935D04" w:rsidP="00086285">
      <w:pPr>
        <w:pStyle w:val="EndNoteBibliography"/>
        <w:ind w:left="720" w:hanging="720"/>
        <w:jc w:val="both"/>
        <w:rPr>
          <w:lang w:val="es-AR"/>
        </w:rPr>
      </w:pPr>
      <w:r w:rsidRPr="009F2C47">
        <w:rPr>
          <w:lang w:val="es-AR"/>
        </w:rPr>
        <w:tab/>
        <w:t>1973</w:t>
      </w:r>
      <w:r w:rsidRPr="009F2C47">
        <w:rPr>
          <w:lang w:val="es-AR"/>
        </w:rPr>
        <w:tab/>
        <w:t xml:space="preserve">Secuencia arqueológica y cronología radiocarbónica de la Cueva 3 de Los Toldos (Santa Cruz, Argentina). </w:t>
      </w:r>
      <w:r w:rsidRPr="009F2C47">
        <w:rPr>
          <w:i/>
          <w:lang w:val="es-AR"/>
        </w:rPr>
        <w:t>Relaciones de la Sociedad Argentina de Antropología</w:t>
      </w:r>
      <w:r w:rsidRPr="009F2C47">
        <w:rPr>
          <w:lang w:val="es-AR"/>
        </w:rPr>
        <w:t xml:space="preserve"> 7:85-123.</w:t>
      </w:r>
    </w:p>
    <w:p w14:paraId="074163D3" w14:textId="77777777" w:rsidR="00935D04" w:rsidRPr="009F2C47" w:rsidRDefault="00935D04" w:rsidP="00086285">
      <w:pPr>
        <w:pStyle w:val="EndNoteBibliography"/>
        <w:jc w:val="both"/>
        <w:rPr>
          <w:lang w:val="es-AR"/>
        </w:rPr>
      </w:pPr>
    </w:p>
    <w:p w14:paraId="729F3CC3" w14:textId="77777777" w:rsidR="00935D04" w:rsidRPr="009F2C47" w:rsidRDefault="00935D04" w:rsidP="00086285">
      <w:pPr>
        <w:pStyle w:val="EndNoteBibliography"/>
        <w:jc w:val="both"/>
        <w:rPr>
          <w:lang w:val="es-AR"/>
        </w:rPr>
      </w:pPr>
      <w:r w:rsidRPr="009F2C47">
        <w:rPr>
          <w:lang w:val="es-AR"/>
        </w:rPr>
        <w:t>Franco, N. V., P. Ambrústolo, A. Acevedo, N. Cirigliano y M. Vommaro</w:t>
      </w:r>
    </w:p>
    <w:p w14:paraId="61EAFDFF" w14:textId="77777777" w:rsidR="00935D04" w:rsidRPr="009F2C47" w:rsidRDefault="00935D04" w:rsidP="00086285">
      <w:pPr>
        <w:pStyle w:val="EndNoteBibliography"/>
        <w:ind w:left="720" w:hanging="720"/>
        <w:jc w:val="both"/>
        <w:rPr>
          <w:lang w:val="es-AR"/>
        </w:rPr>
      </w:pPr>
      <w:r w:rsidRPr="009F2C47">
        <w:rPr>
          <w:lang w:val="es-AR"/>
        </w:rPr>
        <w:tab/>
        <w:t>2013</w:t>
      </w:r>
      <w:r w:rsidRPr="009F2C47">
        <w:rPr>
          <w:lang w:val="es-AR"/>
        </w:rPr>
        <w:tab/>
        <w:t>Prospecciones en el sur del Macizo del Deseado (provincia de Santa Cruz, Argentina). Los casos de La Gruta y Viuda Quenzana</w:t>
      </w:r>
      <w:r w:rsidRPr="009F2C47">
        <w:rPr>
          <w:i/>
          <w:lang w:val="es-AR"/>
        </w:rPr>
        <w:t>.</w:t>
      </w:r>
      <w:r w:rsidRPr="009F2C47">
        <w:rPr>
          <w:lang w:val="es-AR"/>
        </w:rPr>
        <w:t xml:space="preserve"> In </w:t>
      </w:r>
      <w:r w:rsidRPr="009F2C47">
        <w:rPr>
          <w:i/>
          <w:lang w:val="es-AR"/>
        </w:rPr>
        <w:t>Tendencias teórico-metodológicas y casos de estudio en la arqueología de la Patagonia</w:t>
      </w:r>
      <w:r w:rsidRPr="009F2C47">
        <w:rPr>
          <w:lang w:val="es-AR"/>
        </w:rPr>
        <w:t xml:space="preserve">, edited by A. Zangrando, R. Barberena, A. Gil, G. Neme, M. Giardina, L. Luna, C. Otaola, S. </w:t>
      </w:r>
      <w:r w:rsidRPr="009F2C47">
        <w:rPr>
          <w:lang w:val="es-AR"/>
        </w:rPr>
        <w:lastRenderedPageBreak/>
        <w:t>Paulides, L. Salgán y A. Tivoli, pp. 371-378. Museo de Historia Natural de San Rafael, Buenos Aires.</w:t>
      </w:r>
    </w:p>
    <w:p w14:paraId="0F1F14E7" w14:textId="77777777" w:rsidR="00935D04" w:rsidRPr="009F2C47" w:rsidRDefault="00935D04" w:rsidP="00086285">
      <w:pPr>
        <w:pStyle w:val="EndNoteBibliography"/>
        <w:jc w:val="both"/>
        <w:rPr>
          <w:lang w:val="es-AR"/>
        </w:rPr>
      </w:pPr>
    </w:p>
    <w:p w14:paraId="36719FA9" w14:textId="77777777" w:rsidR="00935D04" w:rsidRPr="009F2C47" w:rsidRDefault="00935D04" w:rsidP="00086285">
      <w:pPr>
        <w:pStyle w:val="EndNoteBibliography"/>
        <w:jc w:val="both"/>
        <w:rPr>
          <w:lang w:val="es-AR"/>
        </w:rPr>
      </w:pPr>
      <w:r w:rsidRPr="009F2C47">
        <w:rPr>
          <w:lang w:val="es-AR"/>
        </w:rPr>
        <w:t>Franco, Nora V., Marilina Martucci, Pablo Ambrústolo, George Brook, María V. Mancini y Natalia Cirigliano</w:t>
      </w:r>
    </w:p>
    <w:p w14:paraId="4006E3A5" w14:textId="77777777" w:rsidR="00935D04" w:rsidRPr="009F2C47" w:rsidRDefault="00935D04" w:rsidP="00086285">
      <w:pPr>
        <w:pStyle w:val="EndNoteBibliography"/>
        <w:ind w:left="720" w:hanging="720"/>
        <w:jc w:val="both"/>
        <w:rPr>
          <w:lang w:val="es-AR"/>
        </w:rPr>
      </w:pPr>
      <w:r w:rsidRPr="009F2C47">
        <w:rPr>
          <w:lang w:val="es-AR"/>
        </w:rPr>
        <w:tab/>
        <w:t>2010</w:t>
      </w:r>
      <w:r w:rsidRPr="009F2C47">
        <w:rPr>
          <w:lang w:val="es-AR"/>
        </w:rPr>
        <w:tab/>
        <w:t xml:space="preserve">Ocupaciones humanas correspondientes a la transición Pleistoceno-Holoceno al sur del macizo del deseado: el área de La Gruta (provincia de Santa Cruz, Argentina). </w:t>
      </w:r>
      <w:r w:rsidRPr="009F2C47">
        <w:rPr>
          <w:i/>
          <w:lang w:val="es-AR"/>
        </w:rPr>
        <w:t>Relaciones de la Sociedad Argentina de Antropología</w:t>
      </w:r>
      <w:r w:rsidRPr="009F2C47">
        <w:rPr>
          <w:lang w:val="es-AR"/>
        </w:rPr>
        <w:t xml:space="preserve"> XXXV:301-308.</w:t>
      </w:r>
    </w:p>
    <w:p w14:paraId="63581532" w14:textId="77777777" w:rsidR="00935D04" w:rsidRPr="009F2C47" w:rsidRDefault="00935D04" w:rsidP="00086285">
      <w:pPr>
        <w:pStyle w:val="EndNoteBibliography"/>
        <w:jc w:val="both"/>
        <w:rPr>
          <w:lang w:val="es-AR"/>
        </w:rPr>
      </w:pPr>
    </w:p>
    <w:p w14:paraId="4531FA5A" w14:textId="77777777" w:rsidR="00935D04" w:rsidRPr="009F2C47" w:rsidRDefault="00935D04" w:rsidP="00086285">
      <w:pPr>
        <w:pStyle w:val="EndNoteBibliography"/>
        <w:jc w:val="both"/>
        <w:rPr>
          <w:lang w:val="es-AR"/>
        </w:rPr>
      </w:pPr>
      <w:r w:rsidRPr="009F2C47">
        <w:rPr>
          <w:lang w:val="es-AR"/>
        </w:rPr>
        <w:t>Metcalf, Jessica L., Chris Turney, Ross Barnett, Fabiana Martin, Sarah C. Bray, Julia T. Vilstrup, Ludovic Orlando, Rodolfo Salas-Gismondi, Daniel Loponte, Matías Medina, Mariana De Nigris, Teresa Civalero, Pablo Marcelo Fernández, Alejandra Gasco, Victor Duran, Kevin L. Seymour, Clara Otaola, Adolfo Gil, Rafael Paunero, Francisco J. Prevosti, Corey J. A. Bradshaw, Jane C. Wheeler, Luis Borrero, Jeremy J. Austin y Alan Cooper</w:t>
      </w:r>
    </w:p>
    <w:p w14:paraId="295E2AB5" w14:textId="77777777" w:rsidR="00935D04" w:rsidRPr="009F2C47" w:rsidRDefault="00935D04" w:rsidP="00086285">
      <w:pPr>
        <w:pStyle w:val="EndNoteBibliography"/>
        <w:ind w:left="720" w:hanging="720"/>
        <w:jc w:val="both"/>
        <w:rPr>
          <w:lang w:val="es-AR"/>
        </w:rPr>
      </w:pPr>
      <w:r w:rsidRPr="009F2C47">
        <w:rPr>
          <w:lang w:val="es-AR"/>
        </w:rPr>
        <w:tab/>
      </w:r>
      <w:r w:rsidRPr="00086285">
        <w:t>2016</w:t>
      </w:r>
      <w:r w:rsidRPr="00086285">
        <w:tab/>
        <w:t xml:space="preserve">Synergistic roles of climate warming and human occupation in Patagonian megafaunal extinctions during the Last Deglaciation. </w:t>
      </w:r>
      <w:r w:rsidRPr="009F2C47">
        <w:rPr>
          <w:i/>
          <w:lang w:val="es-AR"/>
        </w:rPr>
        <w:t>Science Advances</w:t>
      </w:r>
      <w:r w:rsidRPr="009F2C47">
        <w:rPr>
          <w:lang w:val="es-AR"/>
        </w:rPr>
        <w:t xml:space="preserve"> 2(6).</w:t>
      </w:r>
    </w:p>
    <w:p w14:paraId="1C993DB2" w14:textId="77777777" w:rsidR="00935D04" w:rsidRPr="009F2C47" w:rsidRDefault="00935D04" w:rsidP="00086285">
      <w:pPr>
        <w:pStyle w:val="EndNoteBibliography"/>
        <w:jc w:val="both"/>
        <w:rPr>
          <w:lang w:val="es-AR"/>
        </w:rPr>
      </w:pPr>
    </w:p>
    <w:p w14:paraId="3DE08445" w14:textId="77777777" w:rsidR="00935D04" w:rsidRPr="009F2C47" w:rsidRDefault="00935D04" w:rsidP="00086285">
      <w:pPr>
        <w:pStyle w:val="EndNoteBibliography"/>
        <w:jc w:val="both"/>
        <w:rPr>
          <w:lang w:val="es-AR"/>
        </w:rPr>
      </w:pPr>
      <w:r w:rsidRPr="009F2C47">
        <w:rPr>
          <w:lang w:val="es-AR"/>
        </w:rPr>
        <w:t>Miotti, Laura L., M. Salemme y J. Rabassa</w:t>
      </w:r>
    </w:p>
    <w:p w14:paraId="693F2427" w14:textId="77777777" w:rsidR="00935D04" w:rsidRPr="009F2C47" w:rsidRDefault="00935D04" w:rsidP="00086285">
      <w:pPr>
        <w:pStyle w:val="EndNoteBibliography"/>
        <w:ind w:left="720" w:hanging="720"/>
        <w:jc w:val="both"/>
        <w:rPr>
          <w:lang w:val="es-AR"/>
        </w:rPr>
      </w:pPr>
      <w:r w:rsidRPr="009F2C47">
        <w:rPr>
          <w:lang w:val="es-AR"/>
        </w:rPr>
        <w:tab/>
        <w:t>2000</w:t>
      </w:r>
      <w:r w:rsidRPr="009F2C47">
        <w:rPr>
          <w:lang w:val="es-AR"/>
        </w:rPr>
        <w:tab/>
        <w:t>4.6. Cronología radiocarbónica</w:t>
      </w:r>
      <w:r w:rsidRPr="009F2C47">
        <w:rPr>
          <w:i/>
          <w:lang w:val="es-AR"/>
        </w:rPr>
        <w:t>.</w:t>
      </w:r>
      <w:r w:rsidRPr="009F2C47">
        <w:rPr>
          <w:lang w:val="es-AR"/>
        </w:rPr>
        <w:t xml:space="preserve"> In </w:t>
      </w:r>
      <w:r w:rsidRPr="009F2C47">
        <w:rPr>
          <w:i/>
          <w:lang w:val="es-AR"/>
        </w:rPr>
        <w:t>Guía de campo de la visita a las localidades arqueológicas</w:t>
      </w:r>
      <w:r w:rsidRPr="009F2C47">
        <w:rPr>
          <w:lang w:val="es-AR"/>
        </w:rPr>
        <w:t>, edited by L. L. Miotti, R. S. Paunero, M. Salemme y G. R. Cattáneo, pp. 83-85. Edición Nacional, La Plata.</w:t>
      </w:r>
    </w:p>
    <w:p w14:paraId="365AEB3F" w14:textId="77777777" w:rsidR="00935D04" w:rsidRPr="009F2C47" w:rsidRDefault="00935D04" w:rsidP="00086285">
      <w:pPr>
        <w:pStyle w:val="EndNoteBibliography"/>
        <w:jc w:val="both"/>
        <w:rPr>
          <w:lang w:val="es-AR"/>
        </w:rPr>
      </w:pPr>
    </w:p>
    <w:p w14:paraId="58FFAC1F" w14:textId="77777777" w:rsidR="00935D04" w:rsidRPr="009F2C47" w:rsidRDefault="00935D04" w:rsidP="00086285">
      <w:pPr>
        <w:pStyle w:val="EndNoteBibliography"/>
        <w:jc w:val="both"/>
        <w:rPr>
          <w:lang w:val="es-AR"/>
        </w:rPr>
      </w:pPr>
      <w:r w:rsidRPr="009F2C47">
        <w:rPr>
          <w:lang w:val="es-AR"/>
        </w:rPr>
        <w:t>Miotti, Laura L., M Vázquez y D. O. Hermo</w:t>
      </w:r>
    </w:p>
    <w:p w14:paraId="637B121A" w14:textId="77777777" w:rsidR="00935D04" w:rsidRPr="009F2C47" w:rsidRDefault="00935D04" w:rsidP="00086285">
      <w:pPr>
        <w:pStyle w:val="EndNoteBibliography"/>
        <w:ind w:left="720" w:hanging="720"/>
        <w:jc w:val="both"/>
        <w:rPr>
          <w:lang w:val="es-AR"/>
        </w:rPr>
      </w:pPr>
      <w:r w:rsidRPr="009F2C47">
        <w:rPr>
          <w:lang w:val="es-AR"/>
        </w:rPr>
        <w:tab/>
        <w:t>1999</w:t>
      </w:r>
      <w:r w:rsidRPr="009F2C47">
        <w:rPr>
          <w:lang w:val="es-AR"/>
        </w:rPr>
        <w:tab/>
        <w:t>Piedra Museo un Yamnagoo Pleistocénico en la Colonización de la Meseta de Santa Cruz. El estudio de la Arqueofauna</w:t>
      </w:r>
      <w:r w:rsidRPr="009F2C47">
        <w:rPr>
          <w:i/>
          <w:lang w:val="es-AR"/>
        </w:rPr>
        <w:t>.</w:t>
      </w:r>
      <w:r w:rsidRPr="009F2C47">
        <w:rPr>
          <w:lang w:val="es-AR"/>
        </w:rPr>
        <w:t xml:space="preserve"> In </w:t>
      </w:r>
      <w:r w:rsidRPr="009F2C47">
        <w:rPr>
          <w:i/>
          <w:lang w:val="es-AR"/>
        </w:rPr>
        <w:t>Soplando en el Viento. Actas de las Terceras Jornadas de Arqueología de la Patagonia</w:t>
      </w:r>
      <w:r w:rsidRPr="009F2C47">
        <w:rPr>
          <w:lang w:val="es-AR"/>
        </w:rPr>
        <w:t>, edited by R. Goñi, pp. 113-136. Universidad Nacional del Comahue e Instituto Nacional de Antropología y Pensamiento Latinoamericano, Neuquén-Buenos Aires.</w:t>
      </w:r>
    </w:p>
    <w:p w14:paraId="03725E6B" w14:textId="77777777" w:rsidR="00935D04" w:rsidRPr="009F2C47" w:rsidRDefault="00935D04" w:rsidP="00086285">
      <w:pPr>
        <w:pStyle w:val="EndNoteBibliography"/>
        <w:jc w:val="both"/>
        <w:rPr>
          <w:lang w:val="es-AR"/>
        </w:rPr>
      </w:pPr>
    </w:p>
    <w:p w14:paraId="559CE2B8" w14:textId="77777777" w:rsidR="00935D04" w:rsidRPr="009F2C47" w:rsidRDefault="00935D04" w:rsidP="00086285">
      <w:pPr>
        <w:pStyle w:val="EndNoteBibliography"/>
        <w:jc w:val="both"/>
        <w:rPr>
          <w:lang w:val="es-AR"/>
        </w:rPr>
      </w:pPr>
      <w:r w:rsidRPr="009F2C47">
        <w:rPr>
          <w:lang w:val="es-AR"/>
        </w:rPr>
        <w:t>Paunero, Rafael S. y Alicia S. Castro</w:t>
      </w:r>
    </w:p>
    <w:p w14:paraId="7EB2A15B" w14:textId="77777777" w:rsidR="00935D04" w:rsidRPr="009F2C47" w:rsidRDefault="00935D04" w:rsidP="00086285">
      <w:pPr>
        <w:pStyle w:val="EndNoteBibliography"/>
        <w:ind w:left="720" w:hanging="720"/>
        <w:jc w:val="both"/>
        <w:rPr>
          <w:lang w:val="es-AR"/>
        </w:rPr>
      </w:pPr>
      <w:r w:rsidRPr="009F2C47">
        <w:rPr>
          <w:lang w:val="es-AR"/>
        </w:rPr>
        <w:tab/>
        <w:t>2001</w:t>
      </w:r>
      <w:r w:rsidRPr="009F2C47">
        <w:rPr>
          <w:lang w:val="es-AR"/>
        </w:rPr>
        <w:tab/>
        <w:t xml:space="preserve">Análisis lítico y funcionalidad del componente inferior de Sitio Cueva 1, Localidad Arqueológica Cerro Tres Tetas, Provincia de Santa Cruz, Argentina. </w:t>
      </w:r>
      <w:r w:rsidRPr="009F2C47">
        <w:rPr>
          <w:i/>
          <w:lang w:val="es-AR"/>
        </w:rPr>
        <w:t>Anales del Instituto de la Patagonia. Serie Ciencias Humanas</w:t>
      </w:r>
      <w:r w:rsidRPr="009F2C47">
        <w:rPr>
          <w:lang w:val="es-AR"/>
        </w:rPr>
        <w:t xml:space="preserve"> 29:189-206.</w:t>
      </w:r>
    </w:p>
    <w:p w14:paraId="25E50B35" w14:textId="77777777" w:rsidR="00935D04" w:rsidRPr="009F2C47" w:rsidRDefault="00935D04" w:rsidP="00086285">
      <w:pPr>
        <w:pStyle w:val="EndNoteBibliography"/>
        <w:jc w:val="both"/>
        <w:rPr>
          <w:lang w:val="es-AR"/>
        </w:rPr>
      </w:pPr>
    </w:p>
    <w:p w14:paraId="5EEBC080" w14:textId="77777777" w:rsidR="00935D04" w:rsidRPr="009F2C47" w:rsidRDefault="00935D04" w:rsidP="00086285">
      <w:pPr>
        <w:pStyle w:val="EndNoteBibliography"/>
        <w:jc w:val="both"/>
        <w:rPr>
          <w:lang w:val="es-AR"/>
        </w:rPr>
      </w:pPr>
      <w:r w:rsidRPr="009F2C47">
        <w:rPr>
          <w:lang w:val="es-AR"/>
        </w:rPr>
        <w:t>Paunero, Rafael S., Ariel D. Frank, Manuel E. Cueto, Fabiana Skarbun y Catalina Valiza Davis</w:t>
      </w:r>
    </w:p>
    <w:p w14:paraId="1544DCF2" w14:textId="77777777" w:rsidR="00935D04" w:rsidRPr="009F2C47" w:rsidRDefault="00935D04" w:rsidP="00086285">
      <w:pPr>
        <w:pStyle w:val="EndNoteBibliography"/>
        <w:ind w:left="720" w:hanging="720"/>
        <w:jc w:val="both"/>
        <w:rPr>
          <w:lang w:val="es-AR"/>
        </w:rPr>
      </w:pPr>
      <w:r w:rsidRPr="009F2C47">
        <w:rPr>
          <w:lang w:val="es-AR"/>
        </w:rPr>
        <w:tab/>
        <w:t>2015</w:t>
      </w:r>
      <w:r w:rsidRPr="009F2C47">
        <w:rPr>
          <w:lang w:val="es-AR"/>
        </w:rPr>
        <w:tab/>
        <w:t xml:space="preserve">La Ocupación Pleistocénica de Cueva Túnel, Meseta Central de Santa Cruz: un Espacio que Reune Actividades en torno al Procesamiento Primario de Presas. </w:t>
      </w:r>
      <w:r w:rsidRPr="009F2C47">
        <w:rPr>
          <w:i/>
          <w:lang w:val="es-AR"/>
        </w:rPr>
        <w:t>Atek Na</w:t>
      </w:r>
      <w:r w:rsidRPr="009F2C47">
        <w:rPr>
          <w:lang w:val="es-AR"/>
        </w:rPr>
        <w:t xml:space="preserve"> 5:149-188.</w:t>
      </w:r>
    </w:p>
    <w:p w14:paraId="0DDCFFB7" w14:textId="77777777" w:rsidR="00935D04" w:rsidRPr="009F2C47" w:rsidRDefault="00935D04" w:rsidP="00086285">
      <w:pPr>
        <w:pStyle w:val="EndNoteBibliography"/>
        <w:jc w:val="both"/>
        <w:rPr>
          <w:lang w:val="es-AR"/>
        </w:rPr>
      </w:pPr>
    </w:p>
    <w:p w14:paraId="724AD41D" w14:textId="77777777" w:rsidR="00935D04" w:rsidRPr="009F2C47" w:rsidRDefault="00935D04" w:rsidP="00086285">
      <w:pPr>
        <w:pStyle w:val="EndNoteBibliography"/>
        <w:jc w:val="both"/>
        <w:rPr>
          <w:lang w:val="es-AR"/>
        </w:rPr>
      </w:pPr>
      <w:r w:rsidRPr="009F2C47">
        <w:rPr>
          <w:lang w:val="es-AR"/>
        </w:rPr>
        <w:t>Paunero, Rafael S., Ariel D. Frank, Fabiana Skarbun, Gabriela Rosales, Manuel E. Cueto, Gonzalo Zapata, Matias Paunero, Natalia Lunazzi y Martín Del Giorgio</w:t>
      </w:r>
    </w:p>
    <w:p w14:paraId="3BB84510" w14:textId="77777777" w:rsidR="00935D04" w:rsidRPr="009F2C47" w:rsidRDefault="00935D04" w:rsidP="00086285">
      <w:pPr>
        <w:pStyle w:val="EndNoteBibliography"/>
        <w:ind w:left="720" w:hanging="720"/>
        <w:jc w:val="both"/>
        <w:rPr>
          <w:lang w:val="es-AR"/>
        </w:rPr>
      </w:pPr>
      <w:r w:rsidRPr="009F2C47">
        <w:rPr>
          <w:lang w:val="es-AR"/>
        </w:rPr>
        <w:tab/>
        <w:t>2007</w:t>
      </w:r>
      <w:r w:rsidRPr="009F2C47">
        <w:rPr>
          <w:lang w:val="es-AR"/>
        </w:rPr>
        <w:tab/>
        <w:t>Investigaciones arqueológicas en sitio Casa Del Minero 1, Estancia La María, Meseta Central de Santa Cruz</w:t>
      </w:r>
      <w:r w:rsidRPr="009F2C47">
        <w:rPr>
          <w:i/>
          <w:lang w:val="es-AR"/>
        </w:rPr>
        <w:t>.</w:t>
      </w:r>
      <w:r w:rsidRPr="009F2C47">
        <w:rPr>
          <w:lang w:val="es-AR"/>
        </w:rPr>
        <w:t xml:space="preserve"> In </w:t>
      </w:r>
      <w:r w:rsidRPr="009F2C47">
        <w:rPr>
          <w:i/>
          <w:lang w:val="es-AR"/>
        </w:rPr>
        <w:t>Arqueología de Fuego-Patagonia. Levantando piedras, desenterrando huesos... y develando arcanos</w:t>
      </w:r>
      <w:r w:rsidRPr="009F2C47">
        <w:rPr>
          <w:lang w:val="es-AR"/>
        </w:rPr>
        <w:t xml:space="preserve">, edited by F. Morello, A. </w:t>
      </w:r>
      <w:r w:rsidRPr="009F2C47">
        <w:rPr>
          <w:lang w:val="es-AR"/>
        </w:rPr>
        <w:lastRenderedPageBreak/>
        <w:t>Prieto, M. Martinic y G. Bahamonde, pp. 577-588. Centro de Estudios del Cuaternario Antártico (CEQUA), Punta Arenas, Chile.</w:t>
      </w:r>
    </w:p>
    <w:p w14:paraId="273E3947" w14:textId="77777777" w:rsidR="00935D04" w:rsidRPr="009F2C47" w:rsidRDefault="00935D04" w:rsidP="00086285">
      <w:pPr>
        <w:pStyle w:val="EndNoteBibliography"/>
        <w:jc w:val="both"/>
        <w:rPr>
          <w:lang w:val="es-AR"/>
        </w:rPr>
      </w:pPr>
    </w:p>
    <w:p w14:paraId="192810B1" w14:textId="77777777" w:rsidR="00935D04" w:rsidRPr="00086285" w:rsidRDefault="00935D04" w:rsidP="00086285">
      <w:pPr>
        <w:pStyle w:val="Epigrafes"/>
        <w:jc w:val="both"/>
        <w:rPr>
          <w:rFonts w:ascii="Times New Roman" w:hAnsi="Times New Roman"/>
          <w:sz w:val="24"/>
          <w:lang w:val="es-AR"/>
        </w:rPr>
      </w:pPr>
    </w:p>
    <w:p w14:paraId="31151D1C" w14:textId="77777777" w:rsidR="005262AC" w:rsidRDefault="005262AC"/>
    <w:sectPr w:rsidR="005262AC" w:rsidSect="00C942C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s>
  <w:rsids>
    <w:rsidRoot w:val="00935D04"/>
    <w:rsid w:val="005262AC"/>
    <w:rsid w:val="00935D04"/>
    <w:rsid w:val="009F2C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FA7D5"/>
  <w15:chartTrackingRefBased/>
  <w15:docId w15:val="{9F35E902-E9DA-4216-8F96-8EB25103E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5D04"/>
    <w:pPr>
      <w:keepNext/>
      <w:spacing w:after="0" w:line="480" w:lineRule="auto"/>
      <w:jc w:val="both"/>
    </w:pPr>
    <w:rPr>
      <w:rFonts w:ascii="Times New Roman" w:eastAsia="Times New Roman" w:hAnsi="Times New Roman" w:cs="Times New Roman"/>
      <w:sz w:val="24"/>
      <w:szCs w:val="24"/>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abla">
    <w:name w:val="Tabla"/>
    <w:basedOn w:val="Normal"/>
    <w:link w:val="TablaCar"/>
    <w:uiPriority w:val="99"/>
    <w:rsid w:val="00935D04"/>
    <w:pPr>
      <w:keepLines/>
      <w:autoSpaceDE w:val="0"/>
      <w:autoSpaceDN w:val="0"/>
      <w:adjustRightInd w:val="0"/>
      <w:spacing w:line="240" w:lineRule="auto"/>
      <w:jc w:val="center"/>
    </w:pPr>
    <w:rPr>
      <w:rFonts w:ascii="Calibri" w:eastAsia="Calibri" w:hAnsi="Calibri"/>
      <w:color w:val="000000"/>
      <w:spacing w:val="-4"/>
      <w:sz w:val="20"/>
      <w:szCs w:val="20"/>
      <w:lang w:val="x-none" w:eastAsia="x-none"/>
    </w:rPr>
  </w:style>
  <w:style w:type="character" w:customStyle="1" w:styleId="TablaCar">
    <w:name w:val="Tabla Car"/>
    <w:link w:val="Tabla"/>
    <w:uiPriority w:val="99"/>
    <w:locked/>
    <w:rsid w:val="00935D04"/>
    <w:rPr>
      <w:rFonts w:ascii="Calibri" w:eastAsia="Calibri" w:hAnsi="Calibri" w:cs="Times New Roman"/>
      <w:color w:val="000000"/>
      <w:spacing w:val="-4"/>
      <w:sz w:val="20"/>
      <w:szCs w:val="20"/>
      <w:lang w:val="x-none" w:eastAsia="x-none"/>
    </w:rPr>
  </w:style>
  <w:style w:type="character" w:styleId="Refdecomentario">
    <w:name w:val="annotation reference"/>
    <w:uiPriority w:val="99"/>
    <w:semiHidden/>
    <w:rsid w:val="00935D04"/>
    <w:rPr>
      <w:rFonts w:cs="Times New Roman"/>
      <w:sz w:val="16"/>
      <w:szCs w:val="16"/>
    </w:rPr>
  </w:style>
  <w:style w:type="paragraph" w:styleId="Textocomentario">
    <w:name w:val="annotation text"/>
    <w:basedOn w:val="Normal"/>
    <w:link w:val="TextocomentarioCar"/>
    <w:uiPriority w:val="99"/>
    <w:rsid w:val="00935D04"/>
    <w:pPr>
      <w:spacing w:line="240" w:lineRule="auto"/>
    </w:pPr>
    <w:rPr>
      <w:rFonts w:ascii="Calibri" w:eastAsia="Calibri" w:hAnsi="Calibri"/>
      <w:sz w:val="20"/>
      <w:szCs w:val="20"/>
      <w:lang w:val="x-none" w:eastAsia="x-none"/>
    </w:rPr>
  </w:style>
  <w:style w:type="character" w:customStyle="1" w:styleId="TextocomentarioCar">
    <w:name w:val="Texto comentario Car"/>
    <w:link w:val="Textocomentario"/>
    <w:uiPriority w:val="99"/>
    <w:rsid w:val="00935D04"/>
    <w:rPr>
      <w:rFonts w:ascii="Calibri" w:eastAsia="Calibri" w:hAnsi="Calibri" w:cs="Times New Roman"/>
      <w:sz w:val="20"/>
      <w:szCs w:val="20"/>
      <w:lang w:val="x-none" w:eastAsia="x-none"/>
    </w:rPr>
  </w:style>
  <w:style w:type="paragraph" w:styleId="Textodeglobo">
    <w:name w:val="Balloon Text"/>
    <w:basedOn w:val="Normal"/>
    <w:link w:val="TextodegloboCar"/>
    <w:uiPriority w:val="99"/>
    <w:semiHidden/>
    <w:unhideWhenUsed/>
    <w:rsid w:val="00935D04"/>
    <w:pPr>
      <w:spacing w:line="240" w:lineRule="auto"/>
    </w:pPr>
    <w:rPr>
      <w:rFonts w:ascii="Segoe UI" w:hAnsi="Segoe UI"/>
      <w:sz w:val="18"/>
      <w:szCs w:val="18"/>
      <w:lang w:val="x-none" w:eastAsia="x-none"/>
    </w:rPr>
  </w:style>
  <w:style w:type="character" w:customStyle="1" w:styleId="TextodegloboCar">
    <w:name w:val="Texto de globo Car"/>
    <w:link w:val="Textodeglobo"/>
    <w:uiPriority w:val="99"/>
    <w:semiHidden/>
    <w:rsid w:val="00935D04"/>
    <w:rPr>
      <w:rFonts w:ascii="Segoe UI" w:eastAsia="Times New Roman" w:hAnsi="Segoe UI" w:cs="Times New Roman"/>
      <w:sz w:val="18"/>
      <w:szCs w:val="18"/>
      <w:lang w:val="x-none" w:eastAsia="x-none"/>
    </w:rPr>
  </w:style>
  <w:style w:type="paragraph" w:customStyle="1" w:styleId="Epigrafes">
    <w:name w:val="Epigrafes"/>
    <w:basedOn w:val="Normal"/>
    <w:link w:val="EpigrafesCar"/>
    <w:uiPriority w:val="99"/>
    <w:rsid w:val="00935D04"/>
    <w:pPr>
      <w:spacing w:after="480" w:line="276" w:lineRule="auto"/>
      <w:jc w:val="center"/>
    </w:pPr>
    <w:rPr>
      <w:rFonts w:ascii="Calibri" w:eastAsia="Calibri" w:hAnsi="Calibri"/>
      <w:sz w:val="20"/>
      <w:szCs w:val="20"/>
      <w:lang w:val="x-none" w:eastAsia="x-none"/>
    </w:rPr>
  </w:style>
  <w:style w:type="character" w:customStyle="1" w:styleId="EpigrafesCar">
    <w:name w:val="Epigrafes Car"/>
    <w:link w:val="Epigrafes"/>
    <w:uiPriority w:val="99"/>
    <w:locked/>
    <w:rsid w:val="00935D04"/>
    <w:rPr>
      <w:rFonts w:ascii="Calibri" w:eastAsia="Calibri" w:hAnsi="Calibri" w:cs="Times New Roman"/>
      <w:sz w:val="20"/>
      <w:szCs w:val="20"/>
      <w:lang w:val="x-none" w:eastAsia="x-none"/>
    </w:rPr>
  </w:style>
  <w:style w:type="paragraph" w:styleId="Asuntodelcomentario">
    <w:name w:val="annotation subject"/>
    <w:basedOn w:val="Textocomentario"/>
    <w:next w:val="Textocomentario"/>
    <w:link w:val="AsuntodelcomentarioCar"/>
    <w:uiPriority w:val="99"/>
    <w:semiHidden/>
    <w:unhideWhenUsed/>
    <w:rsid w:val="00935D04"/>
    <w:rPr>
      <w:rFonts w:ascii="Times New Roman" w:eastAsia="Times New Roman" w:hAnsi="Times New Roman"/>
      <w:b/>
      <w:bCs/>
    </w:rPr>
  </w:style>
  <w:style w:type="character" w:customStyle="1" w:styleId="AsuntodelcomentarioCar">
    <w:name w:val="Asunto del comentario Car"/>
    <w:link w:val="Asuntodelcomentario"/>
    <w:uiPriority w:val="99"/>
    <w:semiHidden/>
    <w:rsid w:val="00935D04"/>
    <w:rPr>
      <w:rFonts w:ascii="Times New Roman" w:eastAsia="Times New Roman" w:hAnsi="Times New Roman" w:cs="Times New Roman"/>
      <w:b/>
      <w:bCs/>
      <w:sz w:val="20"/>
      <w:szCs w:val="20"/>
      <w:lang w:val="x-none" w:eastAsia="x-none"/>
    </w:rPr>
  </w:style>
  <w:style w:type="paragraph" w:customStyle="1" w:styleId="EndNoteBibliographyTitle">
    <w:name w:val="EndNote Bibliography Title"/>
    <w:basedOn w:val="Normal"/>
    <w:link w:val="EndNoteBibliographyTitleCar"/>
    <w:rsid w:val="00935D04"/>
    <w:pPr>
      <w:jc w:val="center"/>
    </w:pPr>
    <w:rPr>
      <w:noProof/>
      <w:lang w:val="en-US"/>
    </w:rPr>
  </w:style>
  <w:style w:type="character" w:customStyle="1" w:styleId="EndNoteBibliographyTitleCar">
    <w:name w:val="EndNote Bibliography Title Car"/>
    <w:link w:val="EndNoteBibliographyTitle"/>
    <w:rsid w:val="00935D04"/>
    <w:rPr>
      <w:rFonts w:ascii="Times New Roman" w:eastAsia="Times New Roman" w:hAnsi="Times New Roman" w:cs="Times New Roman"/>
      <w:noProof/>
      <w:sz w:val="24"/>
      <w:szCs w:val="24"/>
    </w:rPr>
  </w:style>
  <w:style w:type="paragraph" w:customStyle="1" w:styleId="EndNoteBibliography">
    <w:name w:val="EndNote Bibliography"/>
    <w:basedOn w:val="Normal"/>
    <w:link w:val="EndNoteBibliographyCar"/>
    <w:rsid w:val="00935D04"/>
    <w:pPr>
      <w:spacing w:line="240" w:lineRule="auto"/>
      <w:jc w:val="center"/>
    </w:pPr>
    <w:rPr>
      <w:noProof/>
      <w:lang w:val="en-US"/>
    </w:rPr>
  </w:style>
  <w:style w:type="character" w:customStyle="1" w:styleId="EndNoteBibliographyCar">
    <w:name w:val="EndNote Bibliography Car"/>
    <w:link w:val="EndNoteBibliography"/>
    <w:rsid w:val="00935D04"/>
    <w:rPr>
      <w:rFonts w:ascii="Times New Roman" w:eastAsia="Times New Roman" w:hAnsi="Times New Roman" w:cs="Times New Roman"/>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715</Words>
  <Characters>3937</Characters>
  <Application>Microsoft Office Word</Application>
  <DocSecurity>0</DocSecurity>
  <Lines>32</Lines>
  <Paragraphs>9</Paragraphs>
  <ScaleCrop>false</ScaleCrop>
  <Company/>
  <LinksUpToDate>false</LinksUpToDate>
  <CharactersWithSpaces>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aaa</dc:creator>
  <cp:keywords/>
  <dc:description/>
  <cp:lastModifiedBy>aaa</cp:lastModifiedBy>
  <cp:revision>2</cp:revision>
  <dcterms:created xsi:type="dcterms:W3CDTF">2020-11-05T10:41:00Z</dcterms:created>
  <dcterms:modified xsi:type="dcterms:W3CDTF">2020-11-09T12:15:00Z</dcterms:modified>
</cp:coreProperties>
</file>