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6C" w:rsidRDefault="00D5186C" w:rsidP="00D5186C">
      <w:pPr>
        <w:spacing w:after="0" w:line="480" w:lineRule="auto"/>
        <w:rPr>
          <w:rFonts w:ascii="Arial" w:hAnsi="Arial" w:cs="Arial"/>
          <w:b/>
          <w:sz w:val="24"/>
          <w:szCs w:val="24"/>
        </w:rPr>
      </w:pPr>
      <w:r>
        <w:rPr>
          <w:rFonts w:ascii="Arial" w:hAnsi="Arial" w:cs="Arial"/>
          <w:b/>
          <w:sz w:val="24"/>
          <w:szCs w:val="24"/>
        </w:rPr>
        <w:t>Supplementary Table 1. Clinical and echocardiographic outcomes</w:t>
      </w:r>
    </w:p>
    <w:tbl>
      <w:tblPr>
        <w:tblW w:w="10160" w:type="dxa"/>
        <w:tblCellMar>
          <w:left w:w="70" w:type="dxa"/>
          <w:right w:w="70" w:type="dxa"/>
        </w:tblCellMar>
        <w:tblLook w:val="04A0" w:firstRow="1" w:lastRow="0" w:firstColumn="1" w:lastColumn="0" w:noHBand="0" w:noVBand="1"/>
      </w:tblPr>
      <w:tblGrid>
        <w:gridCol w:w="360"/>
        <w:gridCol w:w="400"/>
        <w:gridCol w:w="3209"/>
        <w:gridCol w:w="1134"/>
        <w:gridCol w:w="1134"/>
        <w:gridCol w:w="1134"/>
        <w:gridCol w:w="669"/>
        <w:gridCol w:w="1060"/>
        <w:gridCol w:w="1060"/>
      </w:tblGrid>
      <w:tr w:rsidR="00D5186C" w:rsidTr="002A5861">
        <w:trPr>
          <w:trHeight w:val="300"/>
        </w:trPr>
        <w:tc>
          <w:tcPr>
            <w:tcW w:w="360" w:type="dxa"/>
            <w:tcBorders>
              <w:top w:val="single" w:sz="4" w:space="0" w:color="auto"/>
              <w:left w:val="nil"/>
              <w:bottom w:val="nil"/>
              <w:right w:val="nil"/>
            </w:tcBorders>
            <w:noWrap/>
            <w:vAlign w:val="bottom"/>
            <w:hideMark/>
          </w:tcPr>
          <w:p w:rsidR="00D5186C" w:rsidRPr="00353EE3"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400" w:type="dxa"/>
            <w:tcBorders>
              <w:top w:val="single" w:sz="4" w:space="0" w:color="auto"/>
              <w:left w:val="nil"/>
              <w:bottom w:val="nil"/>
              <w:right w:val="nil"/>
            </w:tcBorders>
            <w:noWrap/>
            <w:vAlign w:val="bottom"/>
            <w:hideMark/>
          </w:tcPr>
          <w:p w:rsidR="00D5186C"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3209" w:type="dxa"/>
            <w:tcBorders>
              <w:top w:val="single" w:sz="4" w:space="0" w:color="auto"/>
              <w:left w:val="nil"/>
              <w:bottom w:val="nil"/>
              <w:right w:val="nil"/>
            </w:tcBorders>
            <w:noWrap/>
            <w:vAlign w:val="bottom"/>
            <w:hideMark/>
          </w:tcPr>
          <w:p w:rsidR="00D5186C"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1134" w:type="dxa"/>
            <w:tcBorders>
              <w:top w:val="single" w:sz="4" w:space="0" w:color="auto"/>
              <w:left w:val="nil"/>
              <w:bottom w:val="nil"/>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Total</w:t>
            </w:r>
          </w:p>
        </w:tc>
        <w:tc>
          <w:tcPr>
            <w:tcW w:w="1134" w:type="dxa"/>
            <w:tcBorders>
              <w:top w:val="single" w:sz="4" w:space="0" w:color="auto"/>
              <w:left w:val="nil"/>
              <w:bottom w:val="nil"/>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IVIG</w:t>
            </w:r>
          </w:p>
        </w:tc>
        <w:tc>
          <w:tcPr>
            <w:tcW w:w="1134" w:type="dxa"/>
            <w:tcBorders>
              <w:top w:val="single" w:sz="4" w:space="0" w:color="auto"/>
              <w:left w:val="nil"/>
              <w:bottom w:val="nil"/>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No IVIG</w:t>
            </w:r>
          </w:p>
        </w:tc>
        <w:tc>
          <w:tcPr>
            <w:tcW w:w="669" w:type="dxa"/>
            <w:tcBorders>
              <w:top w:val="single" w:sz="4" w:space="0" w:color="auto"/>
              <w:left w:val="nil"/>
              <w:bottom w:val="nil"/>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HR</w:t>
            </w:r>
          </w:p>
        </w:tc>
        <w:tc>
          <w:tcPr>
            <w:tcW w:w="1060" w:type="dxa"/>
            <w:tcBorders>
              <w:top w:val="single" w:sz="4" w:space="0" w:color="auto"/>
              <w:left w:val="nil"/>
              <w:bottom w:val="nil"/>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95%-CI</w:t>
            </w:r>
          </w:p>
        </w:tc>
        <w:tc>
          <w:tcPr>
            <w:tcW w:w="1060" w:type="dxa"/>
            <w:tcBorders>
              <w:top w:val="single" w:sz="4" w:space="0" w:color="auto"/>
              <w:left w:val="nil"/>
              <w:bottom w:val="nil"/>
              <w:right w:val="nil"/>
            </w:tcBorders>
            <w:noWrap/>
            <w:vAlign w:val="bottom"/>
            <w:hideMark/>
          </w:tcPr>
          <w:p w:rsidR="00D5186C" w:rsidRDefault="00D5186C" w:rsidP="002A5861">
            <w:pPr>
              <w:spacing w:after="0" w:line="240" w:lineRule="auto"/>
              <w:jc w:val="center"/>
              <w:rPr>
                <w:rFonts w:ascii="Arial" w:eastAsia="Times New Roman" w:hAnsi="Arial" w:cs="Arial"/>
                <w:b/>
                <w:bCs/>
                <w:i/>
                <w:iCs/>
                <w:color w:val="000000"/>
                <w:sz w:val="20"/>
                <w:szCs w:val="20"/>
                <w:lang w:eastAsia="nl-NL"/>
              </w:rPr>
            </w:pPr>
            <w:r>
              <w:rPr>
                <w:rFonts w:ascii="Arial" w:eastAsia="Times New Roman" w:hAnsi="Arial" w:cs="Arial"/>
                <w:b/>
                <w:bCs/>
                <w:i/>
                <w:iCs/>
                <w:color w:val="000000"/>
                <w:sz w:val="20"/>
                <w:szCs w:val="20"/>
                <w:lang w:eastAsia="nl-NL"/>
              </w:rPr>
              <w:t>p</w:t>
            </w:r>
            <w:r>
              <w:rPr>
                <w:rFonts w:ascii="Arial" w:eastAsia="Times New Roman" w:hAnsi="Arial" w:cs="Arial"/>
                <w:b/>
                <w:bCs/>
                <w:color w:val="000000"/>
                <w:sz w:val="20"/>
                <w:szCs w:val="20"/>
                <w:lang w:eastAsia="nl-NL"/>
              </w:rPr>
              <w:t>-value</w:t>
            </w:r>
          </w:p>
        </w:tc>
      </w:tr>
      <w:tr w:rsidR="00D5186C" w:rsidTr="002A5861">
        <w:trPr>
          <w:trHeight w:val="300"/>
        </w:trPr>
        <w:tc>
          <w:tcPr>
            <w:tcW w:w="360" w:type="dxa"/>
            <w:tcBorders>
              <w:top w:val="nil"/>
              <w:left w:val="nil"/>
              <w:bottom w:val="single" w:sz="4" w:space="0" w:color="auto"/>
              <w:right w:val="nil"/>
            </w:tcBorders>
            <w:noWrap/>
            <w:vAlign w:val="bottom"/>
            <w:hideMark/>
          </w:tcPr>
          <w:p w:rsidR="00D5186C"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400" w:type="dxa"/>
            <w:tcBorders>
              <w:top w:val="nil"/>
              <w:left w:val="nil"/>
              <w:bottom w:val="single" w:sz="4" w:space="0" w:color="auto"/>
              <w:right w:val="nil"/>
            </w:tcBorders>
            <w:noWrap/>
            <w:vAlign w:val="bottom"/>
            <w:hideMark/>
          </w:tcPr>
          <w:p w:rsidR="00D5186C"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3209" w:type="dxa"/>
            <w:tcBorders>
              <w:top w:val="nil"/>
              <w:left w:val="nil"/>
              <w:bottom w:val="single" w:sz="4" w:space="0" w:color="auto"/>
              <w:right w:val="nil"/>
            </w:tcBorders>
            <w:noWrap/>
            <w:vAlign w:val="bottom"/>
            <w:hideMark/>
          </w:tcPr>
          <w:p w:rsidR="00D5186C"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1134"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i/>
                <w:iCs/>
                <w:color w:val="000000"/>
                <w:sz w:val="20"/>
                <w:szCs w:val="20"/>
                <w:lang w:eastAsia="nl-NL"/>
              </w:rPr>
              <w:t>n</w:t>
            </w:r>
            <w:r>
              <w:rPr>
                <w:rFonts w:ascii="Arial" w:eastAsia="Times New Roman" w:hAnsi="Arial" w:cs="Arial"/>
                <w:b/>
                <w:bCs/>
                <w:color w:val="000000"/>
                <w:sz w:val="20"/>
                <w:szCs w:val="20"/>
                <w:lang w:eastAsia="nl-NL"/>
              </w:rPr>
              <w:t xml:space="preserve"> = 94</w:t>
            </w:r>
          </w:p>
        </w:tc>
        <w:tc>
          <w:tcPr>
            <w:tcW w:w="1134"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i/>
                <w:iCs/>
                <w:color w:val="000000"/>
                <w:sz w:val="20"/>
                <w:szCs w:val="20"/>
                <w:lang w:eastAsia="nl-NL"/>
              </w:rPr>
              <w:t>n</w:t>
            </w:r>
            <w:r>
              <w:rPr>
                <w:rFonts w:ascii="Arial" w:eastAsia="Times New Roman" w:hAnsi="Arial" w:cs="Arial"/>
                <w:b/>
                <w:bCs/>
                <w:color w:val="000000"/>
                <w:sz w:val="20"/>
                <w:szCs w:val="20"/>
                <w:lang w:eastAsia="nl-NL"/>
              </w:rPr>
              <w:t xml:space="preserve"> = 21</w:t>
            </w:r>
          </w:p>
        </w:tc>
        <w:tc>
          <w:tcPr>
            <w:tcW w:w="1134"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i/>
                <w:iCs/>
                <w:color w:val="000000"/>
                <w:sz w:val="20"/>
                <w:szCs w:val="20"/>
                <w:lang w:eastAsia="nl-NL"/>
              </w:rPr>
              <w:t>n</w:t>
            </w:r>
            <w:r>
              <w:rPr>
                <w:rFonts w:ascii="Arial" w:eastAsia="Times New Roman" w:hAnsi="Arial" w:cs="Arial"/>
                <w:b/>
                <w:bCs/>
                <w:color w:val="000000"/>
                <w:sz w:val="20"/>
                <w:szCs w:val="20"/>
                <w:lang w:eastAsia="nl-NL"/>
              </w:rPr>
              <w:t xml:space="preserve"> = 73</w:t>
            </w:r>
          </w:p>
        </w:tc>
        <w:tc>
          <w:tcPr>
            <w:tcW w:w="669"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1060"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c>
          <w:tcPr>
            <w:tcW w:w="1060"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 </w:t>
            </w:r>
          </w:p>
        </w:tc>
      </w:tr>
      <w:tr w:rsidR="00D5186C" w:rsidTr="002A5861">
        <w:trPr>
          <w:trHeight w:val="300"/>
        </w:trPr>
        <w:tc>
          <w:tcPr>
            <w:tcW w:w="3969" w:type="dxa"/>
            <w:gridSpan w:val="3"/>
            <w:noWrap/>
            <w:vAlign w:val="bottom"/>
            <w:hideMark/>
          </w:tcPr>
          <w:p w:rsidR="00D5186C"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Cox regression analysis</w:t>
            </w:r>
          </w:p>
        </w:tc>
        <w:tc>
          <w:tcPr>
            <w:tcW w:w="1134" w:type="dxa"/>
            <w:noWrap/>
            <w:vAlign w:val="bottom"/>
            <w:hideMark/>
          </w:tcPr>
          <w:p w:rsidR="00D5186C" w:rsidRDefault="00D5186C" w:rsidP="002A5861">
            <w:pPr>
              <w:rPr>
                <w:rFonts w:ascii="Arial" w:eastAsia="Times New Roman" w:hAnsi="Arial" w:cs="Arial"/>
                <w:b/>
                <w:bCs/>
                <w:color w:val="000000"/>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669"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135"/>
        </w:trPr>
        <w:tc>
          <w:tcPr>
            <w:tcW w:w="3969" w:type="dxa"/>
            <w:gridSpan w:val="3"/>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669"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300"/>
        </w:trPr>
        <w:tc>
          <w:tcPr>
            <w:tcW w:w="3969" w:type="dxa"/>
            <w:gridSpan w:val="3"/>
            <w:noWrap/>
            <w:vAlign w:val="bottom"/>
            <w:hideMark/>
          </w:tcPr>
          <w:p w:rsidR="00D5186C" w:rsidRDefault="00D5186C" w:rsidP="002A5861">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Deceased/heart transplant </w:t>
            </w:r>
            <w:r>
              <w:rPr>
                <w:rFonts w:ascii="Arial" w:eastAsia="Times New Roman" w:hAnsi="Arial" w:cs="Arial"/>
                <w:i/>
                <w:iCs/>
                <w:color w:val="000000"/>
                <w:sz w:val="20"/>
                <w:szCs w:val="20"/>
                <w:lang w:eastAsia="nl-NL"/>
              </w:rPr>
              <w:t>n (%)</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20 (21)</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 (10)</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18 (25)</w:t>
            </w:r>
          </w:p>
        </w:tc>
        <w:tc>
          <w:tcPr>
            <w:tcW w:w="669"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0.53</w:t>
            </w:r>
          </w:p>
        </w:tc>
        <w:tc>
          <w:tcPr>
            <w:tcW w:w="1060"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0.11-2.60</w:t>
            </w:r>
          </w:p>
        </w:tc>
        <w:tc>
          <w:tcPr>
            <w:tcW w:w="1060"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0.432</w:t>
            </w:r>
          </w:p>
        </w:tc>
      </w:tr>
      <w:tr w:rsidR="00D5186C" w:rsidTr="002A5861">
        <w:trPr>
          <w:trHeight w:val="135"/>
        </w:trPr>
        <w:tc>
          <w:tcPr>
            <w:tcW w:w="3969" w:type="dxa"/>
            <w:gridSpan w:val="3"/>
            <w:noWrap/>
            <w:vAlign w:val="bottom"/>
            <w:hideMark/>
          </w:tcPr>
          <w:p w:rsidR="00D5186C" w:rsidRDefault="00D5186C" w:rsidP="002A5861">
            <w:pPr>
              <w:rPr>
                <w:rFonts w:ascii="Arial" w:eastAsia="Times New Roman" w:hAnsi="Arial" w:cs="Arial"/>
                <w:color w:val="000000"/>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669"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300"/>
        </w:trPr>
        <w:tc>
          <w:tcPr>
            <w:tcW w:w="3969" w:type="dxa"/>
            <w:gridSpan w:val="3"/>
            <w:noWrap/>
            <w:vAlign w:val="bottom"/>
            <w:hideMark/>
          </w:tcPr>
          <w:p w:rsidR="00D5186C" w:rsidRDefault="00D5186C" w:rsidP="002A5861">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Complete recovery </w:t>
            </w:r>
            <w:r>
              <w:rPr>
                <w:rFonts w:ascii="Arial" w:eastAsia="Times New Roman" w:hAnsi="Arial" w:cs="Arial"/>
                <w:i/>
                <w:iCs/>
                <w:color w:val="000000"/>
                <w:sz w:val="20"/>
                <w:szCs w:val="20"/>
                <w:lang w:eastAsia="nl-NL"/>
              </w:rPr>
              <w:t>n (%)</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34 (36)</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12 (57)</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22 (30)</w:t>
            </w:r>
          </w:p>
        </w:tc>
        <w:tc>
          <w:tcPr>
            <w:tcW w:w="669"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2.13</w:t>
            </w:r>
          </w:p>
        </w:tc>
        <w:tc>
          <w:tcPr>
            <w:tcW w:w="1060"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0.98-4.61</w:t>
            </w:r>
          </w:p>
        </w:tc>
        <w:tc>
          <w:tcPr>
            <w:tcW w:w="1060"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0.056</w:t>
            </w:r>
          </w:p>
        </w:tc>
      </w:tr>
      <w:tr w:rsidR="00D5186C" w:rsidTr="002A5861">
        <w:trPr>
          <w:trHeight w:val="300"/>
        </w:trPr>
        <w:tc>
          <w:tcPr>
            <w:tcW w:w="3969" w:type="dxa"/>
            <w:gridSpan w:val="3"/>
            <w:noWrap/>
            <w:vAlign w:val="bottom"/>
            <w:hideMark/>
          </w:tcPr>
          <w:p w:rsidR="00D5186C" w:rsidRDefault="00D5186C" w:rsidP="002A5861">
            <w:pPr>
              <w:rPr>
                <w:rFonts w:ascii="Arial" w:eastAsia="Times New Roman" w:hAnsi="Arial" w:cs="Arial"/>
                <w:color w:val="000000"/>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669"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300"/>
        </w:trPr>
        <w:tc>
          <w:tcPr>
            <w:tcW w:w="3969" w:type="dxa"/>
            <w:gridSpan w:val="3"/>
            <w:noWrap/>
            <w:vAlign w:val="bottom"/>
            <w:hideMark/>
          </w:tcPr>
          <w:p w:rsidR="00D5186C" w:rsidRDefault="00D5186C" w:rsidP="002A5861">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color w:val="000000"/>
                <w:sz w:val="20"/>
                <w:szCs w:val="20"/>
                <w:lang w:eastAsia="nl-NL"/>
              </w:rPr>
              <w:t>Echocardiography at 6 mo (</w:t>
            </w:r>
            <w:r>
              <w:rPr>
                <w:rFonts w:ascii="Arial" w:eastAsia="Times New Roman" w:hAnsi="Arial" w:cs="Arial"/>
                <w:b/>
                <w:bCs/>
                <w:i/>
                <w:iCs/>
                <w:color w:val="000000"/>
                <w:sz w:val="20"/>
                <w:szCs w:val="20"/>
                <w:lang w:eastAsia="nl-NL"/>
              </w:rPr>
              <w:t>mean ± SD)</w:t>
            </w:r>
          </w:p>
        </w:tc>
        <w:tc>
          <w:tcPr>
            <w:tcW w:w="1134" w:type="dxa"/>
            <w:noWrap/>
            <w:vAlign w:val="bottom"/>
            <w:hideMark/>
          </w:tcPr>
          <w:p w:rsidR="00D5186C" w:rsidRDefault="00D5186C" w:rsidP="002A5861">
            <w:pPr>
              <w:rPr>
                <w:rFonts w:ascii="Arial" w:eastAsia="Times New Roman" w:hAnsi="Arial" w:cs="Arial"/>
                <w:b/>
                <w:bCs/>
                <w:color w:val="000000"/>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669"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135"/>
        </w:trPr>
        <w:tc>
          <w:tcPr>
            <w:tcW w:w="3969" w:type="dxa"/>
            <w:gridSpan w:val="3"/>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669"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300"/>
        </w:trPr>
        <w:tc>
          <w:tcPr>
            <w:tcW w:w="3969" w:type="dxa"/>
            <w:gridSpan w:val="3"/>
            <w:noWrap/>
            <w:vAlign w:val="bottom"/>
            <w:hideMark/>
          </w:tcPr>
          <w:p w:rsidR="00D5186C" w:rsidRDefault="00D5186C" w:rsidP="002A5861">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LVEDd z-score (</w:t>
            </w:r>
            <w:r>
              <w:rPr>
                <w:rFonts w:ascii="Arial" w:eastAsia="Times New Roman" w:hAnsi="Arial" w:cs="Arial"/>
                <w:i/>
                <w:iCs/>
                <w:color w:val="000000"/>
                <w:sz w:val="20"/>
                <w:szCs w:val="20"/>
                <w:lang w:eastAsia="nl-NL"/>
              </w:rPr>
              <w:t xml:space="preserve">n </w:t>
            </w:r>
            <w:r>
              <w:rPr>
                <w:rFonts w:ascii="Arial" w:eastAsia="Times New Roman" w:hAnsi="Arial" w:cs="Arial"/>
                <w:color w:val="000000"/>
                <w:sz w:val="20"/>
                <w:szCs w:val="20"/>
                <w:lang w:eastAsia="nl-NL"/>
              </w:rPr>
              <w:t>= 79)</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3.8 ± 2.9</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3.3 ± 2.8</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4.0 ± 3.0</w:t>
            </w:r>
          </w:p>
        </w:tc>
        <w:tc>
          <w:tcPr>
            <w:tcW w:w="669" w:type="dxa"/>
            <w:noWrap/>
            <w:vAlign w:val="bottom"/>
            <w:hideMark/>
          </w:tcPr>
          <w:p w:rsidR="00D5186C" w:rsidRDefault="00D5186C" w:rsidP="002A5861">
            <w:pPr>
              <w:rPr>
                <w:rFonts w:ascii="Arial" w:eastAsia="Times New Roman" w:hAnsi="Arial" w:cs="Arial"/>
                <w:color w:val="000000"/>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300"/>
        </w:trPr>
        <w:tc>
          <w:tcPr>
            <w:tcW w:w="360" w:type="dxa"/>
            <w:noWrap/>
            <w:vAlign w:val="bottom"/>
            <w:hideMark/>
          </w:tcPr>
          <w:p w:rsidR="00D5186C" w:rsidRDefault="00D5186C" w:rsidP="002A5861">
            <w:pPr>
              <w:spacing w:after="0"/>
              <w:rPr>
                <w:sz w:val="20"/>
                <w:szCs w:val="20"/>
                <w:lang w:eastAsia="nl-NL"/>
              </w:rPr>
            </w:pPr>
          </w:p>
        </w:tc>
        <w:tc>
          <w:tcPr>
            <w:tcW w:w="3609" w:type="dxa"/>
            <w:gridSpan w:val="2"/>
            <w:noWrap/>
            <w:vAlign w:val="bottom"/>
            <w:hideMark/>
          </w:tcPr>
          <w:p w:rsidR="00D5186C" w:rsidRDefault="00D5186C" w:rsidP="002A5861">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Shift from baseline (</w:t>
            </w:r>
            <w:r>
              <w:rPr>
                <w:rFonts w:ascii="Arial" w:eastAsia="Times New Roman" w:hAnsi="Arial" w:cs="Arial"/>
                <w:i/>
                <w:iCs/>
                <w:color w:val="000000"/>
                <w:sz w:val="20"/>
                <w:szCs w:val="20"/>
                <w:lang w:eastAsia="nl-NL"/>
              </w:rPr>
              <w:t xml:space="preserve">n </w:t>
            </w:r>
            <w:r>
              <w:rPr>
                <w:rFonts w:ascii="Arial" w:eastAsia="Times New Roman" w:hAnsi="Arial" w:cs="Arial"/>
                <w:color w:val="000000"/>
                <w:sz w:val="20"/>
                <w:szCs w:val="20"/>
                <w:lang w:eastAsia="nl-NL"/>
              </w:rPr>
              <w:t>= 78)</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 -1.8 </w:t>
            </w:r>
            <w:r>
              <w:rPr>
                <w:rFonts w:eastAsia="Times New Roman" w:cs="Calibri"/>
                <w:color w:val="000000"/>
                <w:sz w:val="20"/>
                <w:szCs w:val="20"/>
                <w:lang w:eastAsia="nl-NL"/>
              </w:rPr>
              <w:t xml:space="preserve">± </w:t>
            </w:r>
            <w:r>
              <w:rPr>
                <w:rFonts w:ascii="Arial" w:eastAsia="Times New Roman" w:hAnsi="Arial" w:cs="Arial"/>
                <w:color w:val="000000"/>
                <w:sz w:val="20"/>
                <w:szCs w:val="20"/>
                <w:lang w:eastAsia="nl-NL"/>
              </w:rPr>
              <w:t>3.3</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 -2.4 </w:t>
            </w:r>
            <w:r>
              <w:rPr>
                <w:rFonts w:eastAsia="Times New Roman" w:cs="Calibri"/>
                <w:color w:val="000000"/>
                <w:sz w:val="20"/>
                <w:szCs w:val="20"/>
                <w:lang w:eastAsia="nl-NL"/>
              </w:rPr>
              <w:t>±</w:t>
            </w:r>
            <w:r>
              <w:rPr>
                <w:rFonts w:ascii="Arial" w:eastAsia="Times New Roman" w:hAnsi="Arial" w:cs="Arial"/>
                <w:color w:val="000000"/>
                <w:sz w:val="20"/>
                <w:szCs w:val="20"/>
                <w:lang w:eastAsia="nl-NL"/>
              </w:rPr>
              <w:t xml:space="preserve"> 4.0</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 -1.6 ± 3.1</w:t>
            </w:r>
          </w:p>
        </w:tc>
        <w:tc>
          <w:tcPr>
            <w:tcW w:w="669" w:type="dxa"/>
            <w:noWrap/>
            <w:vAlign w:val="bottom"/>
            <w:hideMark/>
          </w:tcPr>
          <w:p w:rsidR="00D5186C" w:rsidRDefault="00D5186C" w:rsidP="002A5861">
            <w:pPr>
              <w:rPr>
                <w:rFonts w:ascii="Arial" w:eastAsia="Times New Roman" w:hAnsi="Arial" w:cs="Arial"/>
                <w:color w:val="000000"/>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0.369</w:t>
            </w:r>
          </w:p>
        </w:tc>
      </w:tr>
      <w:tr w:rsidR="00D5186C" w:rsidTr="002A5861">
        <w:trPr>
          <w:trHeight w:val="300"/>
        </w:trPr>
        <w:tc>
          <w:tcPr>
            <w:tcW w:w="3969" w:type="dxa"/>
            <w:gridSpan w:val="3"/>
            <w:noWrap/>
            <w:vAlign w:val="bottom"/>
            <w:hideMark/>
          </w:tcPr>
          <w:p w:rsidR="00D5186C" w:rsidRDefault="00D5186C" w:rsidP="002A5861">
            <w:pPr>
              <w:rPr>
                <w:rFonts w:ascii="Arial" w:eastAsia="Times New Roman" w:hAnsi="Arial" w:cs="Arial"/>
                <w:color w:val="000000"/>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1134" w:type="dxa"/>
            <w:noWrap/>
            <w:vAlign w:val="bottom"/>
            <w:hideMark/>
          </w:tcPr>
          <w:p w:rsidR="00D5186C" w:rsidRDefault="00D5186C" w:rsidP="002A5861">
            <w:pPr>
              <w:spacing w:after="0"/>
              <w:rPr>
                <w:sz w:val="20"/>
                <w:szCs w:val="20"/>
                <w:lang w:eastAsia="nl-NL"/>
              </w:rPr>
            </w:pPr>
          </w:p>
        </w:tc>
        <w:tc>
          <w:tcPr>
            <w:tcW w:w="669"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300"/>
        </w:trPr>
        <w:tc>
          <w:tcPr>
            <w:tcW w:w="3969" w:type="dxa"/>
            <w:gridSpan w:val="3"/>
            <w:noWrap/>
            <w:vAlign w:val="bottom"/>
            <w:hideMark/>
          </w:tcPr>
          <w:p w:rsidR="00D5186C" w:rsidRDefault="00D5186C" w:rsidP="002A5861">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Shortening fraction (</w:t>
            </w:r>
            <w:r>
              <w:rPr>
                <w:rFonts w:ascii="Arial" w:eastAsia="Times New Roman" w:hAnsi="Arial" w:cs="Arial"/>
                <w:i/>
                <w:iCs/>
                <w:color w:val="000000"/>
                <w:sz w:val="20"/>
                <w:szCs w:val="20"/>
                <w:lang w:eastAsia="nl-NL"/>
              </w:rPr>
              <w:t xml:space="preserve">n </w:t>
            </w:r>
            <w:r>
              <w:rPr>
                <w:rFonts w:ascii="Arial" w:eastAsia="Times New Roman" w:hAnsi="Arial" w:cs="Arial"/>
                <w:color w:val="000000"/>
                <w:sz w:val="20"/>
                <w:szCs w:val="20"/>
                <w:lang w:eastAsia="nl-NL"/>
              </w:rPr>
              <w:t>= 76)</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23 ± 9%</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26 ± 10%</w:t>
            </w:r>
          </w:p>
        </w:tc>
        <w:tc>
          <w:tcPr>
            <w:tcW w:w="1134" w:type="dxa"/>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22 ± 8%</w:t>
            </w:r>
          </w:p>
        </w:tc>
        <w:tc>
          <w:tcPr>
            <w:tcW w:w="669" w:type="dxa"/>
            <w:noWrap/>
            <w:vAlign w:val="bottom"/>
            <w:hideMark/>
          </w:tcPr>
          <w:p w:rsidR="00D5186C" w:rsidRDefault="00D5186C" w:rsidP="002A5861">
            <w:pPr>
              <w:rPr>
                <w:rFonts w:ascii="Arial" w:eastAsia="Times New Roman" w:hAnsi="Arial" w:cs="Arial"/>
                <w:color w:val="000000"/>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c>
          <w:tcPr>
            <w:tcW w:w="1060" w:type="dxa"/>
            <w:noWrap/>
            <w:vAlign w:val="bottom"/>
            <w:hideMark/>
          </w:tcPr>
          <w:p w:rsidR="00D5186C" w:rsidRDefault="00D5186C" w:rsidP="002A5861">
            <w:pPr>
              <w:spacing w:after="0"/>
              <w:rPr>
                <w:sz w:val="20"/>
                <w:szCs w:val="20"/>
                <w:lang w:eastAsia="nl-NL"/>
              </w:rPr>
            </w:pPr>
          </w:p>
        </w:tc>
      </w:tr>
      <w:tr w:rsidR="00D5186C" w:rsidTr="002A5861">
        <w:trPr>
          <w:trHeight w:val="300"/>
        </w:trPr>
        <w:tc>
          <w:tcPr>
            <w:tcW w:w="360" w:type="dxa"/>
            <w:tcBorders>
              <w:top w:val="nil"/>
              <w:left w:val="nil"/>
              <w:bottom w:val="single" w:sz="4" w:space="0" w:color="auto"/>
              <w:right w:val="nil"/>
            </w:tcBorders>
            <w:noWrap/>
            <w:vAlign w:val="bottom"/>
            <w:hideMark/>
          </w:tcPr>
          <w:p w:rsidR="00D5186C" w:rsidRDefault="00D5186C" w:rsidP="002A5861">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w:t>
            </w:r>
          </w:p>
        </w:tc>
        <w:tc>
          <w:tcPr>
            <w:tcW w:w="3609" w:type="dxa"/>
            <w:gridSpan w:val="2"/>
            <w:tcBorders>
              <w:top w:val="nil"/>
              <w:left w:val="nil"/>
              <w:bottom w:val="single" w:sz="4" w:space="0" w:color="auto"/>
              <w:right w:val="nil"/>
            </w:tcBorders>
            <w:noWrap/>
            <w:vAlign w:val="bottom"/>
            <w:hideMark/>
          </w:tcPr>
          <w:p w:rsidR="00D5186C" w:rsidRDefault="00D5186C" w:rsidP="002A5861">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Shift from baseline (</w:t>
            </w:r>
            <w:r>
              <w:rPr>
                <w:rFonts w:ascii="Arial" w:eastAsia="Times New Roman" w:hAnsi="Arial" w:cs="Arial"/>
                <w:i/>
                <w:iCs/>
                <w:color w:val="000000"/>
                <w:sz w:val="20"/>
                <w:szCs w:val="20"/>
                <w:lang w:eastAsia="nl-NL"/>
              </w:rPr>
              <w:t>n</w:t>
            </w:r>
            <w:r>
              <w:rPr>
                <w:rFonts w:ascii="Arial" w:eastAsia="Times New Roman" w:hAnsi="Arial" w:cs="Arial"/>
                <w:color w:val="000000"/>
                <w:sz w:val="20"/>
                <w:szCs w:val="20"/>
                <w:lang w:eastAsia="nl-NL"/>
              </w:rPr>
              <w:t>= 74)</w:t>
            </w:r>
          </w:p>
        </w:tc>
        <w:tc>
          <w:tcPr>
            <w:tcW w:w="1134"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10 ± 10%</w:t>
            </w:r>
          </w:p>
        </w:tc>
        <w:tc>
          <w:tcPr>
            <w:tcW w:w="1134"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14 ± 10%</w:t>
            </w:r>
          </w:p>
        </w:tc>
        <w:tc>
          <w:tcPr>
            <w:tcW w:w="1134"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8 ± 10%</w:t>
            </w:r>
          </w:p>
        </w:tc>
        <w:tc>
          <w:tcPr>
            <w:tcW w:w="669"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w:t>
            </w:r>
          </w:p>
        </w:tc>
        <w:tc>
          <w:tcPr>
            <w:tcW w:w="1060"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w:t>
            </w:r>
          </w:p>
        </w:tc>
        <w:tc>
          <w:tcPr>
            <w:tcW w:w="1060" w:type="dxa"/>
            <w:tcBorders>
              <w:top w:val="nil"/>
              <w:left w:val="nil"/>
              <w:bottom w:val="single" w:sz="4" w:space="0" w:color="auto"/>
              <w:right w:val="nil"/>
            </w:tcBorders>
            <w:noWrap/>
            <w:vAlign w:val="bottom"/>
            <w:hideMark/>
          </w:tcPr>
          <w:p w:rsidR="00D5186C" w:rsidRDefault="00D5186C" w:rsidP="002A5861">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0.023</w:t>
            </w:r>
          </w:p>
        </w:tc>
      </w:tr>
    </w:tbl>
    <w:p w:rsidR="00D5186C" w:rsidRDefault="00D5186C" w:rsidP="00D5186C">
      <w:pPr>
        <w:spacing w:after="0" w:line="480" w:lineRule="auto"/>
        <w:rPr>
          <w:rFonts w:ascii="Arial" w:hAnsi="Arial" w:cs="Arial"/>
          <w:sz w:val="24"/>
          <w:szCs w:val="24"/>
        </w:rPr>
      </w:pPr>
    </w:p>
    <w:p w:rsidR="00D5186C" w:rsidRDefault="00D5186C" w:rsidP="00D5186C">
      <w:pPr>
        <w:spacing w:after="0" w:line="480" w:lineRule="auto"/>
        <w:rPr>
          <w:rFonts w:ascii="Arial" w:hAnsi="Arial" w:cs="Arial"/>
          <w:sz w:val="24"/>
          <w:szCs w:val="24"/>
        </w:rPr>
      </w:pPr>
      <w:r>
        <w:rPr>
          <w:rFonts w:ascii="Arial" w:hAnsi="Arial" w:cs="Arial"/>
          <w:sz w:val="24"/>
          <w:szCs w:val="24"/>
        </w:rPr>
        <w:t>Cox regression analysis was performed with 3 factors due to the limited number of events in the study population. Besides the intravenous immunoglobulins, differences at baseline in</w:t>
      </w:r>
      <w:r w:rsidRPr="0054004A">
        <w:rPr>
          <w:rFonts w:ascii="Arial" w:hAnsi="Arial" w:cs="Arial"/>
          <w:sz w:val="24"/>
          <w:szCs w:val="24"/>
        </w:rPr>
        <w:t xml:space="preserve"> acute presentation, inotropic therapy, mechanical ventilatory supp</w:t>
      </w:r>
      <w:r>
        <w:rPr>
          <w:rFonts w:ascii="Arial" w:hAnsi="Arial" w:cs="Arial"/>
          <w:sz w:val="24"/>
          <w:szCs w:val="24"/>
        </w:rPr>
        <w:t>ort, and the diagnosis of viral myocarditis, could be of influence on outcome. Of those, intravenous immunoglobulin treatment, mechanical ventilator support and ‘probable or definite myocarditis’ were selected for Cox regression analysis.</w:t>
      </w:r>
    </w:p>
    <w:p w:rsidR="00D5186C" w:rsidRDefault="00D5186C" w:rsidP="00D5186C">
      <w:pPr>
        <w:spacing w:after="0" w:line="480" w:lineRule="auto"/>
        <w:rPr>
          <w:rFonts w:ascii="Arial" w:hAnsi="Arial" w:cs="Arial"/>
          <w:i/>
          <w:sz w:val="24"/>
          <w:szCs w:val="24"/>
        </w:rPr>
      </w:pPr>
      <w:r>
        <w:rPr>
          <w:rFonts w:ascii="Arial" w:hAnsi="Arial" w:cs="Arial"/>
          <w:sz w:val="24"/>
          <w:szCs w:val="24"/>
        </w:rPr>
        <w:t>T</w:t>
      </w:r>
      <w:r w:rsidRPr="00F16C5E">
        <w:rPr>
          <w:rFonts w:ascii="Arial" w:hAnsi="Arial" w:cs="Arial"/>
          <w:sz w:val="24"/>
          <w:szCs w:val="24"/>
        </w:rPr>
        <w:t>he total number of cases in which information on the characteristic was known</w:t>
      </w:r>
      <w:r>
        <w:rPr>
          <w:rFonts w:ascii="Arial" w:hAnsi="Arial" w:cs="Arial"/>
          <w:sz w:val="24"/>
          <w:szCs w:val="24"/>
        </w:rPr>
        <w:t xml:space="preserve"> is indicated with (</w:t>
      </w:r>
      <w:r>
        <w:rPr>
          <w:rFonts w:ascii="Arial" w:hAnsi="Arial" w:cs="Arial"/>
          <w:i/>
          <w:sz w:val="24"/>
          <w:szCs w:val="24"/>
        </w:rPr>
        <w:t>n</w:t>
      </w:r>
      <w:r>
        <w:rPr>
          <w:rFonts w:ascii="Arial" w:hAnsi="Arial" w:cs="Arial"/>
          <w:sz w:val="24"/>
          <w:szCs w:val="24"/>
        </w:rPr>
        <w:t xml:space="preserve"> = …).</w:t>
      </w:r>
    </w:p>
    <w:p w:rsidR="00D5186C" w:rsidRDefault="00D5186C" w:rsidP="00D5186C">
      <w:pPr>
        <w:spacing w:after="0" w:line="480" w:lineRule="auto"/>
        <w:rPr>
          <w:rFonts w:ascii="Arial" w:hAnsi="Arial" w:cs="Arial"/>
          <w:sz w:val="24"/>
          <w:szCs w:val="24"/>
        </w:rPr>
      </w:pPr>
      <w:r>
        <w:rPr>
          <w:rFonts w:ascii="Arial" w:hAnsi="Arial" w:cs="Arial"/>
          <w:sz w:val="24"/>
          <w:szCs w:val="24"/>
        </w:rPr>
        <w:t>IVIG, intravenous immunoglobulins; LVEDd, left ventricular end-diastolic dimension.</w:t>
      </w:r>
    </w:p>
    <w:p w:rsidR="0034124B" w:rsidRPr="00D5186C" w:rsidRDefault="00D5186C" w:rsidP="00D5186C">
      <w:bookmarkStart w:id="0" w:name="_GoBack"/>
      <w:bookmarkEnd w:id="0"/>
    </w:p>
    <w:sectPr w:rsidR="0034124B" w:rsidRPr="00D5186C" w:rsidSect="003A7A5E">
      <w:footerReference w:type="default" r:id="rId5"/>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7787"/>
      <w:docPartObj>
        <w:docPartGallery w:val="Page Numbers (Bottom of Page)"/>
        <w:docPartUnique/>
      </w:docPartObj>
    </w:sdtPr>
    <w:sdtEndPr/>
    <w:sdtContent>
      <w:p w:rsidR="004201A2" w:rsidRDefault="00D5186C">
        <w:pPr>
          <w:pStyle w:val="Voettekst"/>
          <w:jc w:val="right"/>
        </w:pPr>
        <w:r>
          <w:fldChar w:fldCharType="begin"/>
        </w:r>
        <w:r>
          <w:instrText>PAGE   \* MERGEFORMAT</w:instrText>
        </w:r>
        <w:r>
          <w:fldChar w:fldCharType="separate"/>
        </w:r>
        <w:r w:rsidRPr="00D5186C">
          <w:rPr>
            <w:noProof/>
            <w:lang w:val="nl-NL"/>
          </w:rPr>
          <w:t>1</w:t>
        </w:r>
        <w:r>
          <w:fldChar w:fldCharType="end"/>
        </w:r>
      </w:p>
    </w:sdtContent>
  </w:sdt>
  <w:p w:rsidR="004201A2" w:rsidRDefault="00D5186C">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14"/>
    <w:rsid w:val="00907A14"/>
    <w:rsid w:val="00B8217A"/>
    <w:rsid w:val="00D5186C"/>
    <w:rsid w:val="00D83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7A14"/>
    <w:rPr>
      <w:rFonts w:ascii="Calibri" w:eastAsia="SimSun" w:hAnsi="Calibri" w:cs="Times New Roman"/>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5186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5186C"/>
    <w:rPr>
      <w:rFonts w:ascii="Calibri" w:eastAsia="SimSun" w:hAnsi="Calibri" w:cs="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7A14"/>
    <w:rPr>
      <w:rFonts w:ascii="Calibri" w:eastAsia="SimSun" w:hAnsi="Calibri" w:cs="Times New Roman"/>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5186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5186C"/>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766FE7B1</Template>
  <TotalTime>0</TotalTime>
  <Pages>1</Pages>
  <Words>206</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Stichting Sint Lucas Andreas</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Heidendael, Josephine</dc:creator>
  <cp:lastModifiedBy>Heidendael, Josephine</cp:lastModifiedBy>
  <cp:revision>2</cp:revision>
  <dcterms:created xsi:type="dcterms:W3CDTF">2017-05-18T04:50:00Z</dcterms:created>
  <dcterms:modified xsi:type="dcterms:W3CDTF">2017-05-19T05:31:00Z</dcterms:modified>
</cp:coreProperties>
</file>