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A1" w:rsidRDefault="00393252" w:rsidP="00393252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Supplementary </w:t>
      </w:r>
      <w:r w:rsidR="00F01AA1" w:rsidRPr="00F01AA1">
        <w:rPr>
          <w:rFonts w:ascii="Arial" w:hAnsi="Arial" w:cs="Arial"/>
          <w:b/>
        </w:rPr>
        <w:t>Table</w:t>
      </w:r>
      <w:r>
        <w:rPr>
          <w:rFonts w:ascii="Arial" w:hAnsi="Arial" w:cs="Arial"/>
          <w:b/>
        </w:rPr>
        <w:t xml:space="preserve"> S</w:t>
      </w:r>
      <w:bookmarkStart w:id="0" w:name="_GoBack"/>
      <w:bookmarkEnd w:id="0"/>
      <w:r w:rsidR="00F01AA1" w:rsidRPr="00F01AA1">
        <w:rPr>
          <w:rFonts w:ascii="Arial" w:hAnsi="Arial" w:cs="Arial"/>
          <w:b/>
        </w:rPr>
        <w:t xml:space="preserve">1. </w:t>
      </w:r>
      <w:r w:rsidR="00F01AA1">
        <w:rPr>
          <w:rFonts w:ascii="Arial" w:hAnsi="Arial" w:cs="Arial"/>
        </w:rPr>
        <w:t>Equations used to calculate sildenafil exposure</w:t>
      </w:r>
    </w:p>
    <w:tbl>
      <w:tblPr>
        <w:tblStyle w:val="TableGrid"/>
        <w:tblW w:w="12415" w:type="dxa"/>
        <w:tblLook w:val="04A0" w:firstRow="1" w:lastRow="0" w:firstColumn="1" w:lastColumn="0" w:noHBand="0" w:noVBand="1"/>
      </w:tblPr>
      <w:tblGrid>
        <w:gridCol w:w="5125"/>
        <w:gridCol w:w="1350"/>
        <w:gridCol w:w="5940"/>
      </w:tblGrid>
      <w:tr w:rsidR="00F01AA1" w:rsidRPr="00F01AA1" w:rsidTr="00F01AA1">
        <w:tc>
          <w:tcPr>
            <w:tcW w:w="5125" w:type="dxa"/>
            <w:vAlign w:val="center"/>
          </w:tcPr>
          <w:p w:rsidR="00F01AA1" w:rsidRPr="00F01AA1" w:rsidRDefault="00F01AA1" w:rsidP="00F01AA1">
            <w:pPr>
              <w:tabs>
                <w:tab w:val="left" w:pos="1935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1A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Peak plasma sildenafil concentration</w:t>
            </w:r>
          </w:p>
        </w:tc>
        <w:tc>
          <w:tcPr>
            <w:tcW w:w="1350" w:type="dxa"/>
            <w:vAlign w:val="center"/>
          </w:tcPr>
          <w:p w:rsidR="00F01AA1" w:rsidRPr="00F01AA1" w:rsidRDefault="00F01AA1" w:rsidP="00F01AA1">
            <w:pPr>
              <w:tabs>
                <w:tab w:val="left" w:pos="1935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1A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Cmax</w:t>
            </w:r>
            <w:r w:rsidRPr="00F01AA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</w:rPr>
              <w:t>SS,SIL</w:t>
            </w:r>
            <w:proofErr w:type="spellEnd"/>
          </w:p>
        </w:tc>
        <w:tc>
          <w:tcPr>
            <w:tcW w:w="5940" w:type="dxa"/>
            <w:vAlign w:val="center"/>
          </w:tcPr>
          <w:p w:rsidR="00F01AA1" w:rsidRPr="00F01AA1" w:rsidRDefault="00393252" w:rsidP="00F01AA1">
            <w:pPr>
              <w:tabs>
                <w:tab w:val="left" w:pos="1935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Cmax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SIL</m:t>
                    </m:r>
                  </m:sub>
                </m:sSub>
                <m:r>
                  <w:rPr>
                    <w:rFonts w:ascii="Cambria Math" w:hAnsi="Cambria Math" w:cs="Arial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ka*Dose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ke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p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-ka</m:t>
                        </m:r>
                      </m:e>
                    </m:d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*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-ka*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Tmax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SIL</m:t>
                                    </m:r>
                                  </m:sub>
                                </m:sSub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1-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-ka*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τ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ke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*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Tmax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SIL</m:t>
                                    </m:r>
                                  </m:sub>
                                </m:sSub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1-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ke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*τ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d>
              </m:oMath>
            </m:oMathPara>
          </w:p>
        </w:tc>
      </w:tr>
      <w:tr w:rsidR="00F01AA1" w:rsidRPr="00F01AA1" w:rsidTr="00F01AA1">
        <w:tc>
          <w:tcPr>
            <w:tcW w:w="5125" w:type="dxa"/>
            <w:vAlign w:val="center"/>
          </w:tcPr>
          <w:p w:rsidR="00F01AA1" w:rsidRPr="00F01AA1" w:rsidRDefault="00F01AA1" w:rsidP="00F01AA1">
            <w:pPr>
              <w:tabs>
                <w:tab w:val="left" w:pos="1935"/>
              </w:tabs>
              <w:rPr>
                <w:rFonts w:ascii="Arial" w:hAnsi="Arial" w:cs="Arial"/>
                <w:sz w:val="20"/>
                <w:szCs w:val="20"/>
              </w:rPr>
            </w:pPr>
            <w:r w:rsidRPr="00F01AA1">
              <w:rPr>
                <w:rFonts w:ascii="Arial" w:hAnsi="Arial" w:cs="Arial"/>
                <w:sz w:val="20"/>
                <w:szCs w:val="20"/>
              </w:rPr>
              <w:t>Time to peak sildenafil concentration</w:t>
            </w:r>
          </w:p>
        </w:tc>
        <w:tc>
          <w:tcPr>
            <w:tcW w:w="1350" w:type="dxa"/>
            <w:vAlign w:val="center"/>
          </w:tcPr>
          <w:p w:rsidR="00F01AA1" w:rsidRPr="00F01AA1" w:rsidRDefault="00F01AA1" w:rsidP="00F01AA1">
            <w:pPr>
              <w:tabs>
                <w:tab w:val="left" w:pos="1935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1AA1">
              <w:rPr>
                <w:rFonts w:ascii="Arial" w:hAnsi="Arial" w:cs="Arial"/>
                <w:sz w:val="20"/>
                <w:szCs w:val="20"/>
              </w:rPr>
              <w:t>Tmax</w:t>
            </w:r>
            <w:r w:rsidRPr="00F01AA1">
              <w:rPr>
                <w:rFonts w:ascii="Arial" w:hAnsi="Arial" w:cs="Arial"/>
                <w:sz w:val="20"/>
                <w:szCs w:val="20"/>
                <w:vertAlign w:val="subscript"/>
              </w:rPr>
              <w:t>SIL</w:t>
            </w:r>
            <w:proofErr w:type="spellEnd"/>
          </w:p>
        </w:tc>
        <w:tc>
          <w:tcPr>
            <w:tcW w:w="5940" w:type="dxa"/>
            <w:vAlign w:val="center"/>
          </w:tcPr>
          <w:p w:rsidR="00F01AA1" w:rsidRPr="00F01AA1" w:rsidRDefault="00393252" w:rsidP="00F01AA1">
            <w:pPr>
              <w:tabs>
                <w:tab w:val="left" w:pos="1935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Tmax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SIL</m:t>
                    </m:r>
                  </m:sub>
                </m:sSub>
                <m:r>
                  <w:rPr>
                    <w:rFonts w:ascii="Cambria Math" w:hAnsi="Cambria Math" w:cs="Arial"/>
                    <w:sz w:val="20"/>
                    <w:szCs w:val="20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ka-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ke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p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 w:cs="Arial"/>
                    <w:sz w:val="20"/>
                    <w:szCs w:val="20"/>
                  </w:rPr>
                  <m:t>*Ln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ka*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1-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ke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*τ</m:t>
                                </m:r>
                              </m:sup>
                            </m:sSup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ke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p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*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1-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-ka*τ</m:t>
                                </m:r>
                              </m:sup>
                            </m:sSup>
                          </m:e>
                        </m:d>
                      </m:den>
                    </m:f>
                  </m:e>
                </m:d>
              </m:oMath>
            </m:oMathPara>
          </w:p>
        </w:tc>
      </w:tr>
      <w:tr w:rsidR="00F01AA1" w:rsidRPr="00F01AA1" w:rsidTr="00F01AA1">
        <w:tc>
          <w:tcPr>
            <w:tcW w:w="5125" w:type="dxa"/>
            <w:vAlign w:val="center"/>
          </w:tcPr>
          <w:p w:rsidR="00F01AA1" w:rsidRPr="00F01AA1" w:rsidRDefault="00F01AA1" w:rsidP="00F01AA1">
            <w:pPr>
              <w:tabs>
                <w:tab w:val="left" w:pos="1935"/>
              </w:tabs>
              <w:rPr>
                <w:rFonts w:ascii="Arial" w:hAnsi="Arial" w:cs="Arial"/>
                <w:sz w:val="20"/>
                <w:szCs w:val="20"/>
              </w:rPr>
            </w:pPr>
            <w:r w:rsidRPr="00F01AA1">
              <w:rPr>
                <w:rFonts w:ascii="Arial" w:hAnsi="Arial" w:cs="Arial"/>
                <w:sz w:val="20"/>
                <w:szCs w:val="20"/>
              </w:rPr>
              <w:t>Area under the sildenafil concentration-time curve from 0 to 24 hours at steady-state</w:t>
            </w:r>
          </w:p>
        </w:tc>
        <w:tc>
          <w:tcPr>
            <w:tcW w:w="1350" w:type="dxa"/>
            <w:vAlign w:val="center"/>
          </w:tcPr>
          <w:p w:rsidR="00F01AA1" w:rsidRPr="00F01AA1" w:rsidRDefault="00F01AA1" w:rsidP="00F01AA1">
            <w:pPr>
              <w:tabs>
                <w:tab w:val="left" w:pos="1935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F01AA1">
              <w:rPr>
                <w:rFonts w:ascii="Arial" w:hAnsi="Arial" w:cs="Arial"/>
                <w:sz w:val="20"/>
                <w:szCs w:val="20"/>
              </w:rPr>
              <w:t>AUC</w:t>
            </w:r>
            <w:r w:rsidRPr="00F01AA1">
              <w:rPr>
                <w:rFonts w:ascii="Arial" w:hAnsi="Arial" w:cs="Arial"/>
                <w:sz w:val="20"/>
                <w:szCs w:val="20"/>
                <w:vertAlign w:val="subscript"/>
              </w:rPr>
              <w:t>24,SS,SIL</w:t>
            </w:r>
          </w:p>
        </w:tc>
        <w:tc>
          <w:tcPr>
            <w:tcW w:w="5940" w:type="dxa"/>
            <w:vAlign w:val="center"/>
          </w:tcPr>
          <w:p w:rsidR="00F01AA1" w:rsidRPr="00F01AA1" w:rsidRDefault="00393252" w:rsidP="00F01AA1">
            <w:pPr>
              <w:tabs>
                <w:tab w:val="left" w:pos="1935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AUC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SIL</m:t>
                    </m:r>
                  </m:sub>
                </m:sSub>
                <m:r>
                  <w:rPr>
                    <w:rFonts w:ascii="Cambria Math" w:hAnsi="Cambria Math" w:cs="Arial"/>
                    <w:sz w:val="20"/>
                    <w:szCs w:val="20"/>
                  </w:rPr>
                  <m:t>=Dose/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CL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i</m:t>
                    </m:r>
                  </m:sub>
                </m:sSub>
              </m:oMath>
            </m:oMathPara>
          </w:p>
        </w:tc>
      </w:tr>
      <w:tr w:rsidR="00F01AA1" w:rsidRPr="00F01AA1" w:rsidTr="00F01AA1">
        <w:trPr>
          <w:trHeight w:val="593"/>
        </w:trPr>
        <w:tc>
          <w:tcPr>
            <w:tcW w:w="5125" w:type="dxa"/>
            <w:vAlign w:val="center"/>
          </w:tcPr>
          <w:p w:rsidR="00F01AA1" w:rsidRPr="00F01AA1" w:rsidRDefault="00F01AA1" w:rsidP="00F01AA1">
            <w:pPr>
              <w:tabs>
                <w:tab w:val="left" w:pos="1935"/>
              </w:tabs>
              <w:rPr>
                <w:rFonts w:ascii="Arial" w:hAnsi="Arial" w:cs="Arial"/>
                <w:sz w:val="20"/>
                <w:szCs w:val="20"/>
              </w:rPr>
            </w:pPr>
            <w:r w:rsidRPr="00F01AA1">
              <w:rPr>
                <w:rFonts w:ascii="Arial" w:hAnsi="Arial" w:cs="Arial"/>
                <w:sz w:val="20"/>
                <w:szCs w:val="20"/>
              </w:rPr>
              <w:t xml:space="preserve">Area under the </w:t>
            </w:r>
            <w:proofErr w:type="spellStart"/>
            <w:r w:rsidRPr="00F01AA1">
              <w:rPr>
                <w:rFonts w:ascii="Arial" w:hAnsi="Arial" w:cs="Arial"/>
                <w:sz w:val="20"/>
                <w:szCs w:val="20"/>
              </w:rPr>
              <w:t>desmethylsildenafil</w:t>
            </w:r>
            <w:proofErr w:type="spellEnd"/>
            <w:r w:rsidRPr="00F01AA1">
              <w:rPr>
                <w:rFonts w:ascii="Arial" w:hAnsi="Arial" w:cs="Arial"/>
                <w:sz w:val="20"/>
                <w:szCs w:val="20"/>
              </w:rPr>
              <w:t xml:space="preserve"> concentration-time curve from 0 to 24 hours at steady-state</w:t>
            </w:r>
          </w:p>
        </w:tc>
        <w:tc>
          <w:tcPr>
            <w:tcW w:w="1350" w:type="dxa"/>
            <w:vAlign w:val="center"/>
          </w:tcPr>
          <w:p w:rsidR="00F01AA1" w:rsidRPr="00F01AA1" w:rsidRDefault="00F01AA1" w:rsidP="00F01AA1">
            <w:pPr>
              <w:tabs>
                <w:tab w:val="left" w:pos="1935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F01AA1">
              <w:rPr>
                <w:rFonts w:ascii="Arial" w:hAnsi="Arial" w:cs="Arial"/>
                <w:sz w:val="20"/>
                <w:szCs w:val="20"/>
              </w:rPr>
              <w:t>AUC</w:t>
            </w:r>
            <w:r w:rsidRPr="00F01AA1">
              <w:rPr>
                <w:rFonts w:ascii="Arial" w:hAnsi="Arial" w:cs="Arial"/>
                <w:sz w:val="20"/>
                <w:szCs w:val="20"/>
                <w:vertAlign w:val="subscript"/>
              </w:rPr>
              <w:t>24,SS,DMS</w:t>
            </w:r>
          </w:p>
        </w:tc>
        <w:tc>
          <w:tcPr>
            <w:tcW w:w="5940" w:type="dxa"/>
            <w:vAlign w:val="center"/>
          </w:tcPr>
          <w:p w:rsidR="00F01AA1" w:rsidRPr="00F01AA1" w:rsidRDefault="00393252" w:rsidP="00F01AA1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AUC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DMS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=Dose/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CL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mi</m:t>
                  </m:r>
                </m:sub>
              </m:sSub>
            </m:oMath>
            <w:r w:rsidR="00F01AA1" w:rsidRPr="00F01AA1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</w:tc>
      </w:tr>
    </w:tbl>
    <w:p w:rsidR="00F01AA1" w:rsidRPr="0099230A" w:rsidRDefault="00F01AA1" w:rsidP="00F01AA1">
      <w:pPr>
        <w:spacing w:after="0" w:line="240" w:lineRule="auto"/>
        <w:rPr>
          <w:rFonts w:ascii="Arial" w:hAnsi="Arial" w:cs="Arial"/>
        </w:rPr>
      </w:pPr>
      <w:r w:rsidRPr="00B547EF">
        <w:rPr>
          <w:rFonts w:ascii="Arial" w:hAnsi="Arial" w:cs="Arial"/>
        </w:rPr>
        <w:t xml:space="preserve">Where </w:t>
      </w:r>
      <w:proofErr w:type="spellStart"/>
      <w:r w:rsidRPr="00B547EF">
        <w:rPr>
          <w:rFonts w:ascii="Arial" w:hAnsi="Arial" w:cs="Arial"/>
        </w:rPr>
        <w:t>V</w:t>
      </w:r>
      <w:r w:rsidRPr="000C3AB1">
        <w:rPr>
          <w:rFonts w:ascii="Arial" w:hAnsi="Arial" w:cs="Arial"/>
          <w:vertAlign w:val="subscript"/>
        </w:rPr>
        <w:t>p</w:t>
      </w:r>
      <w:proofErr w:type="spellEnd"/>
      <w:r w:rsidRPr="00B547EF">
        <w:rPr>
          <w:rFonts w:ascii="Arial" w:hAnsi="Arial" w:cs="Arial"/>
        </w:rPr>
        <w:t xml:space="preserve"> is the </w:t>
      </w:r>
      <w:r>
        <w:rPr>
          <w:rFonts w:ascii="Arial" w:hAnsi="Arial" w:cs="Arial"/>
        </w:rPr>
        <w:t>apparent V</w:t>
      </w:r>
      <w:r w:rsidRPr="00B547EF">
        <w:rPr>
          <w:rFonts w:ascii="Arial" w:hAnsi="Arial" w:cs="Arial"/>
        </w:rPr>
        <w:t xml:space="preserve">, </w:t>
      </w:r>
      <w:proofErr w:type="spellStart"/>
      <w:r w:rsidRPr="00B547EF">
        <w:rPr>
          <w:rFonts w:ascii="Arial" w:hAnsi="Arial" w:cs="Arial"/>
        </w:rPr>
        <w:t>k</w:t>
      </w:r>
      <w:r w:rsidRPr="00B547EF">
        <w:rPr>
          <w:rFonts w:ascii="Arial" w:hAnsi="Arial" w:cs="Arial"/>
          <w:vertAlign w:val="subscript"/>
        </w:rPr>
        <w:t>e</w:t>
      </w:r>
      <w:r>
        <w:rPr>
          <w:rFonts w:ascii="Arial" w:hAnsi="Arial" w:cs="Arial"/>
          <w:vertAlign w:val="subscript"/>
        </w:rPr>
        <w:t>p</w:t>
      </w:r>
      <w:proofErr w:type="spellEnd"/>
      <w:r w:rsidRPr="00B547EF">
        <w:rPr>
          <w:rFonts w:ascii="Arial" w:hAnsi="Arial" w:cs="Arial"/>
        </w:rPr>
        <w:t xml:space="preserve"> is the first-order elimination rate constant, </w:t>
      </w:r>
      <w:proofErr w:type="spellStart"/>
      <w:r w:rsidRPr="00B547EF">
        <w:rPr>
          <w:rFonts w:ascii="Arial" w:hAnsi="Arial" w:cs="Arial"/>
        </w:rPr>
        <w:t>k</w:t>
      </w:r>
      <w:r w:rsidRPr="00B547EF">
        <w:rPr>
          <w:rFonts w:ascii="Arial" w:hAnsi="Arial" w:cs="Arial"/>
          <w:vertAlign w:val="subscript"/>
        </w:rPr>
        <w:t>a</w:t>
      </w:r>
      <w:proofErr w:type="spellEnd"/>
      <w:r w:rsidRPr="00B547EF">
        <w:rPr>
          <w:rFonts w:ascii="Arial" w:hAnsi="Arial" w:cs="Arial"/>
        </w:rPr>
        <w:t xml:space="preserve"> is the first-order absorption rate constant, </w:t>
      </w:r>
      <m:oMath>
        <m:r>
          <w:rPr>
            <w:rFonts w:ascii="Cambria Math" w:hAnsi="Cambria Math" w:cs="Arial"/>
          </w:rPr>
          <m:t>τ</m:t>
        </m:r>
      </m:oMath>
      <w:r w:rsidRPr="00B547EF">
        <w:rPr>
          <w:rFonts w:ascii="Arial" w:hAnsi="Arial" w:cs="Arial"/>
        </w:rPr>
        <w:t xml:space="preserve"> is the </w:t>
      </w:r>
      <w:proofErr w:type="spellStart"/>
      <w:r w:rsidRPr="00B547EF">
        <w:rPr>
          <w:rFonts w:ascii="Arial" w:hAnsi="Arial" w:cs="Arial"/>
        </w:rPr>
        <w:t>interdose</w:t>
      </w:r>
      <w:proofErr w:type="spellEnd"/>
      <w:r w:rsidRPr="00B547EF">
        <w:rPr>
          <w:rFonts w:ascii="Arial" w:hAnsi="Arial" w:cs="Arial"/>
        </w:rPr>
        <w:t xml:space="preserve"> interval</w:t>
      </w:r>
      <w:r>
        <w:rPr>
          <w:rFonts w:ascii="Arial" w:hAnsi="Arial" w:cs="Arial"/>
        </w:rPr>
        <w:t xml:space="preserve">, and </w:t>
      </w:r>
      <w:proofErr w:type="spellStart"/>
      <w:r>
        <w:rPr>
          <w:rFonts w:ascii="Arial" w:hAnsi="Arial" w:cs="Arial"/>
        </w:rPr>
        <w:t>Tmax</w:t>
      </w:r>
      <w:r w:rsidRPr="007163AD">
        <w:rPr>
          <w:rFonts w:ascii="Arial" w:hAnsi="Arial" w:cs="Arial"/>
          <w:vertAlign w:val="subscript"/>
        </w:rPr>
        <w:t>SIL</w:t>
      </w:r>
      <w:proofErr w:type="spellEnd"/>
      <w:r>
        <w:rPr>
          <w:rFonts w:ascii="Arial" w:hAnsi="Arial" w:cs="Arial"/>
        </w:rPr>
        <w:t xml:space="preserve"> is the time to peak sildenafil concentration</w:t>
      </w:r>
      <w:r w:rsidRPr="00B547E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7A5FBB" w:rsidRDefault="007A5FBB"/>
    <w:sectPr w:rsidR="007A5FBB" w:rsidSect="00F01A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A1"/>
    <w:rsid w:val="002B43B6"/>
    <w:rsid w:val="00393252"/>
    <w:rsid w:val="007A5FBB"/>
    <w:rsid w:val="008862A6"/>
    <w:rsid w:val="00CA5BB0"/>
    <w:rsid w:val="00CB23FF"/>
    <w:rsid w:val="00E23152"/>
    <w:rsid w:val="00F0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D83FA-AD5C-4992-84BF-FB4E0F54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1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Allyn Meredith</dc:creator>
  <cp:keywords/>
  <dc:description/>
  <cp:lastModifiedBy>Morgan Deblecourt</cp:lastModifiedBy>
  <cp:revision>2</cp:revision>
  <dcterms:created xsi:type="dcterms:W3CDTF">2016-11-29T20:36:00Z</dcterms:created>
  <dcterms:modified xsi:type="dcterms:W3CDTF">2017-02-24T14:48:00Z</dcterms:modified>
</cp:coreProperties>
</file>