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53" w:rsidRPr="007A2539" w:rsidRDefault="007A2539" w:rsidP="007A2539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7A2539">
        <w:rPr>
          <w:rFonts w:ascii="Arial" w:hAnsi="Arial" w:cs="Arial"/>
          <w:b/>
          <w:lang w:val="en-US"/>
        </w:rPr>
        <w:t>Supplemental Table 1</w:t>
      </w:r>
      <w:r>
        <w:rPr>
          <w:rFonts w:ascii="Arial" w:hAnsi="Arial" w:cs="Arial"/>
          <w:b/>
          <w:lang w:val="en-US"/>
        </w:rPr>
        <w:t>:</w:t>
      </w:r>
      <w:r w:rsidR="0072176E" w:rsidRPr="007A2539">
        <w:rPr>
          <w:rFonts w:ascii="Arial" w:hAnsi="Arial" w:cs="Arial"/>
          <w:b/>
          <w:lang w:val="en-US"/>
        </w:rPr>
        <w:t xml:space="preserve"> </w:t>
      </w:r>
      <w:r w:rsidRPr="007A2539">
        <w:rPr>
          <w:rFonts w:ascii="Arial" w:hAnsi="Arial" w:cs="Arial"/>
          <w:b/>
          <w:lang w:val="en-US"/>
        </w:rPr>
        <w:t>Synopsis</w:t>
      </w:r>
      <w:r w:rsidR="00D6765E" w:rsidRPr="007A2539">
        <w:rPr>
          <w:rFonts w:ascii="Arial" w:hAnsi="Arial" w:cs="Arial"/>
          <w:b/>
          <w:lang w:val="en-US"/>
        </w:rPr>
        <w:t xml:space="preserve"> of treatment</w:t>
      </w:r>
      <w:r w:rsidRPr="007A2539">
        <w:rPr>
          <w:rFonts w:ascii="Arial" w:hAnsi="Arial" w:cs="Arial"/>
          <w:b/>
          <w:lang w:val="en-US"/>
        </w:rPr>
        <w:t xml:space="preserve">s </w:t>
      </w:r>
      <w:r w:rsidR="0075607C">
        <w:rPr>
          <w:rFonts w:ascii="Arial" w:hAnsi="Arial" w:cs="Arial"/>
          <w:b/>
          <w:lang w:val="en-US"/>
        </w:rPr>
        <w:t>for protein-losing enteropathy</w:t>
      </w:r>
      <w:r w:rsidR="0001615D">
        <w:rPr>
          <w:rFonts w:ascii="Arial" w:hAnsi="Arial" w:cs="Arial"/>
          <w:b/>
          <w:lang w:val="en-US"/>
        </w:rPr>
        <w:t>.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43"/>
      </w:tblGrid>
      <w:tr w:rsidR="00C95D5E" w:rsidRPr="007A2539" w:rsidTr="0075607C">
        <w:tc>
          <w:tcPr>
            <w:tcW w:w="4503" w:type="dxa"/>
          </w:tcPr>
          <w:p w:rsidR="00C95D5E" w:rsidRPr="007A2539" w:rsidRDefault="00C95D5E" w:rsidP="007A2539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C95D5E" w:rsidRPr="007A2539" w:rsidRDefault="009E2DB6" w:rsidP="007A2539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 xml:space="preserve">                         </w:t>
            </w:r>
            <w:r w:rsidR="00C95D5E" w:rsidRPr="007A2539">
              <w:rPr>
                <w:rFonts w:ascii="Arial" w:hAnsi="Arial" w:cs="Arial"/>
                <w:lang w:val="en-US"/>
              </w:rPr>
              <w:t>Number of patients</w:t>
            </w:r>
          </w:p>
        </w:tc>
      </w:tr>
      <w:tr w:rsidR="00C95D5E" w:rsidRPr="007A2539" w:rsidTr="0075607C">
        <w:tc>
          <w:tcPr>
            <w:tcW w:w="4503" w:type="dxa"/>
          </w:tcPr>
          <w:p w:rsidR="00C95D5E" w:rsidRPr="007A2539" w:rsidRDefault="007663AD" w:rsidP="007A2539">
            <w:pPr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7A2539">
              <w:rPr>
                <w:rFonts w:ascii="Arial" w:hAnsi="Arial" w:cs="Arial"/>
                <w:b/>
                <w:lang w:val="en-US"/>
              </w:rPr>
              <w:t>Medical treatment</w:t>
            </w:r>
          </w:p>
        </w:tc>
        <w:tc>
          <w:tcPr>
            <w:tcW w:w="1559" w:type="dxa"/>
          </w:tcPr>
          <w:p w:rsidR="00C95D5E" w:rsidRPr="007A2539" w:rsidRDefault="00C95D5E" w:rsidP="0075607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Total</w:t>
            </w:r>
          </w:p>
        </w:tc>
        <w:tc>
          <w:tcPr>
            <w:tcW w:w="1701" w:type="dxa"/>
          </w:tcPr>
          <w:p w:rsidR="00C95D5E" w:rsidRPr="007A2539" w:rsidRDefault="0075607C" w:rsidP="0075607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="00C95D5E" w:rsidRPr="007A2539">
              <w:rPr>
                <w:rFonts w:ascii="Arial" w:hAnsi="Arial" w:cs="Arial"/>
                <w:lang w:val="en-US"/>
              </w:rPr>
              <w:t>emission</w:t>
            </w:r>
          </w:p>
        </w:tc>
        <w:tc>
          <w:tcPr>
            <w:tcW w:w="1843" w:type="dxa"/>
          </w:tcPr>
          <w:p w:rsidR="00C95D5E" w:rsidRPr="007A2539" w:rsidRDefault="007638CB" w:rsidP="0075607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Relapse</w:t>
            </w:r>
          </w:p>
        </w:tc>
      </w:tr>
      <w:tr w:rsidR="00C95D5E" w:rsidRPr="007A2539" w:rsidTr="0075607C">
        <w:tc>
          <w:tcPr>
            <w:tcW w:w="4503" w:type="dxa"/>
          </w:tcPr>
          <w:p w:rsidR="00C95D5E" w:rsidRPr="007A2539" w:rsidRDefault="0075607C" w:rsidP="00A66CF6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Budesonid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+ </w:t>
            </w:r>
            <w:r w:rsidR="00A66CF6">
              <w:rPr>
                <w:rFonts w:ascii="Arial" w:hAnsi="Arial" w:cs="Arial"/>
                <w:lang w:val="en-US"/>
              </w:rPr>
              <w:t>s</w:t>
            </w:r>
            <w:r w:rsidR="00C95D5E" w:rsidRPr="007A2539">
              <w:rPr>
                <w:rFonts w:ascii="Arial" w:hAnsi="Arial" w:cs="Arial"/>
                <w:lang w:val="en-US"/>
              </w:rPr>
              <w:t xml:space="preserve">ildenafil </w:t>
            </w:r>
          </w:p>
        </w:tc>
        <w:tc>
          <w:tcPr>
            <w:tcW w:w="1559" w:type="dxa"/>
          </w:tcPr>
          <w:p w:rsidR="00C95D5E" w:rsidRPr="007A2539" w:rsidRDefault="007663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701" w:type="dxa"/>
          </w:tcPr>
          <w:p w:rsidR="00C95D5E" w:rsidRPr="007A2539" w:rsidRDefault="007663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43" w:type="dxa"/>
          </w:tcPr>
          <w:p w:rsidR="00C95D5E" w:rsidRPr="007A2539" w:rsidRDefault="007663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4</w:t>
            </w: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A66CF6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Budesonid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+ </w:t>
            </w:r>
            <w:r w:rsidR="00A66CF6">
              <w:rPr>
                <w:rFonts w:ascii="Arial" w:hAnsi="Arial" w:cs="Arial"/>
                <w:lang w:val="en-US"/>
              </w:rPr>
              <w:t>s</w:t>
            </w:r>
            <w:r w:rsidRPr="007A2539">
              <w:rPr>
                <w:rFonts w:ascii="Arial" w:hAnsi="Arial" w:cs="Arial"/>
                <w:lang w:val="en-US"/>
              </w:rPr>
              <w:t xml:space="preserve">ildenafil + </w:t>
            </w:r>
            <w:proofErr w:type="spellStart"/>
            <w:r w:rsidR="00A66CF6">
              <w:rPr>
                <w:rFonts w:ascii="Arial" w:hAnsi="Arial" w:cs="Arial"/>
                <w:lang w:val="en-US"/>
              </w:rPr>
              <w:t>b</w:t>
            </w:r>
            <w:r w:rsidRPr="007A2539">
              <w:rPr>
                <w:rFonts w:ascii="Arial" w:hAnsi="Arial" w:cs="Arial"/>
                <w:lang w:val="en-US"/>
              </w:rPr>
              <w:t>osentan</w:t>
            </w:r>
            <w:proofErr w:type="spellEnd"/>
          </w:p>
        </w:tc>
        <w:tc>
          <w:tcPr>
            <w:tcW w:w="1559" w:type="dxa"/>
          </w:tcPr>
          <w:p w:rsidR="0075607C" w:rsidRPr="007A2539" w:rsidRDefault="00A66CF6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43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3</w:t>
            </w:r>
          </w:p>
        </w:tc>
      </w:tr>
      <w:tr w:rsidR="00A66CF6" w:rsidRPr="007A2539" w:rsidTr="0075607C">
        <w:tc>
          <w:tcPr>
            <w:tcW w:w="4503" w:type="dxa"/>
          </w:tcPr>
          <w:p w:rsidR="00A66CF6" w:rsidRDefault="00A66CF6" w:rsidP="00A66CF6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Budesonid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+ s</w:t>
            </w:r>
            <w:r w:rsidRPr="007A2539">
              <w:rPr>
                <w:rFonts w:ascii="Arial" w:hAnsi="Arial" w:cs="Arial"/>
                <w:lang w:val="en-US"/>
              </w:rPr>
              <w:t>ildenafil</w:t>
            </w:r>
            <w:r>
              <w:rPr>
                <w:rFonts w:ascii="Arial" w:hAnsi="Arial" w:cs="Arial"/>
                <w:lang w:val="en-US"/>
              </w:rPr>
              <w:t xml:space="preserve"> + p</w:t>
            </w:r>
            <w:r w:rsidRPr="007A2539">
              <w:rPr>
                <w:rFonts w:ascii="Arial" w:hAnsi="Arial" w:cs="Arial"/>
                <w:lang w:val="en-US"/>
              </w:rPr>
              <w:t>rostacyclin</w:t>
            </w:r>
          </w:p>
        </w:tc>
        <w:tc>
          <w:tcPr>
            <w:tcW w:w="1559" w:type="dxa"/>
          </w:tcPr>
          <w:p w:rsidR="00A66CF6" w:rsidRPr="007A2539" w:rsidRDefault="00A66CF6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</w:tcPr>
          <w:p w:rsidR="00A66CF6" w:rsidRPr="007A2539" w:rsidRDefault="00A66CF6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43" w:type="dxa"/>
          </w:tcPr>
          <w:p w:rsidR="00A66CF6" w:rsidRPr="007A2539" w:rsidRDefault="00A66CF6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7A2539">
              <w:rPr>
                <w:rFonts w:ascii="Arial" w:hAnsi="Arial" w:cs="Arial"/>
                <w:lang w:val="en-US"/>
              </w:rPr>
              <w:t>Budesonid</w:t>
            </w:r>
            <w:proofErr w:type="spellEnd"/>
          </w:p>
        </w:tc>
        <w:tc>
          <w:tcPr>
            <w:tcW w:w="1559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1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 xml:space="preserve">Sildenafil </w:t>
            </w:r>
          </w:p>
        </w:tc>
        <w:tc>
          <w:tcPr>
            <w:tcW w:w="1559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43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A66CF6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 xml:space="preserve">Sildenafil + </w:t>
            </w:r>
            <w:proofErr w:type="spellStart"/>
            <w:r w:rsidR="00A66CF6">
              <w:rPr>
                <w:rFonts w:ascii="Arial" w:hAnsi="Arial" w:cs="Arial"/>
                <w:lang w:val="en-US"/>
              </w:rPr>
              <w:t>b</w:t>
            </w:r>
            <w:r w:rsidRPr="007A2539">
              <w:rPr>
                <w:rFonts w:ascii="Arial" w:hAnsi="Arial" w:cs="Arial"/>
                <w:lang w:val="en-US"/>
              </w:rPr>
              <w:t>osentan</w:t>
            </w:r>
            <w:proofErr w:type="spellEnd"/>
          </w:p>
        </w:tc>
        <w:tc>
          <w:tcPr>
            <w:tcW w:w="1559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43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Prostacyclin</w:t>
            </w:r>
          </w:p>
        </w:tc>
        <w:tc>
          <w:tcPr>
            <w:tcW w:w="1559" w:type="dxa"/>
          </w:tcPr>
          <w:p w:rsidR="0075607C" w:rsidRPr="007A2539" w:rsidRDefault="00A66CF6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</w:tcPr>
          <w:p w:rsidR="0075607C" w:rsidRPr="007A2539" w:rsidRDefault="0075607C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43" w:type="dxa"/>
          </w:tcPr>
          <w:p w:rsidR="0075607C" w:rsidRPr="007A2539" w:rsidRDefault="00A66CF6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Heparin</w:t>
            </w:r>
          </w:p>
        </w:tc>
        <w:tc>
          <w:tcPr>
            <w:tcW w:w="1559" w:type="dxa"/>
          </w:tcPr>
          <w:p w:rsidR="0075607C" w:rsidRPr="0075607C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5607C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01" w:type="dxa"/>
          </w:tcPr>
          <w:p w:rsidR="0075607C" w:rsidRPr="0075607C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5607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43" w:type="dxa"/>
          </w:tcPr>
          <w:p w:rsidR="0075607C" w:rsidRPr="0075607C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5607C">
              <w:rPr>
                <w:rFonts w:ascii="Arial" w:hAnsi="Arial" w:cs="Arial"/>
                <w:lang w:val="en-US"/>
              </w:rPr>
              <w:t>4</w:t>
            </w: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7A2539">
            <w:pPr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7A2539">
              <w:rPr>
                <w:rFonts w:ascii="Arial" w:hAnsi="Arial" w:cs="Arial"/>
                <w:b/>
                <w:lang w:val="en-US"/>
              </w:rPr>
              <w:t>Surgical treatment</w:t>
            </w:r>
          </w:p>
        </w:tc>
        <w:tc>
          <w:tcPr>
            <w:tcW w:w="1559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Diaphragm plication</w:t>
            </w:r>
          </w:p>
        </w:tc>
        <w:tc>
          <w:tcPr>
            <w:tcW w:w="1559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701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843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4</w:t>
            </w:r>
          </w:p>
        </w:tc>
      </w:tr>
      <w:tr w:rsidR="0075607C" w:rsidRPr="007A2539" w:rsidTr="0075607C">
        <w:tc>
          <w:tcPr>
            <w:tcW w:w="4503" w:type="dxa"/>
          </w:tcPr>
          <w:p w:rsidR="0075607C" w:rsidRPr="007A2539" w:rsidRDefault="0075607C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AV valve reconstruction</w:t>
            </w:r>
            <w:r w:rsidR="00855B66">
              <w:rPr>
                <w:rFonts w:ascii="Arial" w:hAnsi="Arial" w:cs="Arial"/>
                <w:lang w:val="en-US"/>
              </w:rPr>
              <w:t xml:space="preserve"> </w:t>
            </w:r>
            <w:r w:rsidRPr="007A2539">
              <w:rPr>
                <w:rFonts w:ascii="Arial" w:hAnsi="Arial" w:cs="Arial"/>
                <w:lang w:val="en-US"/>
              </w:rPr>
              <w:t>/ replacement</w:t>
            </w:r>
          </w:p>
        </w:tc>
        <w:tc>
          <w:tcPr>
            <w:tcW w:w="1559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1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</w:tcPr>
          <w:p w:rsidR="0075607C" w:rsidRPr="007A2539" w:rsidRDefault="0075607C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r w:rsidRPr="007A2539">
              <w:rPr>
                <w:rFonts w:ascii="Arial" w:hAnsi="Arial" w:cs="Arial"/>
                <w:lang w:val="en-US"/>
              </w:rPr>
              <w:t>Pacemaker implantation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Creation of</w:t>
            </w:r>
            <w:r w:rsidRPr="007A2539">
              <w:rPr>
                <w:rFonts w:ascii="Arial" w:hAnsi="Arial" w:cs="Arial"/>
                <w:lang w:val="en-US"/>
              </w:rPr>
              <w:t xml:space="preserve"> fenestration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Fontan revision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2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b/>
                <w:lang w:val="en-US"/>
              </w:rPr>
              <w:t>Interventional treatment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Balloon angioplasty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A2539">
              <w:rPr>
                <w:rFonts w:ascii="Arial" w:hAnsi="Arial" w:cs="Arial"/>
                <w:lang w:val="en-US"/>
              </w:rPr>
              <w:t>/ stent implantation</w:t>
            </w:r>
          </w:p>
          <w:p w:rsidR="00B74BAD" w:rsidRPr="007A2539" w:rsidRDefault="00B74BAD" w:rsidP="007A2539">
            <w:pPr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pulmonary arteries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5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Balloon angioplasty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A2539">
              <w:rPr>
                <w:rFonts w:ascii="Arial" w:hAnsi="Arial" w:cs="Arial"/>
                <w:lang w:val="en-US"/>
              </w:rPr>
              <w:t>/ stent implantation IVC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A2539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A2539">
              <w:rPr>
                <w:rFonts w:ascii="Arial" w:hAnsi="Arial" w:cs="Arial"/>
                <w:lang w:val="en-US"/>
              </w:rPr>
              <w:t>SVC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5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b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Embolization of collaterals</w:t>
            </w:r>
          </w:p>
        </w:tc>
        <w:tc>
          <w:tcPr>
            <w:tcW w:w="1559" w:type="dxa"/>
          </w:tcPr>
          <w:p w:rsidR="00B74BAD" w:rsidRPr="007A2539" w:rsidRDefault="00B74BAD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701" w:type="dxa"/>
          </w:tcPr>
          <w:p w:rsidR="00B74BAD" w:rsidRPr="007A2539" w:rsidRDefault="00B74BAD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843" w:type="dxa"/>
          </w:tcPr>
          <w:p w:rsidR="00B74BAD" w:rsidRPr="007A2539" w:rsidRDefault="00B74BAD" w:rsidP="0056551E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9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EPS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1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reation / dilatation of</w:t>
            </w:r>
            <w:r w:rsidRPr="007A2539">
              <w:rPr>
                <w:rFonts w:ascii="Arial" w:hAnsi="Arial" w:cs="Arial"/>
                <w:lang w:val="en-US"/>
              </w:rPr>
              <w:t xml:space="preserve"> fenestration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3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7A2539">
              <w:rPr>
                <w:rFonts w:ascii="Arial" w:hAnsi="Arial" w:cs="Arial"/>
                <w:lang w:val="en-US"/>
              </w:rPr>
              <w:t>4</w:t>
            </w:r>
          </w:p>
        </w:tc>
      </w:tr>
      <w:tr w:rsidR="00B74BAD" w:rsidRPr="007A2539" w:rsidTr="0075607C">
        <w:tc>
          <w:tcPr>
            <w:tcW w:w="4503" w:type="dxa"/>
          </w:tcPr>
          <w:p w:rsidR="00B74BAD" w:rsidRPr="007A2539" w:rsidRDefault="00B74BAD" w:rsidP="0075607C">
            <w:pPr>
              <w:spacing w:line="480" w:lineRule="auto"/>
              <w:ind w:left="284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B74BAD" w:rsidRPr="007A2539" w:rsidRDefault="00B74BAD" w:rsidP="007A2539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E2DB6" w:rsidRPr="007A2539" w:rsidRDefault="009E2DB6" w:rsidP="007A2539">
      <w:pPr>
        <w:spacing w:line="480" w:lineRule="auto"/>
        <w:jc w:val="both"/>
        <w:rPr>
          <w:rFonts w:ascii="Arial" w:hAnsi="Arial" w:cs="Arial"/>
          <w:lang w:val="en-US"/>
        </w:rPr>
      </w:pPr>
    </w:p>
    <w:p w:rsidR="00F33F4E" w:rsidRDefault="007A2539" w:rsidP="007A2539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tabulated s</w:t>
      </w:r>
      <w:r w:rsidRPr="007A2539">
        <w:rPr>
          <w:rFonts w:ascii="Arial" w:hAnsi="Arial" w:cs="Arial"/>
          <w:lang w:val="en-US"/>
        </w:rPr>
        <w:t xml:space="preserve">ynopsis </w:t>
      </w:r>
      <w:r>
        <w:rPr>
          <w:rFonts w:ascii="Arial" w:hAnsi="Arial" w:cs="Arial"/>
          <w:lang w:val="en-US"/>
        </w:rPr>
        <w:t>summarizes the</w:t>
      </w:r>
      <w:r w:rsidRPr="007A2539">
        <w:rPr>
          <w:rFonts w:ascii="Arial" w:hAnsi="Arial" w:cs="Arial"/>
          <w:lang w:val="en-US"/>
        </w:rPr>
        <w:t xml:space="preserve"> treatment strategies </w:t>
      </w:r>
      <w:r>
        <w:rPr>
          <w:rFonts w:ascii="Arial" w:hAnsi="Arial" w:cs="Arial"/>
          <w:lang w:val="en-US"/>
        </w:rPr>
        <w:t>performed</w:t>
      </w:r>
      <w:r w:rsidR="001E7664">
        <w:rPr>
          <w:rFonts w:ascii="Arial" w:hAnsi="Arial" w:cs="Arial"/>
          <w:lang w:val="en-US"/>
        </w:rPr>
        <w:t xml:space="preserve"> during follow-up</w:t>
      </w:r>
      <w:r>
        <w:rPr>
          <w:rFonts w:ascii="Arial" w:hAnsi="Arial" w:cs="Arial"/>
          <w:lang w:val="en-US"/>
        </w:rPr>
        <w:t xml:space="preserve"> in patients with protein-losing enteropathy </w:t>
      </w:r>
      <w:r w:rsidRPr="007A2539">
        <w:rPr>
          <w:rFonts w:ascii="Arial" w:hAnsi="Arial" w:cs="Arial"/>
          <w:lang w:val="en-US"/>
        </w:rPr>
        <w:t>relapse</w:t>
      </w:r>
      <w:r>
        <w:rPr>
          <w:rFonts w:ascii="Arial" w:hAnsi="Arial" w:cs="Arial"/>
          <w:lang w:val="en-US"/>
        </w:rPr>
        <w:t xml:space="preserve">s which are depicted in in Fig. </w:t>
      </w:r>
      <w:r w:rsidR="0075607C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. </w:t>
      </w:r>
      <w:r w:rsidR="0075607C">
        <w:rPr>
          <w:rFonts w:ascii="Arial" w:hAnsi="Arial" w:cs="Arial"/>
          <w:lang w:val="en-US"/>
        </w:rPr>
        <w:t xml:space="preserve">Treatments are summarized for the entire cohort analyzed as well as for the subgroups of patients </w:t>
      </w:r>
      <w:r w:rsidRPr="007A2539">
        <w:rPr>
          <w:rFonts w:ascii="Arial" w:hAnsi="Arial" w:cs="Arial"/>
          <w:lang w:val="en-US"/>
        </w:rPr>
        <w:t xml:space="preserve">with remission and </w:t>
      </w:r>
      <w:r>
        <w:rPr>
          <w:rFonts w:ascii="Arial" w:hAnsi="Arial" w:cs="Arial"/>
          <w:lang w:val="en-US"/>
        </w:rPr>
        <w:t>those without remission or frequent</w:t>
      </w:r>
      <w:r w:rsidR="001E7664">
        <w:rPr>
          <w:rFonts w:ascii="Arial" w:hAnsi="Arial" w:cs="Arial"/>
          <w:lang w:val="en-US"/>
        </w:rPr>
        <w:t xml:space="preserve"> </w:t>
      </w:r>
      <w:r w:rsidR="00F33F4E">
        <w:rPr>
          <w:rFonts w:ascii="Arial" w:hAnsi="Arial" w:cs="Arial"/>
          <w:lang w:val="en-US"/>
        </w:rPr>
        <w:t>relapses;</w:t>
      </w:r>
      <w:r w:rsidR="001E7664">
        <w:rPr>
          <w:rFonts w:ascii="Arial" w:hAnsi="Arial" w:cs="Arial"/>
          <w:lang w:val="en-US"/>
        </w:rPr>
        <w:t xml:space="preserve"> </w:t>
      </w:r>
      <w:r w:rsidR="00F33F4E">
        <w:rPr>
          <w:rFonts w:ascii="Arial" w:hAnsi="Arial" w:cs="Arial"/>
          <w:lang w:val="en-US"/>
        </w:rPr>
        <w:t>d</w:t>
      </w:r>
      <w:r w:rsidR="001E7664" w:rsidRPr="001E7664">
        <w:rPr>
          <w:rFonts w:ascii="Arial" w:hAnsi="Arial" w:cs="Arial"/>
          <w:lang w:val="en-US"/>
        </w:rPr>
        <w:t xml:space="preserve">ata are presented as </w:t>
      </w:r>
      <w:r w:rsidR="001E7664">
        <w:rPr>
          <w:rFonts w:ascii="Arial" w:hAnsi="Arial" w:cs="Arial"/>
          <w:lang w:val="en-US"/>
        </w:rPr>
        <w:t>absolute figures.</w:t>
      </w:r>
      <w:r w:rsidR="00F33F4E">
        <w:rPr>
          <w:rFonts w:ascii="Arial" w:hAnsi="Arial" w:cs="Arial"/>
          <w:lang w:val="en-US"/>
        </w:rPr>
        <w:t xml:space="preserve"> Heparin treatment was partially overlapping with other medical treatments and also medical treatments were combined with interventional and surgical treatments in various patients (Fig. 3).</w:t>
      </w:r>
    </w:p>
    <w:p w:rsidR="0072176E" w:rsidRPr="007A2539" w:rsidRDefault="00C42D84" w:rsidP="007A2539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 w:rsidRPr="007A2539">
        <w:rPr>
          <w:rFonts w:ascii="Arial" w:hAnsi="Arial" w:cs="Arial"/>
          <w:lang w:val="en-US"/>
        </w:rPr>
        <w:t xml:space="preserve">AV valve - atrioventricular valve; ICV </w:t>
      </w:r>
      <w:r w:rsidR="0075607C">
        <w:rPr>
          <w:rFonts w:ascii="Arial" w:hAnsi="Arial" w:cs="Arial"/>
          <w:lang w:val="en-US"/>
        </w:rPr>
        <w:t>-</w:t>
      </w:r>
      <w:r w:rsidRPr="007A2539">
        <w:rPr>
          <w:rFonts w:ascii="Arial" w:hAnsi="Arial" w:cs="Arial"/>
          <w:lang w:val="en-US"/>
        </w:rPr>
        <w:t xml:space="preserve"> inferior vena cava; SVC </w:t>
      </w:r>
      <w:r w:rsidR="0075607C">
        <w:rPr>
          <w:rFonts w:ascii="Arial" w:hAnsi="Arial" w:cs="Arial"/>
          <w:lang w:val="en-US"/>
        </w:rPr>
        <w:t>-</w:t>
      </w:r>
      <w:r w:rsidRPr="007A2539">
        <w:rPr>
          <w:rFonts w:ascii="Arial" w:hAnsi="Arial" w:cs="Arial"/>
          <w:lang w:val="en-US"/>
        </w:rPr>
        <w:t xml:space="preserve"> superior vena cava, EPS </w:t>
      </w:r>
      <w:r w:rsidR="0075607C">
        <w:rPr>
          <w:rFonts w:ascii="Arial" w:hAnsi="Arial" w:cs="Arial"/>
          <w:lang w:val="en-US"/>
        </w:rPr>
        <w:t>-</w:t>
      </w:r>
      <w:r w:rsidRPr="007A2539">
        <w:rPr>
          <w:rFonts w:ascii="Arial" w:hAnsi="Arial" w:cs="Arial"/>
          <w:lang w:val="en-US"/>
        </w:rPr>
        <w:t xml:space="preserve"> electrophysiological study</w:t>
      </w:r>
      <w:r w:rsidR="0075607C">
        <w:rPr>
          <w:rFonts w:ascii="Arial" w:hAnsi="Arial" w:cs="Arial"/>
          <w:lang w:val="en-US"/>
        </w:rPr>
        <w:t>.</w:t>
      </w:r>
      <w:proofErr w:type="gramEnd"/>
    </w:p>
    <w:sectPr w:rsidR="0072176E" w:rsidRPr="007A2539" w:rsidSect="00C95D5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DD1"/>
    <w:multiLevelType w:val="hybridMultilevel"/>
    <w:tmpl w:val="7C34383E"/>
    <w:lvl w:ilvl="0" w:tplc="1BDC30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1CB"/>
    <w:multiLevelType w:val="hybridMultilevel"/>
    <w:tmpl w:val="14DA329C"/>
    <w:lvl w:ilvl="0" w:tplc="7B46BD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F63E7"/>
    <w:multiLevelType w:val="hybridMultilevel"/>
    <w:tmpl w:val="4E0A6CAE"/>
    <w:lvl w:ilvl="0" w:tplc="029448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54674A"/>
    <w:multiLevelType w:val="hybridMultilevel"/>
    <w:tmpl w:val="50065F22"/>
    <w:lvl w:ilvl="0" w:tplc="895AA2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76"/>
    <w:rsid w:val="0001615D"/>
    <w:rsid w:val="000C2EBD"/>
    <w:rsid w:val="001E7664"/>
    <w:rsid w:val="004377A8"/>
    <w:rsid w:val="00447595"/>
    <w:rsid w:val="005A7E0C"/>
    <w:rsid w:val="0072176E"/>
    <w:rsid w:val="0075607C"/>
    <w:rsid w:val="007638CB"/>
    <w:rsid w:val="007663AD"/>
    <w:rsid w:val="007A2539"/>
    <w:rsid w:val="00846553"/>
    <w:rsid w:val="00855B66"/>
    <w:rsid w:val="00905CCE"/>
    <w:rsid w:val="009E2DB6"/>
    <w:rsid w:val="009E6211"/>
    <w:rsid w:val="00A66CF6"/>
    <w:rsid w:val="00B74BAD"/>
    <w:rsid w:val="00C42D84"/>
    <w:rsid w:val="00C95D5E"/>
    <w:rsid w:val="00D31853"/>
    <w:rsid w:val="00D6765E"/>
    <w:rsid w:val="00DB1ACD"/>
    <w:rsid w:val="00E60927"/>
    <w:rsid w:val="00F33F4E"/>
    <w:rsid w:val="00F9735C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176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176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Schleiger, Dr. Anastasia</dc:creator>
  <cp:lastModifiedBy>Kramer, Peter</cp:lastModifiedBy>
  <cp:revision>19</cp:revision>
  <cp:lastPrinted>2020-02-26T22:14:00Z</cp:lastPrinted>
  <dcterms:created xsi:type="dcterms:W3CDTF">2020-01-23T19:56:00Z</dcterms:created>
  <dcterms:modified xsi:type="dcterms:W3CDTF">2020-02-27T15:27:00Z</dcterms:modified>
</cp:coreProperties>
</file>