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540" w:tblpY="-384"/>
        <w:tblOverlap w:val="never"/>
        <w:tblW w:w="109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70"/>
        <w:gridCol w:w="1620"/>
        <w:gridCol w:w="1620"/>
        <w:gridCol w:w="810"/>
        <w:gridCol w:w="1440"/>
        <w:gridCol w:w="1620"/>
        <w:gridCol w:w="720"/>
        <w:gridCol w:w="1080"/>
      </w:tblGrid>
      <w:tr w:rsidR="00477C12" w:rsidRPr="00F40710" w14:paraId="76940E10" w14:textId="77777777" w:rsidTr="00054309">
        <w:trPr>
          <w:trHeight w:val="153"/>
        </w:trPr>
        <w:tc>
          <w:tcPr>
            <w:tcW w:w="10980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bottom"/>
          </w:tcPr>
          <w:p w14:paraId="1B03A9C1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Supplemental table 1 </w:t>
            </w: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Pre- and post-clinic demographic and clinical characteristics in single ventricle and two ventricle patients  </w:t>
            </w:r>
          </w:p>
        </w:tc>
      </w:tr>
      <w:tr w:rsidR="00477C12" w:rsidRPr="00F40710" w14:paraId="58DFA0C4" w14:textId="77777777" w:rsidTr="00054309">
        <w:trPr>
          <w:trHeight w:val="153"/>
        </w:trPr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bottom"/>
          </w:tcPr>
          <w:p w14:paraId="28EC862B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E3F5B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Single ventricle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(1V)</w:t>
            </w:r>
          </w:p>
        </w:tc>
        <w:tc>
          <w:tcPr>
            <w:tcW w:w="37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563C0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 ventricle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(2V)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48D9F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Post-clinic 1V vs 2V</w:t>
            </w:r>
          </w:p>
        </w:tc>
      </w:tr>
      <w:tr w:rsidR="00477C12" w:rsidRPr="00F40710" w14:paraId="2C3C6FCC" w14:textId="77777777" w:rsidTr="00054309">
        <w:trPr>
          <w:trHeight w:val="153"/>
        </w:trPr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bottom"/>
          </w:tcPr>
          <w:p w14:paraId="162761BD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DD3DAA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Pre-clinic (N=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bottom"/>
          </w:tcPr>
          <w:p w14:paraId="659390D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Post-clinic (N=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27E86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B0BE45A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Pre-clinic (N=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44333A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Post-clinic (N=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6E0C7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E012C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477C12" w:rsidRPr="00F40710" w14:paraId="596CB4DD" w14:textId="77777777" w:rsidTr="00054309">
        <w:trPr>
          <w:trHeight w:val="153"/>
        </w:trPr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2599BE5A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Gender, </w:t>
            </w:r>
            <w:proofErr w:type="gramStart"/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n(</w:t>
            </w:r>
            <w:proofErr w:type="gramEnd"/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14:paraId="162842F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219E918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5B424CB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14:paraId="19863D2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14:paraId="4DE418B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</w:tcPr>
          <w:p w14:paraId="42951CB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14:paraId="6D7C6CF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12" w:rsidRPr="00F40710" w14:paraId="3EC3E7D0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3A63759A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Female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4A35D5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2 (22.2%)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5A4024D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10 (38.5%)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9D18D2A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7216E4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4 (30.8%)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8909AD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36 (40%)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E903BE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E5645E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477C12" w:rsidRPr="00F40710" w14:paraId="35861878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7CA0E1F0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Male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308AA0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7 (77.8%)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3E7083E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16 (61.5%)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D81CE5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77D60F7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9 (69.2%)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A1C07B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54 (60%)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0600BC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FB1DD5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0AEAA443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74658BB5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Race, </w:t>
            </w:r>
            <w:proofErr w:type="gramStart"/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n(</w:t>
            </w:r>
            <w:proofErr w:type="gramEnd"/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6AD8FF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7B79089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D4C620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65A5FA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414FFF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4AC35D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D9B53C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12" w:rsidRPr="00F40710" w14:paraId="0F55220F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66AC4813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Non-White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A55E16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4BB5512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2 (7.7%)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05F8626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4E3B33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 (7.7%)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E5F9F8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10 (11.1%)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57891C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D7D69E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</w:tr>
      <w:tr w:rsidR="00477C12" w:rsidRPr="00F40710" w14:paraId="2507AFE6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50084A14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White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90EB6A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9 (100%)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7483341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24 (92.3%)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872FC8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E4E7F5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12 (92.3%)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47709B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80 (88.9%)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5BC694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820952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0A09D692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32F3C826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 at surgery (day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D52191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619A806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F3C7D20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E993E0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7EE0AE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2262B9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D64407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12" w:rsidRPr="00F40710" w14:paraId="45BAE135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36796180" w14:textId="77777777" w:rsidR="00477C12" w:rsidRPr="00F40710" w:rsidDel="00494C6C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Mean (SD)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99E49C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6.4 (3.2)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788084A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6.2 (5.1)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56DA0B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9BC0A4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10.3 (7.1)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DE28E9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7.1 (5.1)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78455E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AE030B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12FC2F21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2D5E9595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Median (IQR)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09D3B1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5.0 (4.0, 7.0)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4AF1940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5.0 (4.0, 6.0)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30C9089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B5A80B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7.0 (6.0, 14.0)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A089E6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6.0 (4.0, 8.0)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7B0EE6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9B6558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</w:tr>
      <w:tr w:rsidR="00477C12" w:rsidRPr="00F40710" w14:paraId="34F1632E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6FA8CDF7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Range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39F279C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(4.0, 14.0)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2636F40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(3.0, 27.0)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253B97F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7A42A5A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(1.0, 24.0)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9D9718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(0.0, 28.0)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5E4FFB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D32E7B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5A440C28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2B76988E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Diagnosis, </w:t>
            </w:r>
            <w:proofErr w:type="gramStart"/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n(</w:t>
            </w:r>
            <w:proofErr w:type="gramEnd"/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FC745F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1AD31DE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302EB10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A4A6DC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461438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26877A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CC2DA7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</w:tr>
      <w:tr w:rsidR="00477C12" w:rsidRPr="00F40710" w14:paraId="64A3896D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7F932DEC" w14:textId="77777777" w:rsidR="00477C12" w:rsidRPr="00F40710" w:rsidDel="00494C6C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CoArc</w:t>
            </w:r>
            <w:proofErr w:type="spellEnd"/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/IAA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C55BD4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104C3BD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57A1880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6AEBEF8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4 (30.8%)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850BAF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39 (43.3%)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C22C83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D68B2E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0799C313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70DC0837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d-TGA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4341C3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1E2B5C1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0078F710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3BAADB5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4 (30.8%)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4AD206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30 (33.3%)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0C0CA2A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F18705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6ECDBD39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30DD55BE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HLHS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362F297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5 (55.6%)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4A55E8E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16 (61.5%)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5CD5EF9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6555AB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386A0D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ED4F09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A1F535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676DFBAC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65E11483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Other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6DCD98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619103A0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1345023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5971EF4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2 (15.4%)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2F69DE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7 (7.8%)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A14E94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F464FB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15EAC59E" w14:textId="77777777" w:rsidTr="00054309">
        <w:trPr>
          <w:trHeight w:val="153"/>
        </w:trPr>
        <w:tc>
          <w:tcPr>
            <w:tcW w:w="207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015CD28D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TAPVR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1060F4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4084655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3230A46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F1FEF8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 (7.7%)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57355F1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7 (7.8%)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58DED0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0CA8F5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4A3BE841" w14:textId="77777777" w:rsidTr="00054309">
        <w:trPr>
          <w:trHeight w:val="144"/>
        </w:trPr>
        <w:tc>
          <w:tcPr>
            <w:tcW w:w="2070" w:type="dxa"/>
            <w:tcBorders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AAC0847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TOF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4C66960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AC5830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7641A19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4EE171E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 (7.7%)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39DB868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5C5D50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018AF09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4AA6C170" w14:textId="77777777" w:rsidTr="00054309">
        <w:trPr>
          <w:trHeight w:val="144"/>
        </w:trPr>
        <w:tc>
          <w:tcPr>
            <w:tcW w:w="2070" w:type="dxa"/>
            <w:tcBorders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7749EFEF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SV (other)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A86A5D3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4 (44.4%)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A946F30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10 (38.5%)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B7A4E9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E26D67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12FF8A7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7070109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163A038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7A58F719" w14:textId="77777777" w:rsidTr="00054309">
        <w:trPr>
          <w:trHeight w:val="144"/>
        </w:trPr>
        <w:tc>
          <w:tcPr>
            <w:tcW w:w="2070" w:type="dxa"/>
            <w:tcBorders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7A57CCA3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Tetralogy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1552791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17FBFBD0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8F8249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2A0A06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073575D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4 (4.4%)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8F59ED4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71DB04E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7F889B46" w14:textId="77777777" w:rsidTr="00054309">
        <w:trPr>
          <w:trHeight w:val="144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20C75CA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Truncus Arteriosus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0F9C0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8E1839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8344E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F7191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 (7.7%)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8AC35A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3 (3.3%)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75236B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DCA3E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0C5887A5" w14:textId="77777777" w:rsidTr="00054309">
        <w:trPr>
          <w:trHeight w:val="144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6B9BBC6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 LOS (day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F40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6571C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4CA806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AD20E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D4E35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223FC6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F54720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B6794E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12" w:rsidRPr="00F40710" w14:paraId="75D7B792" w14:textId="77777777" w:rsidTr="00054309">
        <w:trPr>
          <w:trHeight w:val="144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B588468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Mean (SD)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DC5DDA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20.7 (5.6)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1A09466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33.8 (29.5)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DE4E2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68461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27.5 (10.0)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55D52C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19.8 (8.3)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DFB348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ED90C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C12" w:rsidRPr="00F40710" w14:paraId="61CE51A1" w14:textId="77777777" w:rsidTr="00054309">
        <w:trPr>
          <w:trHeight w:val="144"/>
        </w:trPr>
        <w:tc>
          <w:tcPr>
            <w:tcW w:w="2070" w:type="dxa"/>
            <w:tcBorders>
              <w:top w:val="nil"/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6FAA4C5B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Median (IQR)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734023A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19.0 (18.0, 22.0)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tcMar>
              <w:top w:w="100" w:type="nil"/>
              <w:right w:w="100" w:type="nil"/>
            </w:tcMar>
          </w:tcPr>
          <w:p w14:paraId="7EA5EEA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26.0 (22.2, 36.5)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3EC257A9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0A9CF2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25.0 (21.0, 30.0)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4D7BEB9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18.0 (15.0, 22.8)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26091DE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46CDD76D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F407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</w:tr>
      <w:tr w:rsidR="00477C12" w:rsidRPr="00F40710" w14:paraId="4B76717D" w14:textId="77777777" w:rsidTr="00054309">
        <w:trPr>
          <w:trHeight w:val="144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</w:tcPr>
          <w:p w14:paraId="431E6FF2" w14:textId="77777777" w:rsidR="00477C12" w:rsidRPr="00F40710" w:rsidRDefault="00477C12" w:rsidP="0005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 xml:space="preserve">    Range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96452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(13.0, 32.0)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</w:tcPr>
          <w:p w14:paraId="404A434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(14.0, 171.0)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2E78F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A4CB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(15.0, 46.0)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DD461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(5.0, 45.0)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98D85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6D997" w14:textId="77777777" w:rsidR="00477C12" w:rsidRPr="00F40710" w:rsidRDefault="00477C12" w:rsidP="000543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9EC972A" w14:textId="77777777" w:rsidR="00477C12" w:rsidRPr="00F40710" w:rsidRDefault="00477C12" w:rsidP="00477C12">
      <w:pPr>
        <w:tabs>
          <w:tab w:val="left" w:pos="8550"/>
        </w:tabs>
        <w:rPr>
          <w:rFonts w:ascii="Times New Roman" w:hAnsi="Times New Roman" w:cs="Times New Roman"/>
          <w:sz w:val="20"/>
          <w:szCs w:val="20"/>
        </w:rPr>
      </w:pPr>
      <w:r w:rsidRPr="00F40710">
        <w:rPr>
          <w:rFonts w:ascii="Times New Roman" w:hAnsi="Times New Roman" w:cs="Times New Roman"/>
          <w:sz w:val="20"/>
          <w:szCs w:val="20"/>
        </w:rPr>
        <w:t xml:space="preserve">SD = standard deviation; IQR = interquartile range; </w:t>
      </w:r>
      <w:proofErr w:type="spellStart"/>
      <w:r w:rsidRPr="00F40710">
        <w:rPr>
          <w:rFonts w:ascii="Times New Roman" w:hAnsi="Times New Roman" w:cs="Times New Roman"/>
          <w:sz w:val="20"/>
          <w:szCs w:val="20"/>
        </w:rPr>
        <w:t>CoArc</w:t>
      </w:r>
      <w:proofErr w:type="spellEnd"/>
      <w:r w:rsidRPr="00F40710">
        <w:rPr>
          <w:rFonts w:ascii="Times New Roman" w:hAnsi="Times New Roman" w:cs="Times New Roman"/>
          <w:sz w:val="20"/>
          <w:szCs w:val="20"/>
        </w:rPr>
        <w:t>/IAA = coarctation of the aorta, hypoplastic aortic arch, or interrupted aortic arch; d-TGA = d-transposition of the great arteries; HLHS = hypoplastic left heart syndrome; TAPVR = total anomalous pulmonary venous return; TOF = tetralogy of Fallot; SV = single ventricle; LOS = length of stay</w:t>
      </w:r>
    </w:p>
    <w:p w14:paraId="246FD610" w14:textId="77777777" w:rsidR="00477C12" w:rsidRPr="00F40710" w:rsidRDefault="00477C12" w:rsidP="00477C12">
      <w:pPr>
        <w:tabs>
          <w:tab w:val="left" w:pos="8550"/>
        </w:tabs>
        <w:rPr>
          <w:rFonts w:ascii="Times New Roman" w:hAnsi="Times New Roman" w:cs="Times New Roman"/>
          <w:sz w:val="20"/>
          <w:szCs w:val="20"/>
        </w:rPr>
      </w:pPr>
      <w:r w:rsidRPr="006C1710">
        <w:rPr>
          <w:rFonts w:ascii="Times New Roman" w:hAnsi="Times New Roman"/>
          <w:sz w:val="18"/>
          <w:szCs w:val="18"/>
          <w:vertAlign w:val="superscript"/>
        </w:rPr>
        <w:t>c</w:t>
      </w:r>
      <w:r w:rsidRPr="006C1710">
        <w:rPr>
          <w:rFonts w:ascii="Times New Roman" w:hAnsi="Times New Roman"/>
          <w:sz w:val="18"/>
          <w:szCs w:val="18"/>
        </w:rPr>
        <w:t xml:space="preserve"> Chi-squared test, </w:t>
      </w:r>
      <w:r w:rsidRPr="006C1710">
        <w:rPr>
          <w:rFonts w:ascii="Times New Roman" w:hAnsi="Times New Roman"/>
          <w:sz w:val="18"/>
          <w:szCs w:val="18"/>
          <w:vertAlign w:val="superscript"/>
        </w:rPr>
        <w:t>f</w:t>
      </w:r>
      <w:r w:rsidRPr="006C1710">
        <w:rPr>
          <w:rFonts w:ascii="Times New Roman" w:hAnsi="Times New Roman"/>
          <w:sz w:val="18"/>
          <w:szCs w:val="18"/>
        </w:rPr>
        <w:t xml:space="preserve"> Fisher's exact test, </w:t>
      </w:r>
      <w:r w:rsidRPr="006C1710">
        <w:rPr>
          <w:rFonts w:ascii="Times New Roman" w:hAnsi="Times New Roman"/>
          <w:sz w:val="18"/>
          <w:szCs w:val="18"/>
          <w:vertAlign w:val="superscript"/>
        </w:rPr>
        <w:t>e</w:t>
      </w:r>
      <w:r w:rsidRPr="006C1710">
        <w:rPr>
          <w:rFonts w:ascii="Times New Roman" w:hAnsi="Times New Roman"/>
          <w:sz w:val="18"/>
          <w:szCs w:val="18"/>
        </w:rPr>
        <w:t xml:space="preserve"> Exact Wilcoxon</w:t>
      </w:r>
    </w:p>
    <w:p w14:paraId="24EC5592" w14:textId="77777777" w:rsidR="00392820" w:rsidRDefault="00477C12">
      <w:bookmarkStart w:id="0" w:name="_GoBack"/>
      <w:bookmarkEnd w:id="0"/>
    </w:p>
    <w:sectPr w:rsidR="0039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12"/>
    <w:rsid w:val="00477C12"/>
    <w:rsid w:val="00D37C23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602D"/>
  <w15:chartTrackingRefBased/>
  <w15:docId w15:val="{A0B43205-9BBD-4FED-B444-9FB155DB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Jones</dc:creator>
  <cp:keywords/>
  <dc:description/>
  <cp:lastModifiedBy>Courtney Jones</cp:lastModifiedBy>
  <cp:revision>1</cp:revision>
  <dcterms:created xsi:type="dcterms:W3CDTF">2021-03-06T14:52:00Z</dcterms:created>
  <dcterms:modified xsi:type="dcterms:W3CDTF">2021-03-06T14:53:00Z</dcterms:modified>
</cp:coreProperties>
</file>