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AAE7" w14:textId="6DE7BF69" w:rsidR="00A626A6" w:rsidRPr="00D40B19" w:rsidRDefault="00347D11" w:rsidP="00C249E0">
      <w:pPr>
        <w:rPr>
          <w:rFonts w:ascii="Arial" w:hAnsi="Arial" w:cs="Arial"/>
          <w:b/>
          <w:color w:val="000000" w:themeColor="text1"/>
          <w:sz w:val="24"/>
          <w:szCs w:val="24"/>
        </w:rPr>
      </w:pPr>
      <w:r w:rsidRPr="00D40B19">
        <w:rPr>
          <w:rFonts w:ascii="Arial" w:hAnsi="Arial" w:cs="Arial"/>
          <w:b/>
          <w:color w:val="000000" w:themeColor="text1"/>
          <w:sz w:val="24"/>
          <w:szCs w:val="24"/>
        </w:rPr>
        <w:t xml:space="preserve">Appendix </w:t>
      </w:r>
      <w:r w:rsidR="00BA22E5">
        <w:rPr>
          <w:rFonts w:ascii="Arial" w:hAnsi="Arial" w:cs="Arial"/>
          <w:b/>
          <w:color w:val="000000" w:themeColor="text1"/>
          <w:sz w:val="24"/>
          <w:szCs w:val="24"/>
        </w:rPr>
        <w:t>3</w:t>
      </w:r>
      <w:r w:rsidRPr="00D40B19">
        <w:rPr>
          <w:rFonts w:ascii="Arial" w:hAnsi="Arial" w:cs="Arial"/>
          <w:b/>
          <w:color w:val="000000" w:themeColor="text1"/>
          <w:sz w:val="24"/>
          <w:szCs w:val="24"/>
        </w:rPr>
        <w:t xml:space="preserve"> </w:t>
      </w:r>
    </w:p>
    <w:p w14:paraId="6A66628C" w14:textId="6EA7117C" w:rsidR="00A626A6" w:rsidRPr="00D40B19" w:rsidRDefault="00A626A6" w:rsidP="00A626A6">
      <w:pPr>
        <w:spacing w:line="360" w:lineRule="auto"/>
        <w:jc w:val="both"/>
        <w:rPr>
          <w:rFonts w:ascii="Arial" w:hAnsi="Arial" w:cs="Arial"/>
          <w:b/>
          <w:color w:val="000000" w:themeColor="text1"/>
          <w:sz w:val="24"/>
          <w:szCs w:val="24"/>
        </w:rPr>
      </w:pPr>
      <w:r w:rsidRPr="00D40B19">
        <w:rPr>
          <w:rFonts w:ascii="Arial" w:hAnsi="Arial" w:cs="Arial"/>
          <w:b/>
          <w:color w:val="000000" w:themeColor="text1"/>
          <w:sz w:val="24"/>
          <w:szCs w:val="24"/>
        </w:rPr>
        <w:t xml:space="preserve">Table </w:t>
      </w:r>
      <w:r w:rsidR="00BA22E5">
        <w:rPr>
          <w:rFonts w:ascii="Arial" w:hAnsi="Arial" w:cs="Arial"/>
          <w:b/>
          <w:color w:val="000000" w:themeColor="text1"/>
          <w:sz w:val="24"/>
          <w:szCs w:val="24"/>
        </w:rPr>
        <w:t>S</w:t>
      </w:r>
      <w:r w:rsidRPr="00D40B19">
        <w:rPr>
          <w:rFonts w:ascii="Arial" w:hAnsi="Arial" w:cs="Arial"/>
          <w:b/>
          <w:color w:val="000000" w:themeColor="text1"/>
          <w:sz w:val="24"/>
          <w:szCs w:val="24"/>
        </w:rPr>
        <w:t xml:space="preserve">1.  Required </w:t>
      </w:r>
      <w:r w:rsidR="001C2122" w:rsidRPr="009D78BE">
        <w:rPr>
          <w:rFonts w:ascii="Arial" w:hAnsi="Arial" w:cs="Arial"/>
          <w:b/>
          <w:color w:val="000000" w:themeColor="text1"/>
          <w:sz w:val="24"/>
          <w:szCs w:val="24"/>
        </w:rPr>
        <w:t xml:space="preserve">Personnel </w:t>
      </w:r>
      <w:r w:rsidR="000B3A0C" w:rsidRPr="00D40B19">
        <w:rPr>
          <w:rFonts w:ascii="Arial" w:hAnsi="Arial" w:cs="Arial"/>
          <w:b/>
          <w:color w:val="000000" w:themeColor="text1"/>
          <w:sz w:val="24"/>
          <w:szCs w:val="24"/>
        </w:rPr>
        <w:t xml:space="preserve">for </w:t>
      </w:r>
      <w:r w:rsidR="001C2122" w:rsidRPr="009D78BE">
        <w:rPr>
          <w:rFonts w:ascii="Arial" w:hAnsi="Arial" w:cs="Arial"/>
          <w:b/>
          <w:color w:val="000000" w:themeColor="text1"/>
          <w:sz w:val="24"/>
          <w:szCs w:val="24"/>
        </w:rPr>
        <w:t>Lead Extraction</w:t>
      </w:r>
    </w:p>
    <w:tbl>
      <w:tblPr>
        <w:tblStyle w:val="TableGrid"/>
        <w:tblW w:w="0" w:type="auto"/>
        <w:tblInd w:w="-5" w:type="dxa"/>
        <w:tblCellMar>
          <w:left w:w="115" w:type="dxa"/>
          <w:right w:w="115" w:type="dxa"/>
        </w:tblCellMar>
        <w:tblLook w:val="04A0" w:firstRow="1" w:lastRow="0" w:firstColumn="1" w:lastColumn="0" w:noHBand="0" w:noVBand="1"/>
      </w:tblPr>
      <w:tblGrid>
        <w:gridCol w:w="2425"/>
        <w:gridCol w:w="9545"/>
      </w:tblGrid>
      <w:tr w:rsidR="009D78BE" w:rsidRPr="009D78BE" w14:paraId="18275D55" w14:textId="77777777" w:rsidTr="006E7031">
        <w:tc>
          <w:tcPr>
            <w:tcW w:w="2425" w:type="dxa"/>
          </w:tcPr>
          <w:p w14:paraId="74DF8579" w14:textId="06D64211"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Primary </w:t>
            </w:r>
            <w:r w:rsidR="000B3A0C" w:rsidRPr="00D40B19">
              <w:rPr>
                <w:rFonts w:ascii="Arial" w:hAnsi="Arial" w:cs="Arial"/>
                <w:color w:val="000000" w:themeColor="text1"/>
              </w:rPr>
              <w:t>operator</w:t>
            </w:r>
          </w:p>
        </w:tc>
        <w:tc>
          <w:tcPr>
            <w:tcW w:w="9545" w:type="dxa"/>
          </w:tcPr>
          <w:p w14:paraId="3E107362" w14:textId="1A56A315"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Physician performing the extraction procedure who is appropriately trained and experienced in performing lead extractions and the management of complications in children. Particular experience with extractions in children and congenital heart disease is necessary as relevant to the case. </w:t>
            </w:r>
          </w:p>
        </w:tc>
      </w:tr>
      <w:tr w:rsidR="009D78BE" w:rsidRPr="009D78BE" w14:paraId="5632F8AF" w14:textId="77777777" w:rsidTr="006E7031">
        <w:tc>
          <w:tcPr>
            <w:tcW w:w="2425" w:type="dxa"/>
          </w:tcPr>
          <w:p w14:paraId="39343A7B" w14:textId="2E5144A9"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Cardiothoracic </w:t>
            </w:r>
            <w:r w:rsidR="000B3A0C" w:rsidRPr="00D40B19">
              <w:rPr>
                <w:rFonts w:ascii="Arial" w:hAnsi="Arial" w:cs="Arial"/>
                <w:color w:val="000000" w:themeColor="text1"/>
              </w:rPr>
              <w:t>surgeon</w:t>
            </w:r>
          </w:p>
        </w:tc>
        <w:tc>
          <w:tcPr>
            <w:tcW w:w="9545" w:type="dxa"/>
          </w:tcPr>
          <w:p w14:paraId="23B447CB" w14:textId="0CB31E7B"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Cardiothoracic surgeon knowledgeable in lead extraction procedures and potential complications therein, who is immediately available to manage life-threatening complications that may require emergent surgical intervention. Understanding of congenital and postoperative anatomy is necessary for optimal surgical approach.</w:t>
            </w:r>
          </w:p>
        </w:tc>
      </w:tr>
      <w:tr w:rsidR="009D78BE" w:rsidRPr="009D78BE" w14:paraId="01ABCE00" w14:textId="77777777" w:rsidTr="006E7031">
        <w:tc>
          <w:tcPr>
            <w:tcW w:w="2425" w:type="dxa"/>
          </w:tcPr>
          <w:p w14:paraId="7C7B256A" w14:textId="21E4C056"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Surgical </w:t>
            </w:r>
            <w:r w:rsidR="000B3A0C" w:rsidRPr="00D40B19">
              <w:rPr>
                <w:rFonts w:ascii="Arial" w:hAnsi="Arial" w:cs="Arial"/>
                <w:color w:val="000000" w:themeColor="text1"/>
              </w:rPr>
              <w:t>support staff</w:t>
            </w:r>
          </w:p>
        </w:tc>
        <w:tc>
          <w:tcPr>
            <w:tcW w:w="9545" w:type="dxa"/>
          </w:tcPr>
          <w:p w14:paraId="1B575D87"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Necessary surgical support staff, including a perfusion team and nursing support, who are immediately available with necessary equipment to manage life-threatening complications that may require emergent surgical intervention.</w:t>
            </w:r>
          </w:p>
        </w:tc>
      </w:tr>
      <w:tr w:rsidR="009D78BE" w:rsidRPr="009D78BE" w14:paraId="61F4CD07" w14:textId="77777777" w:rsidTr="006E7031">
        <w:tc>
          <w:tcPr>
            <w:tcW w:w="2425" w:type="dxa"/>
          </w:tcPr>
          <w:p w14:paraId="370A9431"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Anesthesiology</w:t>
            </w:r>
          </w:p>
        </w:tc>
        <w:tc>
          <w:tcPr>
            <w:tcW w:w="9545" w:type="dxa"/>
          </w:tcPr>
          <w:p w14:paraId="2BE3EC81"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Anesthesiologist to provide general anesthesia support for the case and possible complications.</w:t>
            </w:r>
          </w:p>
        </w:tc>
      </w:tr>
      <w:tr w:rsidR="009D78BE" w:rsidRPr="009D78BE" w14:paraId="5FA260D2" w14:textId="77777777" w:rsidTr="006E7031">
        <w:tc>
          <w:tcPr>
            <w:tcW w:w="2425" w:type="dxa"/>
          </w:tcPr>
          <w:p w14:paraId="076A8047" w14:textId="215B9013"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Imaging </w:t>
            </w:r>
            <w:r w:rsidR="000B3A0C" w:rsidRPr="00D40B19">
              <w:rPr>
                <w:rFonts w:ascii="Arial" w:hAnsi="Arial" w:cs="Arial"/>
                <w:color w:val="000000" w:themeColor="text1"/>
              </w:rPr>
              <w:t>support</w:t>
            </w:r>
          </w:p>
        </w:tc>
        <w:tc>
          <w:tcPr>
            <w:tcW w:w="9545" w:type="dxa"/>
          </w:tcPr>
          <w:p w14:paraId="1BC7EB80"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Personnel to operate and troubleshoot fluoroscopic and other imaging equipment, including rapid access to echocardiography.</w:t>
            </w:r>
          </w:p>
        </w:tc>
      </w:tr>
      <w:tr w:rsidR="009D78BE" w:rsidRPr="009D78BE" w14:paraId="36DAF6CF" w14:textId="77777777" w:rsidTr="006E7031">
        <w:tc>
          <w:tcPr>
            <w:tcW w:w="2425" w:type="dxa"/>
          </w:tcPr>
          <w:p w14:paraId="73693187" w14:textId="301736F0"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“Scrubbed” </w:t>
            </w:r>
            <w:r w:rsidR="000B3A0C" w:rsidRPr="00D40B19">
              <w:rPr>
                <w:rFonts w:ascii="Arial" w:hAnsi="Arial" w:cs="Arial"/>
                <w:color w:val="000000" w:themeColor="text1"/>
              </w:rPr>
              <w:t>assistant</w:t>
            </w:r>
          </w:p>
        </w:tc>
        <w:tc>
          <w:tcPr>
            <w:tcW w:w="9545" w:type="dxa"/>
          </w:tcPr>
          <w:p w14:paraId="259DEEB2"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 xml:space="preserve">Assistant to the primary operator who is knowledgeable about the extraction procedure who is scrubbed and available to assist with all facets of the lead extraction.  </w:t>
            </w:r>
          </w:p>
        </w:tc>
      </w:tr>
      <w:tr w:rsidR="009D78BE" w:rsidRPr="009D78BE" w14:paraId="2D6422B6" w14:textId="77777777" w:rsidTr="006E7031">
        <w:tc>
          <w:tcPr>
            <w:tcW w:w="2425" w:type="dxa"/>
          </w:tcPr>
          <w:p w14:paraId="093B3C5E" w14:textId="4EA51C64" w:rsidR="00A626A6" w:rsidRPr="00D40B19" w:rsidRDefault="00A626A6" w:rsidP="00D40B19">
            <w:pPr>
              <w:pStyle w:val="ListParagraph"/>
              <w:spacing w:line="360" w:lineRule="auto"/>
              <w:ind w:left="0"/>
              <w:rPr>
                <w:rFonts w:ascii="Arial" w:hAnsi="Arial" w:cs="Arial"/>
                <w:color w:val="000000" w:themeColor="text1"/>
              </w:rPr>
            </w:pPr>
            <w:proofErr w:type="spellStart"/>
            <w:r w:rsidRPr="00D40B19">
              <w:rPr>
                <w:rFonts w:ascii="Arial" w:hAnsi="Arial" w:cs="Arial"/>
                <w:color w:val="000000" w:themeColor="text1"/>
              </w:rPr>
              <w:t>Nonscrubbed</w:t>
            </w:r>
            <w:proofErr w:type="spellEnd"/>
            <w:r w:rsidRPr="00D40B19">
              <w:rPr>
                <w:rFonts w:ascii="Arial" w:hAnsi="Arial" w:cs="Arial"/>
                <w:color w:val="000000" w:themeColor="text1"/>
              </w:rPr>
              <w:t xml:space="preserve"> </w:t>
            </w:r>
            <w:r w:rsidR="000B3A0C" w:rsidRPr="00D40B19">
              <w:rPr>
                <w:rFonts w:ascii="Arial" w:hAnsi="Arial" w:cs="Arial"/>
                <w:color w:val="000000" w:themeColor="text1"/>
              </w:rPr>
              <w:t>assistant</w:t>
            </w:r>
          </w:p>
        </w:tc>
        <w:tc>
          <w:tcPr>
            <w:tcW w:w="9545" w:type="dxa"/>
          </w:tcPr>
          <w:p w14:paraId="40879B78" w14:textId="77777777" w:rsidR="00A626A6" w:rsidRPr="00D40B19" w:rsidRDefault="00A626A6" w:rsidP="00D40B19">
            <w:pPr>
              <w:pStyle w:val="ListParagraph"/>
              <w:spacing w:line="360" w:lineRule="auto"/>
              <w:ind w:left="0"/>
              <w:rPr>
                <w:rFonts w:ascii="Arial" w:hAnsi="Arial" w:cs="Arial"/>
                <w:color w:val="000000" w:themeColor="text1"/>
              </w:rPr>
            </w:pPr>
            <w:r w:rsidRPr="00D40B19">
              <w:rPr>
                <w:rFonts w:ascii="Arial" w:hAnsi="Arial" w:cs="Arial"/>
                <w:color w:val="000000" w:themeColor="text1"/>
              </w:rPr>
              <w:t>Personnel who is/are knowledgeable about the extraction procedure and available to provide necessary equipment during the case and able to assist in an emergency.</w:t>
            </w:r>
          </w:p>
        </w:tc>
      </w:tr>
    </w:tbl>
    <w:p w14:paraId="75946AF8" w14:textId="77777777" w:rsidR="00A626A6" w:rsidRPr="00D40B19" w:rsidRDefault="00A626A6" w:rsidP="00A626A6">
      <w:pPr>
        <w:spacing w:line="360" w:lineRule="auto"/>
        <w:jc w:val="both"/>
        <w:rPr>
          <w:rFonts w:ascii="Arial" w:hAnsi="Arial" w:cs="Arial"/>
          <w:color w:val="000000" w:themeColor="text1"/>
        </w:rPr>
      </w:pPr>
    </w:p>
    <w:p w14:paraId="3CBA390C" w14:textId="2F3EFBA6" w:rsidR="00347D11" w:rsidRPr="00D40B19" w:rsidRDefault="00A626A6" w:rsidP="00C249E0">
      <w:pPr>
        <w:rPr>
          <w:rFonts w:ascii="Arial" w:hAnsi="Arial" w:cs="Arial"/>
          <w:b/>
          <w:color w:val="000000" w:themeColor="text1"/>
          <w:sz w:val="24"/>
          <w:szCs w:val="24"/>
        </w:rPr>
      </w:pPr>
      <w:r w:rsidRPr="00D40B19">
        <w:rPr>
          <w:rFonts w:ascii="Arial" w:hAnsi="Arial" w:cs="Arial"/>
          <w:b/>
          <w:color w:val="000000" w:themeColor="text1"/>
        </w:rPr>
        <w:br w:type="page"/>
      </w:r>
      <w:r w:rsidR="00347D11" w:rsidRPr="00D40B19">
        <w:rPr>
          <w:rFonts w:ascii="Arial" w:hAnsi="Arial" w:cs="Arial"/>
          <w:b/>
          <w:color w:val="000000" w:themeColor="text1"/>
          <w:sz w:val="24"/>
          <w:szCs w:val="24"/>
        </w:rPr>
        <w:lastRenderedPageBreak/>
        <w:t xml:space="preserve">Evidence </w:t>
      </w:r>
      <w:r w:rsidR="001C2122" w:rsidRPr="009D78BE">
        <w:rPr>
          <w:rFonts w:ascii="Arial" w:hAnsi="Arial" w:cs="Arial"/>
          <w:b/>
          <w:color w:val="000000" w:themeColor="text1"/>
          <w:sz w:val="24"/>
          <w:szCs w:val="24"/>
        </w:rPr>
        <w:t>Tables</w:t>
      </w:r>
    </w:p>
    <w:p w14:paraId="672DFE46" w14:textId="1E48E88C" w:rsidR="00C249E0" w:rsidRPr="00D40B19" w:rsidRDefault="00195224" w:rsidP="00C249E0">
      <w:pPr>
        <w:rPr>
          <w:rFonts w:ascii="Arial" w:hAnsi="Arial" w:cs="Arial"/>
          <w:b/>
          <w:color w:val="000000" w:themeColor="text1"/>
          <w:sz w:val="24"/>
          <w:szCs w:val="24"/>
        </w:rPr>
      </w:pPr>
      <w:r w:rsidRPr="009D78BE">
        <w:rPr>
          <w:rFonts w:ascii="Arial" w:hAnsi="Arial" w:cs="Arial"/>
          <w:b/>
          <w:color w:val="000000" w:themeColor="text1"/>
          <w:sz w:val="24"/>
          <w:szCs w:val="24"/>
        </w:rPr>
        <w:t xml:space="preserve">Table </w:t>
      </w:r>
      <w:r w:rsidR="00BA22E5">
        <w:rPr>
          <w:rFonts w:ascii="Arial" w:hAnsi="Arial" w:cs="Arial"/>
          <w:b/>
          <w:color w:val="000000" w:themeColor="text1"/>
          <w:sz w:val="24"/>
          <w:szCs w:val="24"/>
        </w:rPr>
        <w:t>S</w:t>
      </w:r>
      <w:r w:rsidRPr="009D78BE">
        <w:rPr>
          <w:rFonts w:ascii="Arial" w:hAnsi="Arial" w:cs="Arial"/>
          <w:b/>
          <w:color w:val="000000" w:themeColor="text1"/>
          <w:sz w:val="24"/>
          <w:szCs w:val="24"/>
        </w:rPr>
        <w:t xml:space="preserve">2. Evidence for </w:t>
      </w:r>
      <w:r w:rsidR="001C2122" w:rsidRPr="009D78BE">
        <w:rPr>
          <w:rFonts w:ascii="Arial" w:hAnsi="Arial" w:cs="Arial"/>
          <w:b/>
          <w:color w:val="000000" w:themeColor="text1"/>
          <w:sz w:val="24"/>
          <w:szCs w:val="24"/>
        </w:rPr>
        <w:t xml:space="preserve">Pacemaker Implantation </w:t>
      </w:r>
      <w:r w:rsidR="000B3A0C" w:rsidRPr="009D78BE">
        <w:rPr>
          <w:rFonts w:ascii="Arial" w:hAnsi="Arial" w:cs="Arial"/>
          <w:b/>
          <w:color w:val="000000" w:themeColor="text1"/>
          <w:sz w:val="24"/>
          <w:szCs w:val="24"/>
        </w:rPr>
        <w:t xml:space="preserve">in </w:t>
      </w:r>
      <w:r w:rsidR="001C2122" w:rsidRPr="009D78BE">
        <w:rPr>
          <w:rFonts w:ascii="Arial" w:hAnsi="Arial" w:cs="Arial"/>
          <w:b/>
          <w:color w:val="000000" w:themeColor="text1"/>
          <w:sz w:val="24"/>
          <w:szCs w:val="24"/>
        </w:rPr>
        <w:t>Patients With Specific Conditions</w:t>
      </w:r>
    </w:p>
    <w:tbl>
      <w:tblPr>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784"/>
        <w:gridCol w:w="1533"/>
        <w:gridCol w:w="1530"/>
        <w:gridCol w:w="1710"/>
        <w:gridCol w:w="2160"/>
        <w:gridCol w:w="2880"/>
      </w:tblGrid>
      <w:tr w:rsidR="009D78BE" w:rsidRPr="009D78BE" w14:paraId="0DA3552E" w14:textId="77777777" w:rsidTr="005A7328">
        <w:trPr>
          <w:trHeight w:val="576"/>
        </w:trPr>
        <w:tc>
          <w:tcPr>
            <w:tcW w:w="12325" w:type="dxa"/>
            <w:gridSpan w:val="7"/>
          </w:tcPr>
          <w:p w14:paraId="7EE3529D" w14:textId="70D239E0" w:rsidR="00195224" w:rsidRPr="00D40B19" w:rsidRDefault="00195224" w:rsidP="00D40B19">
            <w:pPr>
              <w:spacing w:line="240" w:lineRule="auto"/>
              <w:rPr>
                <w:rFonts w:ascii="Arial" w:hAnsi="Arial" w:cs="Arial"/>
                <w:b/>
                <w:color w:val="000000" w:themeColor="text1"/>
                <w:sz w:val="24"/>
                <w:szCs w:val="24"/>
              </w:rPr>
            </w:pPr>
            <w:r w:rsidRPr="00D40B19">
              <w:rPr>
                <w:rFonts w:ascii="Arial" w:hAnsi="Arial" w:cs="Arial"/>
                <w:b/>
                <w:color w:val="000000" w:themeColor="text1"/>
                <w:sz w:val="24"/>
                <w:szCs w:val="24"/>
              </w:rPr>
              <w:t xml:space="preserve">Isolated </w:t>
            </w:r>
            <w:r w:rsidR="001C2122" w:rsidRPr="009D78BE">
              <w:rPr>
                <w:rFonts w:ascii="Arial" w:hAnsi="Arial" w:cs="Arial"/>
                <w:b/>
                <w:color w:val="000000" w:themeColor="text1"/>
                <w:sz w:val="24"/>
                <w:szCs w:val="24"/>
              </w:rPr>
              <w:t>Sinus Node Dysfunction</w:t>
            </w:r>
          </w:p>
          <w:p w14:paraId="6067EAB0" w14:textId="275A3155" w:rsidR="00D85299" w:rsidRPr="00D40B19" w:rsidRDefault="00D85299" w:rsidP="00B05A29">
            <w:pPr>
              <w:spacing w:after="0" w:line="240" w:lineRule="auto"/>
              <w:rPr>
                <w:rFonts w:ascii="Arial" w:hAnsi="Arial" w:cs="Arial"/>
                <w:b/>
                <w:color w:val="000000" w:themeColor="text1"/>
                <w:sz w:val="24"/>
                <w:szCs w:val="24"/>
              </w:rPr>
            </w:pPr>
          </w:p>
        </w:tc>
      </w:tr>
      <w:tr w:rsidR="009D78BE" w:rsidRPr="009D78BE" w14:paraId="26C7484A" w14:textId="77777777" w:rsidTr="00D40B19">
        <w:trPr>
          <w:trHeight w:val="432"/>
        </w:trPr>
        <w:tc>
          <w:tcPr>
            <w:tcW w:w="1728" w:type="dxa"/>
          </w:tcPr>
          <w:p w14:paraId="163BD238" w14:textId="51EE3449" w:rsidR="00195224" w:rsidRPr="00D40B19" w:rsidRDefault="00195224" w:rsidP="00B05A29">
            <w:pPr>
              <w:spacing w:after="0" w:line="240" w:lineRule="auto"/>
              <w:contextualSpacing/>
              <w:rPr>
                <w:rFonts w:ascii="Arial" w:hAnsi="Arial" w:cs="Arial"/>
                <w:b/>
                <w:color w:val="000000" w:themeColor="text1"/>
              </w:rPr>
            </w:pPr>
            <w:r w:rsidRPr="00D40B19">
              <w:rPr>
                <w:rFonts w:ascii="Arial" w:hAnsi="Arial" w:cs="Arial"/>
                <w:b/>
                <w:color w:val="000000" w:themeColor="text1"/>
              </w:rPr>
              <w:t>Study author and reference</w:t>
            </w:r>
          </w:p>
        </w:tc>
        <w:tc>
          <w:tcPr>
            <w:tcW w:w="784" w:type="dxa"/>
          </w:tcPr>
          <w:p w14:paraId="0FFC6AD0" w14:textId="6C73DF60" w:rsidR="00195224" w:rsidRPr="00D40B19" w:rsidRDefault="00195224" w:rsidP="00B05A29">
            <w:pPr>
              <w:spacing w:after="0" w:line="240" w:lineRule="auto"/>
              <w:contextualSpacing/>
              <w:rPr>
                <w:rFonts w:ascii="Arial" w:hAnsi="Arial" w:cs="Arial"/>
                <w:b/>
                <w:color w:val="000000" w:themeColor="text1"/>
              </w:rPr>
            </w:pPr>
            <w:r w:rsidRPr="00D40B19">
              <w:rPr>
                <w:rFonts w:ascii="Arial" w:hAnsi="Arial" w:cs="Arial"/>
                <w:b/>
                <w:color w:val="000000" w:themeColor="text1"/>
              </w:rPr>
              <w:t>Year</w:t>
            </w:r>
          </w:p>
        </w:tc>
        <w:tc>
          <w:tcPr>
            <w:tcW w:w="1533" w:type="dxa"/>
          </w:tcPr>
          <w:p w14:paraId="619A7771" w14:textId="344D5EE3" w:rsidR="00195224" w:rsidRPr="00D40B19" w:rsidRDefault="00195224" w:rsidP="00B05A29">
            <w:pPr>
              <w:spacing w:after="0" w:line="240" w:lineRule="auto"/>
              <w:contextualSpacing/>
              <w:rPr>
                <w:rFonts w:ascii="Arial" w:hAnsi="Arial" w:cs="Arial"/>
                <w:b/>
                <w:color w:val="000000" w:themeColor="text1"/>
              </w:rPr>
            </w:pPr>
            <w:r w:rsidRPr="00D40B19">
              <w:rPr>
                <w:rFonts w:ascii="Arial" w:hAnsi="Arial" w:cs="Arial"/>
                <w:b/>
                <w:color w:val="000000" w:themeColor="text1"/>
              </w:rPr>
              <w:t>Study design</w:t>
            </w:r>
          </w:p>
        </w:tc>
        <w:tc>
          <w:tcPr>
            <w:tcW w:w="1530" w:type="dxa"/>
          </w:tcPr>
          <w:p w14:paraId="7DE507A2" w14:textId="173DEB6E" w:rsidR="00195224" w:rsidRPr="00D40B19" w:rsidRDefault="00195224" w:rsidP="00D40B19">
            <w:pPr>
              <w:spacing w:after="0" w:line="240" w:lineRule="auto"/>
              <w:rPr>
                <w:rFonts w:ascii="Arial" w:eastAsiaTheme="minorEastAsia" w:hAnsi="Arial" w:cs="Arial"/>
                <w:b/>
                <w:bCs/>
                <w:color w:val="000000" w:themeColor="text1"/>
              </w:rPr>
            </w:pPr>
            <w:r w:rsidRPr="00D40B19">
              <w:rPr>
                <w:rFonts w:ascii="Arial" w:eastAsiaTheme="minorEastAsia" w:hAnsi="Arial" w:cs="Arial"/>
                <w:b/>
                <w:bCs/>
                <w:color w:val="000000" w:themeColor="text1"/>
              </w:rPr>
              <w:t>Patient population</w:t>
            </w:r>
          </w:p>
        </w:tc>
        <w:tc>
          <w:tcPr>
            <w:tcW w:w="1710" w:type="dxa"/>
          </w:tcPr>
          <w:p w14:paraId="5662CD08" w14:textId="3D7DA0F2" w:rsidR="00195224" w:rsidRPr="00D40B19" w:rsidRDefault="00195224" w:rsidP="00D40B19">
            <w:pPr>
              <w:spacing w:after="0" w:line="240" w:lineRule="auto"/>
              <w:rPr>
                <w:rFonts w:ascii="Arial" w:hAnsi="Arial" w:cs="Arial"/>
                <w:b/>
                <w:color w:val="000000" w:themeColor="text1"/>
              </w:rPr>
            </w:pPr>
            <w:r w:rsidRPr="00D40B19">
              <w:rPr>
                <w:rFonts w:ascii="Arial" w:hAnsi="Arial" w:cs="Arial"/>
                <w:b/>
                <w:color w:val="000000" w:themeColor="text1"/>
              </w:rPr>
              <w:t>Inclusion criteria</w:t>
            </w:r>
          </w:p>
        </w:tc>
        <w:tc>
          <w:tcPr>
            <w:tcW w:w="2160" w:type="dxa"/>
          </w:tcPr>
          <w:p w14:paraId="27609D6D" w14:textId="1794306B" w:rsidR="00195224" w:rsidRPr="00D40B19" w:rsidRDefault="00195224" w:rsidP="00B05A29">
            <w:pPr>
              <w:spacing w:after="0" w:line="240" w:lineRule="auto"/>
              <w:contextualSpacing/>
              <w:rPr>
                <w:rFonts w:ascii="Arial" w:hAnsi="Arial" w:cs="Arial"/>
                <w:b/>
                <w:color w:val="000000" w:themeColor="text1"/>
              </w:rPr>
            </w:pPr>
            <w:r w:rsidRPr="00D40B19">
              <w:rPr>
                <w:rFonts w:ascii="Arial" w:hAnsi="Arial" w:cs="Arial"/>
                <w:b/>
                <w:color w:val="000000" w:themeColor="text1"/>
              </w:rPr>
              <w:t>Endpoints</w:t>
            </w:r>
          </w:p>
        </w:tc>
        <w:tc>
          <w:tcPr>
            <w:tcW w:w="2880" w:type="dxa"/>
          </w:tcPr>
          <w:p w14:paraId="40841931" w14:textId="7421C1AD" w:rsidR="00195224" w:rsidRPr="00D40B19" w:rsidRDefault="00195224" w:rsidP="00B05A29">
            <w:pPr>
              <w:spacing w:after="0" w:line="240" w:lineRule="auto"/>
              <w:rPr>
                <w:rFonts w:ascii="Arial" w:hAnsi="Arial" w:cs="Arial"/>
                <w:b/>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385844B9" w14:textId="77777777" w:rsidTr="00D40B19">
        <w:trPr>
          <w:trHeight w:val="432"/>
        </w:trPr>
        <w:tc>
          <w:tcPr>
            <w:tcW w:w="1728" w:type="dxa"/>
          </w:tcPr>
          <w:p w14:paraId="33709347" w14:textId="2A9B9CCD"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Albin</w:t>
            </w:r>
            <w:r w:rsidR="0058456A" w:rsidRPr="00D40B19">
              <w:rPr>
                <w:rFonts w:ascii="Arial" w:hAnsi="Arial" w:cs="Arial"/>
                <w:bCs/>
                <w:color w:val="000000" w:themeColor="text1"/>
                <w:sz w:val="20"/>
                <w:szCs w:val="20"/>
              </w:rPr>
              <w:t xml:space="preserve"> et al</w:t>
            </w:r>
            <w:r w:rsidRPr="00D40B19">
              <w:rPr>
                <w:rFonts w:ascii="Arial" w:hAnsi="Arial" w:cs="Arial"/>
                <w:bCs/>
                <w:color w:val="000000" w:themeColor="text1"/>
                <w:sz w:val="20"/>
                <w:szCs w:val="20"/>
                <w:vertAlign w:val="superscript"/>
              </w:rPr>
              <w:t>24</w:t>
            </w:r>
          </w:p>
        </w:tc>
        <w:tc>
          <w:tcPr>
            <w:tcW w:w="784" w:type="dxa"/>
          </w:tcPr>
          <w:p w14:paraId="00CED5F3" w14:textId="36C34237"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1985</w:t>
            </w:r>
          </w:p>
        </w:tc>
        <w:tc>
          <w:tcPr>
            <w:tcW w:w="1533" w:type="dxa"/>
          </w:tcPr>
          <w:p w14:paraId="19F285E0" w14:textId="2EDB2FC7"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Single</w:t>
            </w:r>
            <w:r w:rsidR="00851767" w:rsidRPr="00D40B19">
              <w:rPr>
                <w:rFonts w:ascii="Arial" w:hAnsi="Arial" w:cs="Arial"/>
                <w:bCs/>
                <w:color w:val="000000" w:themeColor="text1"/>
                <w:sz w:val="20"/>
                <w:szCs w:val="20"/>
              </w:rPr>
              <w:t>-</w:t>
            </w:r>
            <w:r w:rsidRPr="00D40B19">
              <w:rPr>
                <w:rFonts w:ascii="Arial" w:hAnsi="Arial" w:cs="Arial"/>
                <w:bCs/>
                <w:color w:val="000000" w:themeColor="text1"/>
                <w:sz w:val="20"/>
                <w:szCs w:val="20"/>
              </w:rPr>
              <w:t>center retrospective</w:t>
            </w:r>
            <w:r w:rsidR="00E6304A" w:rsidRPr="00D40B19">
              <w:rPr>
                <w:rFonts w:ascii="Arial" w:hAnsi="Arial" w:cs="Arial"/>
                <w:bCs/>
                <w:color w:val="000000" w:themeColor="text1"/>
                <w:sz w:val="20"/>
                <w:szCs w:val="20"/>
              </w:rPr>
              <w:t xml:space="preserve"> </w:t>
            </w:r>
            <w:r w:rsidR="00E6304A" w:rsidRPr="00D40B19">
              <w:rPr>
                <w:rFonts w:ascii="Arial" w:hAnsi="Arial" w:cs="Arial"/>
                <w:color w:val="000000" w:themeColor="text1"/>
                <w:sz w:val="20"/>
                <w:szCs w:val="20"/>
              </w:rPr>
              <w:t>study</w:t>
            </w:r>
          </w:p>
        </w:tc>
        <w:tc>
          <w:tcPr>
            <w:tcW w:w="1530" w:type="dxa"/>
          </w:tcPr>
          <w:p w14:paraId="08069781" w14:textId="03812894" w:rsidR="00195224" w:rsidRPr="00D40B19" w:rsidRDefault="00195224" w:rsidP="00D40B19">
            <w:pPr>
              <w:spacing w:line="240" w:lineRule="auto"/>
              <w:rPr>
                <w:rFonts w:ascii="Arial" w:eastAsiaTheme="minorEastAsia" w:hAnsi="Arial" w:cs="Arial"/>
                <w:b/>
                <w:bCs/>
                <w:color w:val="000000" w:themeColor="text1"/>
                <w:sz w:val="20"/>
                <w:szCs w:val="20"/>
              </w:rPr>
            </w:pPr>
            <w:r w:rsidRPr="00D40B19">
              <w:rPr>
                <w:rFonts w:ascii="Arial" w:hAnsi="Arial" w:cs="Arial"/>
                <w:bCs/>
                <w:color w:val="000000" w:themeColor="text1"/>
                <w:sz w:val="20"/>
                <w:szCs w:val="20"/>
              </w:rPr>
              <w:t>39</w:t>
            </w:r>
            <w:r w:rsidR="009451C0" w:rsidRPr="00D40B19">
              <w:rPr>
                <w:rFonts w:ascii="Arial" w:hAnsi="Arial" w:cs="Arial"/>
                <w:bCs/>
                <w:color w:val="000000" w:themeColor="text1"/>
                <w:sz w:val="20"/>
                <w:szCs w:val="20"/>
              </w:rPr>
              <w:t xml:space="preserve"> patients;</w:t>
            </w:r>
            <w:r w:rsidRPr="00D40B19">
              <w:rPr>
                <w:rFonts w:ascii="Arial" w:hAnsi="Arial" w:cs="Arial"/>
                <w:bCs/>
                <w:color w:val="000000" w:themeColor="text1"/>
                <w:sz w:val="20"/>
                <w:szCs w:val="20"/>
              </w:rPr>
              <w:t xml:space="preserve">   mean age 23 y</w:t>
            </w:r>
            <w:r w:rsidR="006E7031" w:rsidRPr="00D40B19">
              <w:rPr>
                <w:rFonts w:ascii="Arial" w:hAnsi="Arial" w:cs="Arial"/>
                <w:bCs/>
                <w:color w:val="000000" w:themeColor="text1"/>
                <w:sz w:val="20"/>
                <w:szCs w:val="20"/>
              </w:rPr>
              <w:t>ears</w:t>
            </w:r>
            <w:r w:rsidR="009451C0" w:rsidRPr="00D40B19">
              <w:rPr>
                <w:rFonts w:ascii="Arial" w:hAnsi="Arial" w:cs="Arial"/>
                <w:bCs/>
                <w:color w:val="000000" w:themeColor="text1"/>
                <w:sz w:val="20"/>
                <w:szCs w:val="20"/>
              </w:rPr>
              <w:t xml:space="preserve">; </w:t>
            </w:r>
            <w:r w:rsidRPr="00D40B19">
              <w:rPr>
                <w:rFonts w:ascii="Arial" w:hAnsi="Arial" w:cs="Arial"/>
                <w:bCs/>
                <w:color w:val="000000" w:themeColor="text1"/>
                <w:sz w:val="20"/>
                <w:szCs w:val="20"/>
              </w:rPr>
              <w:t>25</w:t>
            </w:r>
            <w:r w:rsidR="004B70C4" w:rsidRPr="00D40B19">
              <w:rPr>
                <w:rFonts w:ascii="Arial" w:hAnsi="Arial" w:cs="Arial"/>
                <w:bCs/>
                <w:color w:val="000000" w:themeColor="text1"/>
                <w:sz w:val="20"/>
                <w:szCs w:val="20"/>
              </w:rPr>
              <w:t xml:space="preserve"> with</w:t>
            </w:r>
            <w:r w:rsidRPr="00D40B19">
              <w:rPr>
                <w:rFonts w:ascii="Arial" w:hAnsi="Arial" w:cs="Arial"/>
                <w:bCs/>
                <w:color w:val="000000" w:themeColor="text1"/>
                <w:sz w:val="20"/>
                <w:szCs w:val="20"/>
              </w:rPr>
              <w:t xml:space="preserve"> CHD</w:t>
            </w:r>
          </w:p>
        </w:tc>
        <w:tc>
          <w:tcPr>
            <w:tcW w:w="1710" w:type="dxa"/>
          </w:tcPr>
          <w:p w14:paraId="7FEEE685" w14:textId="61CF02DD" w:rsidR="00195224" w:rsidRPr="00D40B19" w:rsidRDefault="00195224" w:rsidP="00D40B19">
            <w:pPr>
              <w:spacing w:after="0" w:line="240" w:lineRule="auto"/>
              <w:rPr>
                <w:rFonts w:ascii="Arial" w:hAnsi="Arial" w:cs="Arial"/>
                <w:b/>
                <w:color w:val="000000" w:themeColor="text1"/>
                <w:sz w:val="20"/>
                <w:szCs w:val="20"/>
              </w:rPr>
            </w:pPr>
            <w:r w:rsidRPr="00D40B19">
              <w:rPr>
                <w:rFonts w:ascii="Arial" w:hAnsi="Arial" w:cs="Arial"/>
                <w:bCs/>
                <w:color w:val="000000" w:themeColor="text1"/>
                <w:sz w:val="20"/>
                <w:szCs w:val="20"/>
              </w:rPr>
              <w:t>Sinus brady</w:t>
            </w:r>
            <w:r w:rsidR="00FE2F2A" w:rsidRPr="00D40B19">
              <w:rPr>
                <w:rFonts w:ascii="Arial" w:hAnsi="Arial" w:cs="Arial"/>
                <w:bCs/>
                <w:color w:val="000000" w:themeColor="text1"/>
                <w:sz w:val="20"/>
                <w:szCs w:val="20"/>
              </w:rPr>
              <w:t>cardia</w:t>
            </w:r>
            <w:r w:rsidRPr="00D40B19">
              <w:rPr>
                <w:rFonts w:ascii="Arial" w:hAnsi="Arial" w:cs="Arial"/>
                <w:bCs/>
                <w:color w:val="000000" w:themeColor="text1"/>
                <w:sz w:val="20"/>
                <w:szCs w:val="20"/>
              </w:rPr>
              <w:t xml:space="preserve"> or  brady-</w:t>
            </w:r>
            <w:proofErr w:type="spellStart"/>
            <w:r w:rsidRPr="00D40B19">
              <w:rPr>
                <w:rFonts w:ascii="Arial" w:hAnsi="Arial" w:cs="Arial"/>
                <w:bCs/>
                <w:color w:val="000000" w:themeColor="text1"/>
                <w:sz w:val="20"/>
                <w:szCs w:val="20"/>
              </w:rPr>
              <w:t>tachy</w:t>
            </w:r>
            <w:proofErr w:type="spellEnd"/>
            <w:r w:rsidRPr="00D40B19">
              <w:rPr>
                <w:rFonts w:ascii="Arial" w:hAnsi="Arial" w:cs="Arial"/>
                <w:bCs/>
                <w:color w:val="000000" w:themeColor="text1"/>
                <w:sz w:val="20"/>
                <w:szCs w:val="20"/>
              </w:rPr>
              <w:t xml:space="preserve"> syndrome</w:t>
            </w:r>
          </w:p>
        </w:tc>
        <w:tc>
          <w:tcPr>
            <w:tcW w:w="2160" w:type="dxa"/>
          </w:tcPr>
          <w:p w14:paraId="363D7903" w14:textId="532BFEB2" w:rsidR="00195224" w:rsidRPr="00D40B19" w:rsidRDefault="00195224" w:rsidP="00D40B19">
            <w:pPr>
              <w:spacing w:line="240" w:lineRule="auto"/>
              <w:rPr>
                <w:rFonts w:ascii="Arial" w:hAnsi="Arial" w:cs="Arial"/>
                <w:bCs/>
                <w:color w:val="000000" w:themeColor="text1"/>
                <w:sz w:val="20"/>
                <w:szCs w:val="20"/>
              </w:rPr>
            </w:pPr>
            <w:r w:rsidRPr="00D40B19">
              <w:rPr>
                <w:rFonts w:ascii="Arial" w:hAnsi="Arial" w:cs="Arial"/>
                <w:bCs/>
                <w:color w:val="000000" w:themeColor="text1"/>
                <w:sz w:val="20"/>
                <w:szCs w:val="20"/>
              </w:rPr>
              <w:t>Syncope/dizziness</w:t>
            </w:r>
            <w:r w:rsidR="00FE2F2A" w:rsidRPr="00D40B19">
              <w:rPr>
                <w:rFonts w:ascii="Arial" w:hAnsi="Arial" w:cs="Arial"/>
                <w:bCs/>
                <w:color w:val="000000" w:themeColor="text1"/>
                <w:sz w:val="20"/>
                <w:szCs w:val="20"/>
              </w:rPr>
              <w:t>; s</w:t>
            </w:r>
            <w:r w:rsidRPr="00D40B19">
              <w:rPr>
                <w:rFonts w:ascii="Arial" w:hAnsi="Arial" w:cs="Arial"/>
                <w:bCs/>
                <w:color w:val="000000" w:themeColor="text1"/>
                <w:sz w:val="20"/>
                <w:szCs w:val="20"/>
              </w:rPr>
              <w:t>urvival</w:t>
            </w:r>
          </w:p>
          <w:p w14:paraId="0B0E7CC9" w14:textId="77777777" w:rsidR="00195224" w:rsidRPr="00D40B19" w:rsidRDefault="00195224" w:rsidP="00B05A29">
            <w:pPr>
              <w:spacing w:after="0" w:line="240" w:lineRule="auto"/>
              <w:contextualSpacing/>
              <w:rPr>
                <w:rFonts w:ascii="Arial" w:hAnsi="Arial" w:cs="Arial"/>
                <w:b/>
                <w:color w:val="000000" w:themeColor="text1"/>
                <w:sz w:val="20"/>
                <w:szCs w:val="20"/>
              </w:rPr>
            </w:pPr>
          </w:p>
        </w:tc>
        <w:tc>
          <w:tcPr>
            <w:tcW w:w="2880" w:type="dxa"/>
          </w:tcPr>
          <w:p w14:paraId="0FD254BA" w14:textId="59D6D365" w:rsidR="00195224" w:rsidRPr="00D40B19" w:rsidRDefault="00195224" w:rsidP="00B05A29">
            <w:pPr>
              <w:spacing w:after="0" w:line="240" w:lineRule="auto"/>
              <w:rPr>
                <w:rFonts w:ascii="Arial" w:hAnsi="Arial" w:cs="Arial"/>
                <w:bCs/>
                <w:color w:val="000000" w:themeColor="text1"/>
                <w:sz w:val="20"/>
                <w:szCs w:val="20"/>
              </w:rPr>
            </w:pPr>
            <w:r w:rsidRPr="00D40B19">
              <w:rPr>
                <w:rFonts w:ascii="Arial" w:hAnsi="Arial" w:cs="Arial"/>
                <w:bCs/>
                <w:color w:val="000000" w:themeColor="text1"/>
                <w:sz w:val="20"/>
                <w:szCs w:val="20"/>
              </w:rPr>
              <w:t xml:space="preserve">Mean interval between CHD surgery and </w:t>
            </w:r>
            <w:r w:rsidR="00FC22DB" w:rsidRPr="00D40B19">
              <w:rPr>
                <w:rFonts w:ascii="Arial" w:hAnsi="Arial" w:cs="Arial"/>
                <w:bCs/>
                <w:color w:val="000000" w:themeColor="text1"/>
                <w:sz w:val="20"/>
                <w:szCs w:val="20"/>
              </w:rPr>
              <w:t xml:space="preserve">pacemaker </w:t>
            </w:r>
            <w:r w:rsidRPr="00D40B19">
              <w:rPr>
                <w:rFonts w:ascii="Arial" w:hAnsi="Arial" w:cs="Arial"/>
                <w:bCs/>
                <w:color w:val="000000" w:themeColor="text1"/>
                <w:sz w:val="20"/>
                <w:szCs w:val="20"/>
              </w:rPr>
              <w:t>implant 108 months; d-TGA most common. Symptoms resolved if no CHD</w:t>
            </w:r>
            <w:r w:rsidR="00FC22DB" w:rsidRPr="00D40B19">
              <w:rPr>
                <w:rFonts w:ascii="Arial" w:hAnsi="Arial" w:cs="Arial"/>
                <w:bCs/>
                <w:color w:val="000000" w:themeColor="text1"/>
                <w:sz w:val="20"/>
                <w:szCs w:val="20"/>
              </w:rPr>
              <w:t>.</w:t>
            </w:r>
            <w:r w:rsidRPr="00D40B19">
              <w:rPr>
                <w:rFonts w:ascii="Arial" w:hAnsi="Arial" w:cs="Arial"/>
                <w:bCs/>
                <w:color w:val="000000" w:themeColor="text1"/>
                <w:sz w:val="20"/>
                <w:szCs w:val="20"/>
              </w:rPr>
              <w:t xml:space="preserve"> </w:t>
            </w:r>
          </w:p>
          <w:p w14:paraId="45D5DBA6" w14:textId="1072667C" w:rsidR="00D44173" w:rsidRPr="00D40B19" w:rsidRDefault="00D44173" w:rsidP="00B05A29">
            <w:pPr>
              <w:spacing w:after="0" w:line="240" w:lineRule="auto"/>
              <w:rPr>
                <w:rFonts w:ascii="Arial" w:hAnsi="Arial" w:cs="Arial"/>
                <w:b/>
                <w:color w:val="000000" w:themeColor="text1"/>
                <w:sz w:val="20"/>
                <w:szCs w:val="20"/>
              </w:rPr>
            </w:pPr>
          </w:p>
        </w:tc>
      </w:tr>
      <w:tr w:rsidR="009D78BE" w:rsidRPr="009D78BE" w14:paraId="5704319F" w14:textId="77777777" w:rsidTr="00D40B19">
        <w:trPr>
          <w:trHeight w:val="432"/>
        </w:trPr>
        <w:tc>
          <w:tcPr>
            <w:tcW w:w="1728" w:type="dxa"/>
          </w:tcPr>
          <w:p w14:paraId="347934EF" w14:textId="2178B6A4"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Gillette</w:t>
            </w:r>
            <w:r w:rsidR="0058456A" w:rsidRPr="00D40B19">
              <w:rPr>
                <w:rFonts w:ascii="Arial" w:hAnsi="Arial" w:cs="Arial"/>
                <w:bCs/>
                <w:color w:val="000000" w:themeColor="text1"/>
                <w:sz w:val="20"/>
                <w:szCs w:val="20"/>
              </w:rPr>
              <w:t xml:space="preserve"> et al</w:t>
            </w:r>
            <w:r w:rsidRPr="00D40B19">
              <w:rPr>
                <w:rFonts w:ascii="Arial" w:hAnsi="Arial" w:cs="Arial"/>
                <w:bCs/>
                <w:color w:val="000000" w:themeColor="text1"/>
                <w:sz w:val="20"/>
                <w:szCs w:val="20"/>
                <w:vertAlign w:val="superscript"/>
              </w:rPr>
              <w:t>25</w:t>
            </w:r>
          </w:p>
        </w:tc>
        <w:tc>
          <w:tcPr>
            <w:tcW w:w="784" w:type="dxa"/>
          </w:tcPr>
          <w:p w14:paraId="28F07C9B" w14:textId="68AF9966"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1983</w:t>
            </w:r>
          </w:p>
        </w:tc>
        <w:tc>
          <w:tcPr>
            <w:tcW w:w="1533" w:type="dxa"/>
          </w:tcPr>
          <w:p w14:paraId="2CE92099" w14:textId="2F03691A"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Single</w:t>
            </w:r>
            <w:r w:rsidR="00851767" w:rsidRPr="00D40B19">
              <w:rPr>
                <w:rFonts w:ascii="Arial" w:hAnsi="Arial" w:cs="Arial"/>
                <w:bCs/>
                <w:color w:val="000000" w:themeColor="text1"/>
                <w:sz w:val="20"/>
                <w:szCs w:val="20"/>
              </w:rPr>
              <w:t>-</w:t>
            </w:r>
            <w:r w:rsidRPr="00D40B19">
              <w:rPr>
                <w:rFonts w:ascii="Arial" w:hAnsi="Arial" w:cs="Arial"/>
                <w:bCs/>
                <w:color w:val="000000" w:themeColor="text1"/>
                <w:sz w:val="20"/>
                <w:szCs w:val="20"/>
              </w:rPr>
              <w:t>center retrospective</w:t>
            </w:r>
            <w:r w:rsidR="00E6304A" w:rsidRPr="00D40B19">
              <w:rPr>
                <w:rFonts w:ascii="Arial" w:hAnsi="Arial" w:cs="Arial"/>
                <w:bCs/>
                <w:color w:val="000000" w:themeColor="text1"/>
                <w:sz w:val="20"/>
                <w:szCs w:val="20"/>
              </w:rPr>
              <w:t xml:space="preserve"> </w:t>
            </w:r>
            <w:r w:rsidR="00E6304A" w:rsidRPr="00D40B19">
              <w:rPr>
                <w:rFonts w:ascii="Arial" w:hAnsi="Arial" w:cs="Arial"/>
                <w:color w:val="000000" w:themeColor="text1"/>
                <w:sz w:val="20"/>
                <w:szCs w:val="20"/>
              </w:rPr>
              <w:t>study</w:t>
            </w:r>
          </w:p>
        </w:tc>
        <w:tc>
          <w:tcPr>
            <w:tcW w:w="1530" w:type="dxa"/>
          </w:tcPr>
          <w:p w14:paraId="069462B4" w14:textId="30E3D4C7" w:rsidR="00195224" w:rsidRPr="00D40B19" w:rsidRDefault="00195224" w:rsidP="00D40B19">
            <w:pPr>
              <w:spacing w:after="0" w:line="240" w:lineRule="auto"/>
              <w:rPr>
                <w:rFonts w:ascii="Arial" w:eastAsiaTheme="minorEastAsia" w:hAnsi="Arial" w:cs="Arial"/>
                <w:b/>
                <w:bCs/>
                <w:color w:val="000000" w:themeColor="text1"/>
                <w:sz w:val="20"/>
                <w:szCs w:val="20"/>
              </w:rPr>
            </w:pPr>
            <w:r w:rsidRPr="00D40B19">
              <w:rPr>
                <w:rFonts w:ascii="Arial" w:hAnsi="Arial" w:cs="Arial"/>
                <w:bCs/>
                <w:color w:val="000000" w:themeColor="text1"/>
                <w:sz w:val="20"/>
                <w:szCs w:val="20"/>
              </w:rPr>
              <w:t xml:space="preserve">51 </w:t>
            </w:r>
            <w:r w:rsidR="009451C0" w:rsidRPr="00D40B19">
              <w:rPr>
                <w:rFonts w:ascii="Arial" w:hAnsi="Arial" w:cs="Arial"/>
                <w:bCs/>
                <w:color w:val="000000" w:themeColor="text1"/>
                <w:sz w:val="20"/>
                <w:szCs w:val="20"/>
              </w:rPr>
              <w:t>patients;</w:t>
            </w:r>
            <w:r w:rsidRPr="00D40B19">
              <w:rPr>
                <w:rFonts w:ascii="Arial" w:hAnsi="Arial" w:cs="Arial"/>
                <w:bCs/>
                <w:color w:val="000000" w:themeColor="text1"/>
                <w:sz w:val="20"/>
                <w:szCs w:val="20"/>
              </w:rPr>
              <w:t xml:space="preserve"> mean age 10 y</w:t>
            </w:r>
            <w:r w:rsidR="006E7031" w:rsidRPr="00D40B19">
              <w:rPr>
                <w:rFonts w:ascii="Arial" w:hAnsi="Arial" w:cs="Arial"/>
                <w:bCs/>
                <w:color w:val="000000" w:themeColor="text1"/>
                <w:sz w:val="20"/>
                <w:szCs w:val="20"/>
              </w:rPr>
              <w:t>ears</w:t>
            </w:r>
            <w:r w:rsidRPr="00D40B19">
              <w:rPr>
                <w:rFonts w:ascii="Arial" w:hAnsi="Arial" w:cs="Arial"/>
                <w:bCs/>
                <w:color w:val="000000" w:themeColor="text1"/>
                <w:sz w:val="20"/>
                <w:szCs w:val="20"/>
              </w:rPr>
              <w:t>; A, V</w:t>
            </w:r>
            <w:r w:rsidR="009451C0" w:rsidRPr="00D40B19">
              <w:rPr>
                <w:rFonts w:ascii="Arial" w:hAnsi="Arial" w:cs="Arial"/>
                <w:bCs/>
                <w:color w:val="000000" w:themeColor="text1"/>
                <w:sz w:val="20"/>
                <w:szCs w:val="20"/>
              </w:rPr>
              <w:t>,</w:t>
            </w:r>
            <w:r w:rsidRPr="00D40B19">
              <w:rPr>
                <w:rFonts w:ascii="Arial" w:hAnsi="Arial" w:cs="Arial"/>
                <w:bCs/>
                <w:color w:val="000000" w:themeColor="text1"/>
                <w:sz w:val="20"/>
                <w:szCs w:val="20"/>
              </w:rPr>
              <w:t xml:space="preserve"> and DDD paced</w:t>
            </w:r>
          </w:p>
        </w:tc>
        <w:tc>
          <w:tcPr>
            <w:tcW w:w="1710" w:type="dxa"/>
          </w:tcPr>
          <w:p w14:paraId="059B540F" w14:textId="615D9C87" w:rsidR="00195224" w:rsidRPr="00D40B19" w:rsidRDefault="00195224" w:rsidP="00D40B19">
            <w:pPr>
              <w:spacing w:after="0" w:line="240" w:lineRule="auto"/>
              <w:rPr>
                <w:rFonts w:ascii="Arial" w:hAnsi="Arial" w:cs="Arial"/>
                <w:b/>
                <w:color w:val="000000" w:themeColor="text1"/>
                <w:sz w:val="20"/>
                <w:szCs w:val="20"/>
              </w:rPr>
            </w:pPr>
            <w:r w:rsidRPr="00D40B19">
              <w:rPr>
                <w:rFonts w:ascii="Arial" w:hAnsi="Arial" w:cs="Arial"/>
                <w:bCs/>
                <w:color w:val="000000" w:themeColor="text1"/>
                <w:sz w:val="20"/>
                <w:szCs w:val="20"/>
              </w:rPr>
              <w:t>Symptomatic sinus  bradycardia</w:t>
            </w:r>
          </w:p>
        </w:tc>
        <w:tc>
          <w:tcPr>
            <w:tcW w:w="2160" w:type="dxa"/>
          </w:tcPr>
          <w:p w14:paraId="32F46D8F" w14:textId="2F6690F7" w:rsidR="00195224" w:rsidRPr="00D40B19" w:rsidRDefault="00195224" w:rsidP="00D40B19">
            <w:pPr>
              <w:spacing w:line="240" w:lineRule="auto"/>
              <w:rPr>
                <w:rFonts w:ascii="Arial" w:hAnsi="Arial" w:cs="Arial"/>
                <w:b/>
                <w:color w:val="000000" w:themeColor="text1"/>
                <w:sz w:val="20"/>
                <w:szCs w:val="20"/>
              </w:rPr>
            </w:pPr>
            <w:r w:rsidRPr="00D40B19">
              <w:rPr>
                <w:rFonts w:ascii="Arial" w:hAnsi="Arial" w:cs="Arial"/>
                <w:bCs/>
                <w:color w:val="000000" w:themeColor="text1"/>
                <w:sz w:val="20"/>
                <w:szCs w:val="20"/>
              </w:rPr>
              <w:t>Resolution of symptoms;</w:t>
            </w:r>
            <w:r w:rsidR="00FE2F2A" w:rsidRPr="00D40B19">
              <w:rPr>
                <w:rFonts w:ascii="Arial" w:hAnsi="Arial" w:cs="Arial"/>
                <w:bCs/>
                <w:color w:val="000000" w:themeColor="text1"/>
                <w:sz w:val="20"/>
                <w:szCs w:val="20"/>
              </w:rPr>
              <w:t xml:space="preserve"> </w:t>
            </w:r>
            <w:r w:rsidRPr="00D40B19">
              <w:rPr>
                <w:rFonts w:ascii="Arial" w:hAnsi="Arial" w:cs="Arial"/>
                <w:bCs/>
                <w:color w:val="000000" w:themeColor="text1"/>
                <w:sz w:val="20"/>
                <w:szCs w:val="20"/>
              </w:rPr>
              <w:t>outcome</w:t>
            </w:r>
          </w:p>
        </w:tc>
        <w:tc>
          <w:tcPr>
            <w:tcW w:w="2880" w:type="dxa"/>
          </w:tcPr>
          <w:p w14:paraId="7F06A66A" w14:textId="5BB54367" w:rsidR="00195224" w:rsidRPr="00D40B19" w:rsidRDefault="00195224" w:rsidP="00B05A29">
            <w:pPr>
              <w:spacing w:after="0" w:line="240" w:lineRule="auto"/>
              <w:rPr>
                <w:rFonts w:ascii="Arial" w:hAnsi="Arial" w:cs="Arial"/>
                <w:bCs/>
                <w:color w:val="000000" w:themeColor="text1"/>
                <w:sz w:val="20"/>
                <w:szCs w:val="20"/>
              </w:rPr>
            </w:pPr>
            <w:r w:rsidRPr="00D40B19">
              <w:rPr>
                <w:rFonts w:ascii="Arial" w:hAnsi="Arial" w:cs="Arial"/>
                <w:bCs/>
                <w:color w:val="000000" w:themeColor="text1"/>
                <w:sz w:val="20"/>
                <w:szCs w:val="20"/>
              </w:rPr>
              <w:t>45/49 p</w:t>
            </w:r>
            <w:r w:rsidR="006E7031" w:rsidRPr="00D40B19">
              <w:rPr>
                <w:rFonts w:ascii="Arial" w:hAnsi="Arial" w:cs="Arial"/>
                <w:bCs/>
                <w:color w:val="000000" w:themeColor="text1"/>
                <w:sz w:val="20"/>
                <w:szCs w:val="20"/>
              </w:rPr>
              <w:t>atients</w:t>
            </w:r>
            <w:r w:rsidRPr="00D40B19">
              <w:rPr>
                <w:rFonts w:ascii="Arial" w:hAnsi="Arial" w:cs="Arial"/>
                <w:bCs/>
                <w:color w:val="000000" w:themeColor="text1"/>
                <w:sz w:val="20"/>
                <w:szCs w:val="20"/>
              </w:rPr>
              <w:t xml:space="preserve"> with symptoms improved/resolved; 11/18 with brady-</w:t>
            </w:r>
            <w:proofErr w:type="spellStart"/>
            <w:r w:rsidRPr="00D40B19">
              <w:rPr>
                <w:rFonts w:ascii="Arial" w:hAnsi="Arial" w:cs="Arial"/>
                <w:bCs/>
                <w:color w:val="000000" w:themeColor="text1"/>
                <w:sz w:val="20"/>
                <w:szCs w:val="20"/>
              </w:rPr>
              <w:t>tachy</w:t>
            </w:r>
            <w:proofErr w:type="spellEnd"/>
            <w:r w:rsidRPr="00D40B19">
              <w:rPr>
                <w:rFonts w:ascii="Arial" w:hAnsi="Arial" w:cs="Arial"/>
                <w:bCs/>
                <w:color w:val="000000" w:themeColor="text1"/>
                <w:sz w:val="20"/>
                <w:szCs w:val="20"/>
              </w:rPr>
              <w:t xml:space="preserve"> improved. 7/51 patients required revision in median </w:t>
            </w:r>
            <w:r w:rsidR="006E7031" w:rsidRPr="00D40B19">
              <w:rPr>
                <w:rFonts w:ascii="Arial" w:hAnsi="Arial" w:cs="Arial"/>
                <w:bCs/>
                <w:color w:val="000000" w:themeColor="text1"/>
                <w:sz w:val="20"/>
                <w:szCs w:val="20"/>
              </w:rPr>
              <w:t>follow-up</w:t>
            </w:r>
            <w:r w:rsidRPr="00D40B19">
              <w:rPr>
                <w:rFonts w:ascii="Arial" w:hAnsi="Arial" w:cs="Arial"/>
                <w:bCs/>
                <w:color w:val="000000" w:themeColor="text1"/>
                <w:sz w:val="20"/>
                <w:szCs w:val="20"/>
              </w:rPr>
              <w:t xml:space="preserve"> 26 mo</w:t>
            </w:r>
            <w:r w:rsidR="006E7031" w:rsidRPr="00D40B19">
              <w:rPr>
                <w:rFonts w:ascii="Arial" w:hAnsi="Arial" w:cs="Arial"/>
                <w:bCs/>
                <w:color w:val="000000" w:themeColor="text1"/>
                <w:sz w:val="20"/>
                <w:szCs w:val="20"/>
              </w:rPr>
              <w:t>nths</w:t>
            </w:r>
            <w:r w:rsidR="00FC22DB" w:rsidRPr="00D40B19">
              <w:rPr>
                <w:rFonts w:ascii="Arial" w:hAnsi="Arial" w:cs="Arial"/>
                <w:bCs/>
                <w:color w:val="000000" w:themeColor="text1"/>
                <w:sz w:val="20"/>
                <w:szCs w:val="20"/>
              </w:rPr>
              <w:t>.</w:t>
            </w:r>
          </w:p>
          <w:p w14:paraId="661BE3EF" w14:textId="0E341497" w:rsidR="00D44173" w:rsidRPr="00D40B19" w:rsidRDefault="00D44173" w:rsidP="00B05A29">
            <w:pPr>
              <w:spacing w:after="0" w:line="240" w:lineRule="auto"/>
              <w:rPr>
                <w:rFonts w:ascii="Arial" w:hAnsi="Arial" w:cs="Arial"/>
                <w:b/>
                <w:color w:val="000000" w:themeColor="text1"/>
                <w:sz w:val="20"/>
                <w:szCs w:val="20"/>
              </w:rPr>
            </w:pPr>
          </w:p>
        </w:tc>
      </w:tr>
      <w:tr w:rsidR="009D78BE" w:rsidRPr="009D78BE" w14:paraId="0C655596" w14:textId="77777777" w:rsidTr="00D40B19">
        <w:trPr>
          <w:trHeight w:val="432"/>
        </w:trPr>
        <w:tc>
          <w:tcPr>
            <w:tcW w:w="1728" w:type="dxa"/>
          </w:tcPr>
          <w:p w14:paraId="04A87F93" w14:textId="53E79B50"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Gillette</w:t>
            </w:r>
            <w:r w:rsidR="0058456A" w:rsidRPr="00D40B19">
              <w:rPr>
                <w:rFonts w:ascii="Arial" w:hAnsi="Arial" w:cs="Arial"/>
                <w:bCs/>
                <w:color w:val="000000" w:themeColor="text1"/>
                <w:sz w:val="20"/>
                <w:szCs w:val="20"/>
              </w:rPr>
              <w:t xml:space="preserve"> et al</w:t>
            </w:r>
            <w:r w:rsidRPr="00D40B19">
              <w:rPr>
                <w:rFonts w:ascii="Arial" w:hAnsi="Arial" w:cs="Arial"/>
                <w:bCs/>
                <w:color w:val="000000" w:themeColor="text1"/>
                <w:sz w:val="20"/>
                <w:szCs w:val="20"/>
                <w:vertAlign w:val="superscript"/>
              </w:rPr>
              <w:t>29</w:t>
            </w:r>
          </w:p>
        </w:tc>
        <w:tc>
          <w:tcPr>
            <w:tcW w:w="784" w:type="dxa"/>
          </w:tcPr>
          <w:p w14:paraId="4F32DEED" w14:textId="645CD9F9"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1985</w:t>
            </w:r>
          </w:p>
        </w:tc>
        <w:tc>
          <w:tcPr>
            <w:tcW w:w="1533" w:type="dxa"/>
          </w:tcPr>
          <w:p w14:paraId="6D9F1099" w14:textId="773E1E2E"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Single</w:t>
            </w:r>
            <w:r w:rsidR="00851767" w:rsidRPr="00D40B19">
              <w:rPr>
                <w:rFonts w:ascii="Arial" w:hAnsi="Arial" w:cs="Arial"/>
                <w:bCs/>
                <w:color w:val="000000" w:themeColor="text1"/>
                <w:sz w:val="20"/>
                <w:szCs w:val="20"/>
              </w:rPr>
              <w:t>-</w:t>
            </w:r>
            <w:r w:rsidRPr="00D40B19">
              <w:rPr>
                <w:rFonts w:ascii="Arial" w:hAnsi="Arial" w:cs="Arial"/>
                <w:bCs/>
                <w:color w:val="000000" w:themeColor="text1"/>
                <w:sz w:val="20"/>
                <w:szCs w:val="20"/>
              </w:rPr>
              <w:t>center retrospective</w:t>
            </w:r>
            <w:r w:rsidR="00E6304A" w:rsidRPr="00D40B19">
              <w:rPr>
                <w:rFonts w:ascii="Arial" w:hAnsi="Arial" w:cs="Arial"/>
                <w:bCs/>
                <w:color w:val="000000" w:themeColor="text1"/>
                <w:sz w:val="20"/>
                <w:szCs w:val="20"/>
              </w:rPr>
              <w:t xml:space="preserve"> </w:t>
            </w:r>
            <w:r w:rsidR="00E6304A" w:rsidRPr="00D40B19">
              <w:rPr>
                <w:rFonts w:ascii="Arial" w:hAnsi="Arial" w:cs="Arial"/>
                <w:color w:val="000000" w:themeColor="text1"/>
                <w:sz w:val="20"/>
                <w:szCs w:val="20"/>
              </w:rPr>
              <w:t>study</w:t>
            </w:r>
          </w:p>
        </w:tc>
        <w:tc>
          <w:tcPr>
            <w:tcW w:w="1530" w:type="dxa"/>
          </w:tcPr>
          <w:p w14:paraId="0A4CAA02" w14:textId="2518CDEA" w:rsidR="00195224" w:rsidRPr="00D40B19" w:rsidRDefault="00195224" w:rsidP="00D40B19">
            <w:pPr>
              <w:spacing w:after="0" w:line="240" w:lineRule="auto"/>
              <w:rPr>
                <w:rFonts w:ascii="Arial" w:eastAsiaTheme="minorEastAsia" w:hAnsi="Arial" w:cs="Arial"/>
                <w:b/>
                <w:bCs/>
                <w:color w:val="000000" w:themeColor="text1"/>
                <w:sz w:val="20"/>
                <w:szCs w:val="20"/>
              </w:rPr>
            </w:pPr>
            <w:r w:rsidRPr="00D40B19">
              <w:rPr>
                <w:rFonts w:ascii="Arial" w:hAnsi="Arial" w:cs="Arial"/>
                <w:bCs/>
                <w:color w:val="000000" w:themeColor="text1"/>
                <w:sz w:val="20"/>
                <w:szCs w:val="20"/>
              </w:rPr>
              <w:t>40</w:t>
            </w:r>
            <w:r w:rsidR="009451C0" w:rsidRPr="00D40B19">
              <w:rPr>
                <w:rFonts w:ascii="Arial" w:hAnsi="Arial" w:cs="Arial"/>
                <w:bCs/>
                <w:color w:val="000000" w:themeColor="text1"/>
                <w:sz w:val="20"/>
                <w:szCs w:val="20"/>
              </w:rPr>
              <w:t xml:space="preserve"> patients</w:t>
            </w:r>
            <w:r w:rsidRPr="00D40B19">
              <w:rPr>
                <w:rFonts w:ascii="Arial" w:hAnsi="Arial" w:cs="Arial"/>
                <w:bCs/>
                <w:color w:val="000000" w:themeColor="text1"/>
                <w:sz w:val="20"/>
                <w:szCs w:val="20"/>
              </w:rPr>
              <w:t>; mean age 11</w:t>
            </w:r>
            <w:r w:rsidR="006E7031" w:rsidRPr="00D40B19">
              <w:rPr>
                <w:rFonts w:ascii="Arial" w:hAnsi="Arial" w:cs="Arial"/>
                <w:bCs/>
                <w:color w:val="000000" w:themeColor="text1"/>
                <w:sz w:val="20"/>
                <w:szCs w:val="20"/>
              </w:rPr>
              <w:t xml:space="preserve"> </w:t>
            </w:r>
            <w:r w:rsidRPr="00D40B19">
              <w:rPr>
                <w:rFonts w:ascii="Arial" w:hAnsi="Arial" w:cs="Arial"/>
                <w:bCs/>
                <w:color w:val="000000" w:themeColor="text1"/>
                <w:sz w:val="20"/>
                <w:szCs w:val="20"/>
              </w:rPr>
              <w:t>y</w:t>
            </w:r>
            <w:r w:rsidR="006E7031" w:rsidRPr="00D40B19">
              <w:rPr>
                <w:rFonts w:ascii="Arial" w:hAnsi="Arial" w:cs="Arial"/>
                <w:bCs/>
                <w:color w:val="000000" w:themeColor="text1"/>
                <w:sz w:val="20"/>
                <w:szCs w:val="20"/>
              </w:rPr>
              <w:t>ears</w:t>
            </w:r>
          </w:p>
        </w:tc>
        <w:tc>
          <w:tcPr>
            <w:tcW w:w="1710" w:type="dxa"/>
          </w:tcPr>
          <w:p w14:paraId="3A22BBE9" w14:textId="7CF1D363" w:rsidR="00195224" w:rsidRPr="00D40B19" w:rsidRDefault="00195224" w:rsidP="00D40B19">
            <w:pPr>
              <w:spacing w:after="0" w:line="240" w:lineRule="auto"/>
              <w:rPr>
                <w:rFonts w:ascii="Arial" w:hAnsi="Arial" w:cs="Arial"/>
                <w:b/>
                <w:color w:val="000000" w:themeColor="text1"/>
                <w:sz w:val="20"/>
                <w:szCs w:val="20"/>
              </w:rPr>
            </w:pPr>
            <w:r w:rsidRPr="00D40B19">
              <w:rPr>
                <w:rFonts w:ascii="Arial" w:hAnsi="Arial" w:cs="Arial"/>
                <w:bCs/>
                <w:color w:val="000000" w:themeColor="text1"/>
                <w:sz w:val="20"/>
                <w:szCs w:val="20"/>
              </w:rPr>
              <w:t>Sinus bradycardia; all  AAI paced</w:t>
            </w:r>
          </w:p>
        </w:tc>
        <w:tc>
          <w:tcPr>
            <w:tcW w:w="2160" w:type="dxa"/>
          </w:tcPr>
          <w:p w14:paraId="618FA16D" w14:textId="64477FCA"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Resolution of symptoms; AV block; system revision</w:t>
            </w:r>
          </w:p>
        </w:tc>
        <w:tc>
          <w:tcPr>
            <w:tcW w:w="2880" w:type="dxa"/>
          </w:tcPr>
          <w:p w14:paraId="33AF10B9" w14:textId="50EB94FE" w:rsidR="00195224" w:rsidRPr="00D40B19" w:rsidRDefault="00195224" w:rsidP="00B05A29">
            <w:pPr>
              <w:spacing w:after="0" w:line="240" w:lineRule="auto"/>
              <w:rPr>
                <w:rFonts w:ascii="Arial" w:hAnsi="Arial" w:cs="Arial"/>
                <w:bCs/>
                <w:color w:val="000000" w:themeColor="text1"/>
                <w:sz w:val="20"/>
                <w:szCs w:val="20"/>
              </w:rPr>
            </w:pPr>
            <w:r w:rsidRPr="00D40B19">
              <w:rPr>
                <w:rFonts w:ascii="Arial" w:hAnsi="Arial" w:cs="Arial"/>
                <w:bCs/>
                <w:color w:val="000000" w:themeColor="text1"/>
                <w:sz w:val="20"/>
                <w:szCs w:val="20"/>
              </w:rPr>
              <w:t>3.5</w:t>
            </w:r>
            <w:r w:rsidR="00FC22DB" w:rsidRPr="00D40B19">
              <w:rPr>
                <w:rFonts w:ascii="Arial" w:hAnsi="Arial" w:cs="Arial"/>
                <w:bCs/>
                <w:color w:val="000000" w:themeColor="text1"/>
                <w:sz w:val="20"/>
                <w:szCs w:val="20"/>
              </w:rPr>
              <w:t>-year follow-up</w:t>
            </w:r>
            <w:r w:rsidRPr="00D40B19">
              <w:rPr>
                <w:rFonts w:ascii="Arial" w:hAnsi="Arial" w:cs="Arial"/>
                <w:bCs/>
                <w:color w:val="000000" w:themeColor="text1"/>
                <w:sz w:val="20"/>
                <w:szCs w:val="20"/>
              </w:rPr>
              <w:t>; no p</w:t>
            </w:r>
            <w:r w:rsidR="00FC22DB" w:rsidRPr="00D40B19">
              <w:rPr>
                <w:rFonts w:ascii="Arial" w:hAnsi="Arial" w:cs="Arial"/>
                <w:bCs/>
                <w:color w:val="000000" w:themeColor="text1"/>
                <w:sz w:val="20"/>
                <w:szCs w:val="20"/>
              </w:rPr>
              <w:t>a</w:t>
            </w:r>
            <w:r w:rsidRPr="00D40B19">
              <w:rPr>
                <w:rFonts w:ascii="Arial" w:hAnsi="Arial" w:cs="Arial"/>
                <w:bCs/>
                <w:color w:val="000000" w:themeColor="text1"/>
                <w:sz w:val="20"/>
                <w:szCs w:val="20"/>
              </w:rPr>
              <w:t>t</w:t>
            </w:r>
            <w:r w:rsidR="00FC22DB" w:rsidRPr="00D40B19">
              <w:rPr>
                <w:rFonts w:ascii="Arial" w:hAnsi="Arial" w:cs="Arial"/>
                <w:bCs/>
                <w:color w:val="000000" w:themeColor="text1"/>
                <w:sz w:val="20"/>
                <w:szCs w:val="20"/>
              </w:rPr>
              <w:t>ient</w:t>
            </w:r>
            <w:r w:rsidRPr="00D40B19">
              <w:rPr>
                <w:rFonts w:ascii="Arial" w:hAnsi="Arial" w:cs="Arial"/>
                <w:bCs/>
                <w:color w:val="000000" w:themeColor="text1"/>
                <w:sz w:val="20"/>
                <w:szCs w:val="20"/>
              </w:rPr>
              <w:t xml:space="preserve"> developed AV block; 6 </w:t>
            </w:r>
            <w:r w:rsidR="00D40B19">
              <w:rPr>
                <w:rFonts w:ascii="Arial" w:hAnsi="Arial" w:cs="Arial"/>
                <w:bCs/>
                <w:color w:val="000000" w:themeColor="text1"/>
                <w:sz w:val="20"/>
                <w:szCs w:val="20"/>
              </w:rPr>
              <w:t xml:space="preserve"> improved with </w:t>
            </w:r>
            <w:r w:rsidRPr="00D40B19">
              <w:rPr>
                <w:rFonts w:ascii="Arial" w:hAnsi="Arial" w:cs="Arial"/>
                <w:bCs/>
                <w:color w:val="000000" w:themeColor="text1"/>
                <w:sz w:val="20"/>
                <w:szCs w:val="20"/>
              </w:rPr>
              <w:t>A</w:t>
            </w:r>
            <w:r w:rsidR="00D40B19">
              <w:rPr>
                <w:rFonts w:ascii="Arial" w:hAnsi="Arial" w:cs="Arial"/>
                <w:bCs/>
                <w:color w:val="000000" w:themeColor="text1"/>
                <w:sz w:val="20"/>
                <w:szCs w:val="20"/>
              </w:rPr>
              <w:t>nti-tachycardia</w:t>
            </w:r>
            <w:r w:rsidRPr="00D40B19">
              <w:rPr>
                <w:rFonts w:ascii="Arial" w:hAnsi="Arial" w:cs="Arial"/>
                <w:bCs/>
                <w:color w:val="000000" w:themeColor="text1"/>
                <w:sz w:val="20"/>
                <w:szCs w:val="20"/>
              </w:rPr>
              <w:t xml:space="preserve"> pac</w:t>
            </w:r>
            <w:r w:rsidR="00D40B19">
              <w:rPr>
                <w:rFonts w:ascii="Arial" w:hAnsi="Arial" w:cs="Arial"/>
                <w:bCs/>
                <w:color w:val="000000" w:themeColor="text1"/>
                <w:sz w:val="20"/>
                <w:szCs w:val="20"/>
              </w:rPr>
              <w:t>ing (ATP)</w:t>
            </w:r>
            <w:r w:rsidRPr="00D40B19">
              <w:rPr>
                <w:rFonts w:ascii="Arial" w:hAnsi="Arial" w:cs="Arial"/>
                <w:bCs/>
                <w:color w:val="000000" w:themeColor="text1"/>
                <w:sz w:val="20"/>
                <w:szCs w:val="20"/>
              </w:rPr>
              <w:t xml:space="preserve">; 28/29 </w:t>
            </w:r>
            <w:r w:rsidR="00D40B19">
              <w:rPr>
                <w:rFonts w:ascii="Arial" w:hAnsi="Arial" w:cs="Arial"/>
                <w:bCs/>
                <w:color w:val="000000" w:themeColor="text1"/>
                <w:sz w:val="20"/>
                <w:szCs w:val="20"/>
              </w:rPr>
              <w:t xml:space="preserve">improved </w:t>
            </w:r>
            <w:r w:rsidRPr="00D40B19">
              <w:rPr>
                <w:rFonts w:ascii="Arial" w:hAnsi="Arial" w:cs="Arial"/>
                <w:bCs/>
                <w:color w:val="000000" w:themeColor="text1"/>
                <w:sz w:val="20"/>
                <w:szCs w:val="20"/>
              </w:rPr>
              <w:t xml:space="preserve">with </w:t>
            </w:r>
            <w:r w:rsidR="00D40B19">
              <w:rPr>
                <w:rFonts w:ascii="Arial" w:hAnsi="Arial" w:cs="Arial"/>
                <w:bCs/>
                <w:color w:val="000000" w:themeColor="text1"/>
                <w:sz w:val="20"/>
                <w:szCs w:val="20"/>
              </w:rPr>
              <w:t xml:space="preserve">Anti </w:t>
            </w:r>
            <w:r w:rsidRPr="00D40B19">
              <w:rPr>
                <w:rFonts w:ascii="Arial" w:hAnsi="Arial" w:cs="Arial"/>
                <w:bCs/>
                <w:color w:val="000000" w:themeColor="text1"/>
                <w:sz w:val="20"/>
                <w:szCs w:val="20"/>
              </w:rPr>
              <w:t>brady</w:t>
            </w:r>
            <w:r w:rsidR="00D40B19">
              <w:rPr>
                <w:rFonts w:ascii="Arial" w:hAnsi="Arial" w:cs="Arial"/>
                <w:bCs/>
                <w:color w:val="000000" w:themeColor="text1"/>
                <w:sz w:val="20"/>
                <w:szCs w:val="20"/>
              </w:rPr>
              <w:t>cardia pacing</w:t>
            </w:r>
            <w:r w:rsidRPr="00D40B19">
              <w:rPr>
                <w:rFonts w:ascii="Arial" w:hAnsi="Arial" w:cs="Arial"/>
                <w:bCs/>
                <w:color w:val="000000" w:themeColor="text1"/>
                <w:sz w:val="20"/>
                <w:szCs w:val="20"/>
              </w:rPr>
              <w:t xml:space="preserve"> </w:t>
            </w:r>
            <w:r w:rsidR="00D40B19">
              <w:rPr>
                <w:rFonts w:ascii="Arial" w:hAnsi="Arial" w:cs="Arial"/>
                <w:bCs/>
                <w:color w:val="000000" w:themeColor="text1"/>
                <w:sz w:val="20"/>
                <w:szCs w:val="20"/>
              </w:rPr>
              <w:t>alone.</w:t>
            </w:r>
          </w:p>
          <w:p w14:paraId="5E30ACE2" w14:textId="720E8FC9" w:rsidR="00D44173" w:rsidRPr="00D40B19" w:rsidRDefault="00D44173" w:rsidP="00B05A29">
            <w:pPr>
              <w:spacing w:after="0" w:line="240" w:lineRule="auto"/>
              <w:rPr>
                <w:rFonts w:ascii="Arial" w:hAnsi="Arial" w:cs="Arial"/>
                <w:b/>
                <w:color w:val="000000" w:themeColor="text1"/>
                <w:sz w:val="20"/>
                <w:szCs w:val="20"/>
              </w:rPr>
            </w:pPr>
          </w:p>
        </w:tc>
      </w:tr>
      <w:tr w:rsidR="009D78BE" w:rsidRPr="009D78BE" w14:paraId="259CDAB0" w14:textId="77777777" w:rsidTr="00D40B19">
        <w:trPr>
          <w:trHeight w:val="432"/>
        </w:trPr>
        <w:tc>
          <w:tcPr>
            <w:tcW w:w="1728" w:type="dxa"/>
          </w:tcPr>
          <w:p w14:paraId="37D5ED32" w14:textId="4599AC13" w:rsidR="00195224" w:rsidRPr="00D40B19" w:rsidRDefault="00195224" w:rsidP="00B05A29">
            <w:pPr>
              <w:spacing w:after="0" w:line="240" w:lineRule="auto"/>
              <w:contextualSpacing/>
              <w:rPr>
                <w:rFonts w:ascii="Arial" w:hAnsi="Arial" w:cs="Arial"/>
                <w:b/>
                <w:color w:val="000000" w:themeColor="text1"/>
                <w:sz w:val="20"/>
                <w:szCs w:val="20"/>
              </w:rPr>
            </w:pPr>
            <w:proofErr w:type="spellStart"/>
            <w:r w:rsidRPr="00D40B19">
              <w:rPr>
                <w:rFonts w:ascii="Arial" w:hAnsi="Arial" w:cs="Arial"/>
                <w:bCs/>
                <w:color w:val="000000" w:themeColor="text1"/>
                <w:sz w:val="20"/>
                <w:szCs w:val="20"/>
              </w:rPr>
              <w:t>Kardelen</w:t>
            </w:r>
            <w:proofErr w:type="spellEnd"/>
            <w:r w:rsidR="0058456A" w:rsidRPr="00D40B19">
              <w:rPr>
                <w:rFonts w:ascii="Arial" w:hAnsi="Arial" w:cs="Arial"/>
                <w:bCs/>
                <w:color w:val="000000" w:themeColor="text1"/>
                <w:sz w:val="20"/>
                <w:szCs w:val="20"/>
              </w:rPr>
              <w:t xml:space="preserve"> et al</w:t>
            </w:r>
            <w:r w:rsidRPr="00D40B19">
              <w:rPr>
                <w:rFonts w:ascii="Arial" w:hAnsi="Arial" w:cs="Arial"/>
                <w:bCs/>
                <w:color w:val="000000" w:themeColor="text1"/>
                <w:sz w:val="20"/>
                <w:szCs w:val="20"/>
                <w:vertAlign w:val="superscript"/>
              </w:rPr>
              <w:t>28</w:t>
            </w:r>
          </w:p>
        </w:tc>
        <w:tc>
          <w:tcPr>
            <w:tcW w:w="784" w:type="dxa"/>
          </w:tcPr>
          <w:p w14:paraId="24F96F95" w14:textId="7C762139"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2002</w:t>
            </w:r>
          </w:p>
        </w:tc>
        <w:tc>
          <w:tcPr>
            <w:tcW w:w="1533" w:type="dxa"/>
          </w:tcPr>
          <w:p w14:paraId="103A7E80" w14:textId="336B1DE2" w:rsidR="00195224" w:rsidRPr="00D40B19" w:rsidRDefault="00195224" w:rsidP="00B05A29">
            <w:pPr>
              <w:spacing w:after="0" w:line="240" w:lineRule="auto"/>
              <w:contextualSpacing/>
              <w:rPr>
                <w:rFonts w:ascii="Arial" w:hAnsi="Arial" w:cs="Arial"/>
                <w:b/>
                <w:color w:val="000000" w:themeColor="text1"/>
                <w:sz w:val="20"/>
                <w:szCs w:val="20"/>
              </w:rPr>
            </w:pPr>
            <w:r w:rsidRPr="00D40B19">
              <w:rPr>
                <w:rFonts w:ascii="Arial" w:hAnsi="Arial" w:cs="Arial"/>
                <w:bCs/>
                <w:color w:val="000000" w:themeColor="text1"/>
                <w:sz w:val="20"/>
                <w:szCs w:val="20"/>
              </w:rPr>
              <w:t>Single</w:t>
            </w:r>
            <w:r w:rsidR="00851767" w:rsidRPr="00D40B19">
              <w:rPr>
                <w:rFonts w:ascii="Arial" w:hAnsi="Arial" w:cs="Arial"/>
                <w:bCs/>
                <w:color w:val="000000" w:themeColor="text1"/>
                <w:sz w:val="20"/>
                <w:szCs w:val="20"/>
              </w:rPr>
              <w:t>-</w:t>
            </w:r>
            <w:r w:rsidRPr="00D40B19">
              <w:rPr>
                <w:rFonts w:ascii="Arial" w:hAnsi="Arial" w:cs="Arial"/>
                <w:bCs/>
                <w:color w:val="000000" w:themeColor="text1"/>
                <w:sz w:val="20"/>
                <w:szCs w:val="20"/>
              </w:rPr>
              <w:t>center retrospective</w:t>
            </w:r>
            <w:r w:rsidR="00E6304A" w:rsidRPr="00D40B19">
              <w:rPr>
                <w:rFonts w:ascii="Arial" w:hAnsi="Arial" w:cs="Arial"/>
                <w:bCs/>
                <w:color w:val="000000" w:themeColor="text1"/>
                <w:sz w:val="20"/>
                <w:szCs w:val="20"/>
              </w:rPr>
              <w:t xml:space="preserve"> </w:t>
            </w:r>
            <w:r w:rsidR="00E6304A" w:rsidRPr="00D40B19">
              <w:rPr>
                <w:rFonts w:ascii="Arial" w:hAnsi="Arial" w:cs="Arial"/>
                <w:color w:val="000000" w:themeColor="text1"/>
                <w:sz w:val="20"/>
                <w:szCs w:val="20"/>
              </w:rPr>
              <w:t>study</w:t>
            </w:r>
          </w:p>
        </w:tc>
        <w:tc>
          <w:tcPr>
            <w:tcW w:w="1530" w:type="dxa"/>
          </w:tcPr>
          <w:p w14:paraId="2F13A009" w14:textId="78BFAB43" w:rsidR="00195224" w:rsidRPr="00D40B19" w:rsidRDefault="00195224" w:rsidP="00D40B19">
            <w:pPr>
              <w:spacing w:after="0" w:line="240" w:lineRule="auto"/>
              <w:rPr>
                <w:rFonts w:ascii="Arial" w:eastAsiaTheme="minorEastAsia" w:hAnsi="Arial" w:cs="Arial"/>
                <w:b/>
                <w:bCs/>
                <w:color w:val="000000" w:themeColor="text1"/>
                <w:sz w:val="20"/>
                <w:szCs w:val="20"/>
              </w:rPr>
            </w:pPr>
            <w:r w:rsidRPr="00D40B19">
              <w:rPr>
                <w:rFonts w:ascii="Arial" w:hAnsi="Arial" w:cs="Arial"/>
                <w:bCs/>
                <w:color w:val="000000" w:themeColor="text1"/>
                <w:sz w:val="20"/>
                <w:szCs w:val="20"/>
              </w:rPr>
              <w:t>26</w:t>
            </w:r>
            <w:r w:rsidR="009451C0" w:rsidRPr="00D40B19">
              <w:rPr>
                <w:rFonts w:ascii="Arial" w:hAnsi="Arial" w:cs="Arial"/>
                <w:bCs/>
                <w:color w:val="000000" w:themeColor="text1"/>
                <w:sz w:val="20"/>
                <w:szCs w:val="20"/>
              </w:rPr>
              <w:t xml:space="preserve"> patients</w:t>
            </w:r>
            <w:r w:rsidRPr="00D40B19">
              <w:rPr>
                <w:rFonts w:ascii="Arial" w:hAnsi="Arial" w:cs="Arial"/>
                <w:bCs/>
                <w:color w:val="000000" w:themeColor="text1"/>
                <w:sz w:val="20"/>
                <w:szCs w:val="20"/>
              </w:rPr>
              <w:t xml:space="preserve">; median age at </w:t>
            </w:r>
            <w:r w:rsidR="009451C0" w:rsidRPr="00D40B19">
              <w:rPr>
                <w:rFonts w:ascii="Arial" w:hAnsi="Arial" w:cs="Arial"/>
                <w:bCs/>
                <w:color w:val="000000" w:themeColor="text1"/>
                <w:sz w:val="20"/>
                <w:szCs w:val="20"/>
              </w:rPr>
              <w:t>pacemaker implantation</w:t>
            </w:r>
            <w:r w:rsidR="00D40B19">
              <w:rPr>
                <w:rFonts w:ascii="Arial" w:hAnsi="Arial" w:cs="Arial"/>
                <w:bCs/>
                <w:color w:val="000000" w:themeColor="text1"/>
                <w:sz w:val="20"/>
                <w:szCs w:val="20"/>
              </w:rPr>
              <w:t>:</w:t>
            </w:r>
            <w:r w:rsidR="009451C0" w:rsidRPr="00D40B19">
              <w:rPr>
                <w:rFonts w:ascii="Arial" w:hAnsi="Arial" w:cs="Arial"/>
                <w:bCs/>
                <w:color w:val="000000" w:themeColor="text1"/>
                <w:sz w:val="20"/>
                <w:szCs w:val="20"/>
              </w:rPr>
              <w:t xml:space="preserve"> </w:t>
            </w:r>
            <w:r w:rsidRPr="00D40B19">
              <w:rPr>
                <w:rFonts w:ascii="Arial" w:hAnsi="Arial" w:cs="Arial"/>
                <w:bCs/>
                <w:color w:val="000000" w:themeColor="text1"/>
                <w:sz w:val="20"/>
                <w:szCs w:val="20"/>
              </w:rPr>
              <w:t>9</w:t>
            </w:r>
            <w:r w:rsidR="006E7031" w:rsidRPr="00D40B19">
              <w:rPr>
                <w:rFonts w:ascii="Arial" w:hAnsi="Arial" w:cs="Arial"/>
                <w:bCs/>
                <w:color w:val="000000" w:themeColor="text1"/>
                <w:sz w:val="20"/>
                <w:szCs w:val="20"/>
              </w:rPr>
              <w:t xml:space="preserve"> </w:t>
            </w:r>
            <w:r w:rsidRPr="00D40B19">
              <w:rPr>
                <w:rFonts w:ascii="Arial" w:hAnsi="Arial" w:cs="Arial"/>
                <w:bCs/>
                <w:color w:val="000000" w:themeColor="text1"/>
                <w:sz w:val="20"/>
                <w:szCs w:val="20"/>
              </w:rPr>
              <w:t>y</w:t>
            </w:r>
            <w:r w:rsidR="006E7031" w:rsidRPr="00D40B19">
              <w:rPr>
                <w:rFonts w:ascii="Arial" w:hAnsi="Arial" w:cs="Arial"/>
                <w:bCs/>
                <w:color w:val="000000" w:themeColor="text1"/>
                <w:sz w:val="20"/>
                <w:szCs w:val="20"/>
              </w:rPr>
              <w:t>ears</w:t>
            </w:r>
          </w:p>
        </w:tc>
        <w:tc>
          <w:tcPr>
            <w:tcW w:w="1710" w:type="dxa"/>
          </w:tcPr>
          <w:p w14:paraId="1EEF4134" w14:textId="1C5117B1" w:rsidR="00195224" w:rsidRPr="00D40B19" w:rsidRDefault="00195224" w:rsidP="00D40B19">
            <w:pPr>
              <w:spacing w:after="0" w:line="240" w:lineRule="auto"/>
              <w:rPr>
                <w:rFonts w:ascii="Arial" w:hAnsi="Arial" w:cs="Arial"/>
                <w:b/>
                <w:color w:val="000000" w:themeColor="text1"/>
                <w:sz w:val="20"/>
                <w:szCs w:val="20"/>
              </w:rPr>
            </w:pPr>
            <w:r w:rsidRPr="00D40B19">
              <w:rPr>
                <w:rFonts w:ascii="Arial" w:hAnsi="Arial" w:cs="Arial"/>
                <w:bCs/>
                <w:color w:val="000000" w:themeColor="text1"/>
                <w:sz w:val="20"/>
                <w:szCs w:val="20"/>
              </w:rPr>
              <w:t>≤21</w:t>
            </w:r>
            <w:r w:rsidR="006E7031" w:rsidRPr="00D40B19">
              <w:rPr>
                <w:rFonts w:ascii="Arial" w:hAnsi="Arial" w:cs="Arial"/>
                <w:bCs/>
                <w:color w:val="000000" w:themeColor="text1"/>
                <w:sz w:val="20"/>
                <w:szCs w:val="20"/>
              </w:rPr>
              <w:t xml:space="preserve"> years old</w:t>
            </w:r>
            <w:r w:rsidRPr="00D40B19">
              <w:rPr>
                <w:rFonts w:ascii="Arial" w:hAnsi="Arial" w:cs="Arial"/>
                <w:bCs/>
                <w:color w:val="000000" w:themeColor="text1"/>
                <w:sz w:val="20"/>
                <w:szCs w:val="20"/>
              </w:rPr>
              <w:t>; symptomatic SND</w:t>
            </w:r>
          </w:p>
        </w:tc>
        <w:tc>
          <w:tcPr>
            <w:tcW w:w="2160" w:type="dxa"/>
          </w:tcPr>
          <w:p w14:paraId="4A74F35B" w14:textId="2E32F42C" w:rsidR="00195224" w:rsidRPr="00D40B19" w:rsidRDefault="00195224" w:rsidP="00D40B19">
            <w:pPr>
              <w:spacing w:line="240" w:lineRule="auto"/>
              <w:rPr>
                <w:rFonts w:ascii="Arial" w:hAnsi="Arial" w:cs="Arial"/>
                <w:bCs/>
                <w:color w:val="000000" w:themeColor="text1"/>
                <w:sz w:val="20"/>
                <w:szCs w:val="20"/>
              </w:rPr>
            </w:pPr>
            <w:r w:rsidRPr="00D40B19">
              <w:rPr>
                <w:rFonts w:ascii="Arial" w:hAnsi="Arial" w:cs="Arial"/>
                <w:bCs/>
                <w:color w:val="000000" w:themeColor="text1"/>
                <w:sz w:val="20"/>
                <w:szCs w:val="20"/>
              </w:rPr>
              <w:t>Syncope/dizziness</w:t>
            </w:r>
            <w:r w:rsidR="00FE2F2A" w:rsidRPr="00D40B19">
              <w:rPr>
                <w:rFonts w:ascii="Arial" w:hAnsi="Arial" w:cs="Arial"/>
                <w:bCs/>
                <w:color w:val="000000" w:themeColor="text1"/>
                <w:sz w:val="20"/>
                <w:szCs w:val="20"/>
              </w:rPr>
              <w:t>; s</w:t>
            </w:r>
            <w:r w:rsidRPr="00D40B19">
              <w:rPr>
                <w:rFonts w:ascii="Arial" w:hAnsi="Arial" w:cs="Arial"/>
                <w:bCs/>
                <w:color w:val="000000" w:themeColor="text1"/>
                <w:sz w:val="20"/>
                <w:szCs w:val="20"/>
              </w:rPr>
              <w:t>urvival</w:t>
            </w:r>
          </w:p>
          <w:p w14:paraId="5BA529C0" w14:textId="77777777" w:rsidR="00195224" w:rsidRPr="00D40B19" w:rsidRDefault="00195224" w:rsidP="00B05A29">
            <w:pPr>
              <w:spacing w:after="0" w:line="240" w:lineRule="auto"/>
              <w:contextualSpacing/>
              <w:rPr>
                <w:rFonts w:ascii="Arial" w:hAnsi="Arial" w:cs="Arial"/>
                <w:b/>
                <w:color w:val="000000" w:themeColor="text1"/>
                <w:sz w:val="20"/>
                <w:szCs w:val="20"/>
              </w:rPr>
            </w:pPr>
          </w:p>
        </w:tc>
        <w:tc>
          <w:tcPr>
            <w:tcW w:w="2880" w:type="dxa"/>
          </w:tcPr>
          <w:p w14:paraId="6A3F9DFD" w14:textId="22F99BF1" w:rsidR="00195224" w:rsidRPr="00D40B19" w:rsidRDefault="00195224" w:rsidP="00B05A29">
            <w:pPr>
              <w:spacing w:after="0" w:line="240" w:lineRule="auto"/>
              <w:rPr>
                <w:rFonts w:ascii="Arial" w:hAnsi="Arial" w:cs="Arial"/>
                <w:b/>
                <w:color w:val="000000" w:themeColor="text1"/>
                <w:sz w:val="20"/>
                <w:szCs w:val="20"/>
              </w:rPr>
            </w:pPr>
            <w:r w:rsidRPr="00D40B19">
              <w:rPr>
                <w:rFonts w:ascii="Arial" w:hAnsi="Arial" w:cs="Arial"/>
                <w:bCs/>
                <w:color w:val="000000" w:themeColor="text1"/>
                <w:sz w:val="20"/>
                <w:szCs w:val="20"/>
              </w:rPr>
              <w:t>All patients symptoms improved. Lead sense/pace threshold were stable over mean 34 months</w:t>
            </w:r>
            <w:r w:rsidR="00FC22DB" w:rsidRPr="00D40B19">
              <w:rPr>
                <w:rFonts w:ascii="Arial" w:hAnsi="Arial" w:cs="Arial"/>
                <w:bCs/>
                <w:color w:val="000000" w:themeColor="text1"/>
                <w:sz w:val="20"/>
                <w:szCs w:val="20"/>
              </w:rPr>
              <w:t>.</w:t>
            </w:r>
          </w:p>
        </w:tc>
      </w:tr>
      <w:tr w:rsidR="009D78BE" w:rsidRPr="009D78BE" w14:paraId="6F03C3F0" w14:textId="77777777" w:rsidTr="005A7328">
        <w:trPr>
          <w:trHeight w:val="432"/>
        </w:trPr>
        <w:tc>
          <w:tcPr>
            <w:tcW w:w="12325" w:type="dxa"/>
            <w:gridSpan w:val="7"/>
          </w:tcPr>
          <w:p w14:paraId="33F8E8B2" w14:textId="5CE036BA" w:rsidR="00195224" w:rsidRPr="00D40B19" w:rsidRDefault="00195224" w:rsidP="00B05A29">
            <w:pPr>
              <w:spacing w:after="0" w:line="240" w:lineRule="auto"/>
              <w:rPr>
                <w:rFonts w:ascii="Arial" w:hAnsi="Arial" w:cs="Arial"/>
                <w:b/>
                <w:color w:val="000000" w:themeColor="text1"/>
              </w:rPr>
            </w:pPr>
            <w:r w:rsidRPr="00D40B19">
              <w:rPr>
                <w:rFonts w:ascii="Arial" w:hAnsi="Arial" w:cs="Arial"/>
                <w:b/>
                <w:color w:val="000000" w:themeColor="text1"/>
                <w:sz w:val="24"/>
                <w:szCs w:val="24"/>
              </w:rPr>
              <w:t xml:space="preserve">Isolated </w:t>
            </w:r>
            <w:r w:rsidR="00EF0CAD" w:rsidRPr="0050678F">
              <w:rPr>
                <w:rFonts w:ascii="Arial" w:hAnsi="Arial" w:cs="Arial"/>
                <w:b/>
                <w:color w:val="000000" w:themeColor="text1"/>
                <w:sz w:val="24"/>
                <w:szCs w:val="24"/>
              </w:rPr>
              <w:t>Congenital Complete Atrioventricular Block</w:t>
            </w:r>
          </w:p>
        </w:tc>
      </w:tr>
      <w:tr w:rsidR="009D78BE" w:rsidRPr="009D78BE" w14:paraId="7B6C09D9" w14:textId="77777777" w:rsidTr="00D40B19">
        <w:tc>
          <w:tcPr>
            <w:tcW w:w="1728" w:type="dxa"/>
          </w:tcPr>
          <w:p w14:paraId="6ED54B39" w14:textId="5F1DB1D6" w:rsidR="003539DD" w:rsidRPr="00D40B19" w:rsidRDefault="003539D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author and reference</w:t>
            </w:r>
          </w:p>
        </w:tc>
        <w:tc>
          <w:tcPr>
            <w:tcW w:w="784" w:type="dxa"/>
          </w:tcPr>
          <w:p w14:paraId="07B3C232" w14:textId="4DE26A17" w:rsidR="003539DD" w:rsidRPr="00D40B19" w:rsidRDefault="003539D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Year</w:t>
            </w:r>
          </w:p>
        </w:tc>
        <w:tc>
          <w:tcPr>
            <w:tcW w:w="1533" w:type="dxa"/>
          </w:tcPr>
          <w:p w14:paraId="162DAEA4" w14:textId="020CCF53" w:rsidR="003539DD" w:rsidRPr="00D40B19" w:rsidRDefault="003539D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design</w:t>
            </w:r>
          </w:p>
        </w:tc>
        <w:tc>
          <w:tcPr>
            <w:tcW w:w="1530" w:type="dxa"/>
          </w:tcPr>
          <w:p w14:paraId="71917F13" w14:textId="407A43E5" w:rsidR="003539DD" w:rsidRPr="00D40B19" w:rsidRDefault="003539DD" w:rsidP="00D40B19">
            <w:pPr>
              <w:spacing w:after="0" w:line="240" w:lineRule="auto"/>
              <w:rPr>
                <w:rFonts w:ascii="Arial" w:eastAsiaTheme="minorEastAsia" w:hAnsi="Arial" w:cs="Arial"/>
                <w:bCs/>
                <w:color w:val="000000" w:themeColor="text1"/>
              </w:rPr>
            </w:pPr>
            <w:r w:rsidRPr="00D40B19">
              <w:rPr>
                <w:rFonts w:ascii="Arial" w:eastAsiaTheme="minorEastAsia" w:hAnsi="Arial" w:cs="Arial"/>
                <w:b/>
                <w:bCs/>
                <w:color w:val="000000" w:themeColor="text1"/>
              </w:rPr>
              <w:t>Patient population</w:t>
            </w:r>
          </w:p>
        </w:tc>
        <w:tc>
          <w:tcPr>
            <w:tcW w:w="1710" w:type="dxa"/>
          </w:tcPr>
          <w:p w14:paraId="75C4F043" w14:textId="2D8B907F" w:rsidR="003539DD" w:rsidRPr="00D40B19" w:rsidRDefault="003539DD" w:rsidP="00D40B19">
            <w:pPr>
              <w:spacing w:after="0" w:line="240" w:lineRule="auto"/>
              <w:rPr>
                <w:rFonts w:ascii="Arial" w:hAnsi="Arial" w:cs="Arial"/>
                <w:color w:val="000000" w:themeColor="text1"/>
              </w:rPr>
            </w:pPr>
            <w:r w:rsidRPr="00D40B19">
              <w:rPr>
                <w:rFonts w:ascii="Arial" w:hAnsi="Arial" w:cs="Arial"/>
                <w:b/>
                <w:color w:val="000000" w:themeColor="text1"/>
              </w:rPr>
              <w:t>Inclusion criteria</w:t>
            </w:r>
          </w:p>
        </w:tc>
        <w:tc>
          <w:tcPr>
            <w:tcW w:w="2160" w:type="dxa"/>
          </w:tcPr>
          <w:p w14:paraId="1F423DFE" w14:textId="5E331C9F" w:rsidR="003539DD" w:rsidRPr="00D40B19" w:rsidRDefault="003539D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Endpoints</w:t>
            </w:r>
          </w:p>
        </w:tc>
        <w:tc>
          <w:tcPr>
            <w:tcW w:w="2880" w:type="dxa"/>
          </w:tcPr>
          <w:p w14:paraId="4B50F24B" w14:textId="07E82D18" w:rsidR="003539DD" w:rsidRPr="00D40B19" w:rsidRDefault="003539DD" w:rsidP="00B05A29">
            <w:pPr>
              <w:spacing w:after="0" w:line="240" w:lineRule="auto"/>
              <w:rPr>
                <w:rFonts w:ascii="Arial"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257E56D0" w14:textId="77777777" w:rsidTr="00D40B19">
        <w:tc>
          <w:tcPr>
            <w:tcW w:w="1728" w:type="dxa"/>
          </w:tcPr>
          <w:p w14:paraId="14C90460" w14:textId="2C419232" w:rsidR="00EA082A" w:rsidRPr="00D40B19" w:rsidRDefault="00EA082A" w:rsidP="00B05A29">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lastRenderedPageBreak/>
              <w:t>Michaëlsson</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33</w:t>
            </w:r>
            <w:r w:rsidRPr="00D40B19">
              <w:rPr>
                <w:rFonts w:ascii="Arial" w:hAnsi="Arial" w:cs="Arial"/>
                <w:color w:val="000000" w:themeColor="text1"/>
                <w:sz w:val="20"/>
                <w:szCs w:val="20"/>
              </w:rPr>
              <w:t xml:space="preserve"> </w:t>
            </w:r>
          </w:p>
          <w:p w14:paraId="7EB991D7"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7CAB7FD5"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5A541480" w14:textId="301CE37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1995</w:t>
            </w:r>
          </w:p>
        </w:tc>
        <w:tc>
          <w:tcPr>
            <w:tcW w:w="1533" w:type="dxa"/>
          </w:tcPr>
          <w:p w14:paraId="5F4DFCC1"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Prospective</w:t>
            </w:r>
          </w:p>
          <w:p w14:paraId="4DE65360"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study</w:t>
            </w:r>
          </w:p>
          <w:p w14:paraId="18196CDC"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66A351BB"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2271E560" w14:textId="418492EE" w:rsidR="00EA082A" w:rsidRPr="00D40B19" w:rsidRDefault="00EA082A"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102 patients</w:t>
            </w:r>
            <w:r w:rsidR="004B70C4" w:rsidRPr="00D40B19">
              <w:rPr>
                <w:rFonts w:ascii="Arial" w:eastAsiaTheme="minorEastAsia" w:hAnsi="Arial" w:cs="Arial"/>
                <w:bCs/>
                <w:color w:val="000000" w:themeColor="text1"/>
                <w:sz w:val="20"/>
                <w:szCs w:val="20"/>
              </w:rPr>
              <w:t>;</w:t>
            </w:r>
          </w:p>
          <w:p w14:paraId="22836DF8" w14:textId="3CEE47BB" w:rsidR="00EA082A" w:rsidRPr="00D40B19" w:rsidRDefault="004B70C4"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m</w:t>
            </w:r>
            <w:r w:rsidR="00EA082A" w:rsidRPr="00D40B19">
              <w:rPr>
                <w:rFonts w:ascii="Arial" w:eastAsiaTheme="minorEastAsia" w:hAnsi="Arial" w:cs="Arial"/>
                <w:bCs/>
                <w:color w:val="000000" w:themeColor="text1"/>
                <w:sz w:val="20"/>
                <w:szCs w:val="20"/>
              </w:rPr>
              <w:t xml:space="preserve">ean age </w:t>
            </w:r>
            <w:r w:rsidR="00EA082A" w:rsidRPr="00D40B19">
              <w:rPr>
                <w:rFonts w:ascii="Arial" w:hAnsi="Arial" w:cs="Arial"/>
                <w:color w:val="000000" w:themeColor="text1"/>
                <w:sz w:val="20"/>
                <w:szCs w:val="20"/>
              </w:rPr>
              <w:t>36</w:t>
            </w:r>
            <w:r w:rsidR="00F34813" w:rsidRPr="00D40B19">
              <w:rPr>
                <w:rFonts w:ascii="Arial" w:hAnsi="Arial" w:cs="Arial"/>
                <w:color w:val="000000" w:themeColor="text1"/>
                <w:sz w:val="20"/>
                <w:szCs w:val="20"/>
              </w:rPr>
              <w:t xml:space="preserve"> years</w:t>
            </w:r>
            <w:r w:rsidR="00EA082A" w:rsidRPr="00D40B19">
              <w:rPr>
                <w:rFonts w:ascii="Arial" w:hAnsi="Arial" w:cs="Arial"/>
                <w:color w:val="000000" w:themeColor="text1"/>
                <w:sz w:val="20"/>
                <w:szCs w:val="20"/>
              </w:rPr>
              <w:t xml:space="preserve"> (16</w:t>
            </w:r>
            <w:r w:rsidR="00F34813" w:rsidRPr="00D40B19">
              <w:rPr>
                <w:rFonts w:ascii="Arial" w:hAnsi="Arial" w:cs="Arial"/>
                <w:color w:val="000000" w:themeColor="text1"/>
                <w:sz w:val="20"/>
                <w:szCs w:val="20"/>
              </w:rPr>
              <w:t>–</w:t>
            </w:r>
            <w:r w:rsidR="00EA082A" w:rsidRPr="00D40B19">
              <w:rPr>
                <w:rFonts w:ascii="Arial" w:hAnsi="Arial" w:cs="Arial"/>
                <w:color w:val="000000" w:themeColor="text1"/>
                <w:sz w:val="20"/>
                <w:szCs w:val="20"/>
              </w:rPr>
              <w:t>66)</w:t>
            </w:r>
          </w:p>
        </w:tc>
        <w:tc>
          <w:tcPr>
            <w:tcW w:w="1710" w:type="dxa"/>
          </w:tcPr>
          <w:p w14:paraId="2733FB1F" w14:textId="1C42A2AF" w:rsidR="00EA082A" w:rsidRPr="00D40B19" w:rsidRDefault="00EA082A" w:rsidP="00D40B19">
            <w:pPr>
              <w:spacing w:after="0"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P</w:t>
            </w:r>
            <w:r w:rsidR="00F34813"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F34813" w:rsidRPr="00D40B19">
              <w:rPr>
                <w:rFonts w:ascii="Arial" w:hAnsi="Arial" w:cs="Arial"/>
                <w:color w:val="000000" w:themeColor="text1"/>
                <w:sz w:val="20"/>
                <w:szCs w:val="20"/>
              </w:rPr>
              <w:t>ient</w:t>
            </w:r>
            <w:r w:rsidRPr="00D40B19">
              <w:rPr>
                <w:rFonts w:ascii="Arial" w:hAnsi="Arial" w:cs="Arial"/>
                <w:color w:val="000000" w:themeColor="text1"/>
                <w:sz w:val="20"/>
                <w:szCs w:val="20"/>
              </w:rPr>
              <w:t xml:space="preserve">s with isolated </w:t>
            </w:r>
            <w:r w:rsidRPr="00D40B19">
              <w:rPr>
                <w:rFonts w:ascii="Arial" w:eastAsiaTheme="minorEastAsia" w:hAnsi="Arial" w:cs="Arial"/>
                <w:color w:val="000000" w:themeColor="text1"/>
                <w:sz w:val="20"/>
                <w:szCs w:val="20"/>
              </w:rPr>
              <w:t>CCAVB age &gt;15 years</w:t>
            </w:r>
          </w:p>
          <w:p w14:paraId="10358C16" w14:textId="77777777" w:rsidR="00EA082A" w:rsidRPr="00D40B19" w:rsidRDefault="00EA082A" w:rsidP="00D40B19">
            <w:pPr>
              <w:spacing w:after="0" w:line="240" w:lineRule="auto"/>
              <w:rPr>
                <w:rFonts w:ascii="Arial" w:eastAsiaTheme="minorEastAsia" w:hAnsi="Arial" w:cs="Arial"/>
                <w:color w:val="000000" w:themeColor="text1"/>
                <w:sz w:val="20"/>
                <w:szCs w:val="20"/>
              </w:rPr>
            </w:pPr>
          </w:p>
          <w:p w14:paraId="714BE7D4" w14:textId="77777777" w:rsidR="00EA082A" w:rsidRPr="00D40B19" w:rsidRDefault="00EA082A" w:rsidP="00D40B19">
            <w:pPr>
              <w:spacing w:after="0" w:line="240" w:lineRule="auto"/>
              <w:rPr>
                <w:rFonts w:ascii="Arial" w:eastAsiaTheme="minorEastAsia" w:hAnsi="Arial" w:cs="Arial"/>
                <w:color w:val="000000" w:themeColor="text1"/>
                <w:sz w:val="20"/>
                <w:szCs w:val="20"/>
              </w:rPr>
            </w:pPr>
          </w:p>
          <w:p w14:paraId="271E8050" w14:textId="77777777" w:rsidR="00EA082A" w:rsidRPr="00D40B19" w:rsidRDefault="00EA082A" w:rsidP="00D40B19">
            <w:pPr>
              <w:spacing w:after="0" w:line="240" w:lineRule="auto"/>
              <w:rPr>
                <w:rFonts w:ascii="Arial" w:eastAsiaTheme="minorEastAsia" w:hAnsi="Arial" w:cs="Arial"/>
                <w:color w:val="000000" w:themeColor="text1"/>
                <w:sz w:val="20"/>
                <w:szCs w:val="20"/>
              </w:rPr>
            </w:pPr>
          </w:p>
        </w:tc>
        <w:tc>
          <w:tcPr>
            <w:tcW w:w="2160" w:type="dxa"/>
          </w:tcPr>
          <w:p w14:paraId="0809A6EE" w14:textId="4367CD9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Freedom from CCAVB</w:t>
            </w:r>
            <w:r w:rsidR="006E7031" w:rsidRPr="00D40B19">
              <w:rPr>
                <w:rFonts w:ascii="Arial" w:hAnsi="Arial" w:cs="Arial"/>
                <w:color w:val="000000" w:themeColor="text1"/>
                <w:sz w:val="20"/>
                <w:szCs w:val="20"/>
              </w:rPr>
              <w:t>-</w:t>
            </w:r>
            <w:r w:rsidRPr="00D40B19">
              <w:rPr>
                <w:rFonts w:ascii="Arial" w:hAnsi="Arial" w:cs="Arial"/>
                <w:color w:val="000000" w:themeColor="text1"/>
                <w:sz w:val="20"/>
                <w:szCs w:val="20"/>
              </w:rPr>
              <w:t>related mortality and morbidity</w:t>
            </w:r>
          </w:p>
          <w:p w14:paraId="7555B620"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582D3FE6"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4380FD97" w14:textId="614DC0F5" w:rsidR="00EA082A" w:rsidRPr="00D40B19" w:rsidRDefault="00EA082A" w:rsidP="00B05A2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Stokes-Adams attacks in 35 patients with fatal outcome in 8 (23%). P</w:t>
            </w:r>
            <w:r w:rsidR="00FC22DB" w:rsidRPr="00D40B19">
              <w:rPr>
                <w:rFonts w:ascii="Arial" w:hAnsi="Arial" w:cs="Arial"/>
                <w:color w:val="000000" w:themeColor="text1"/>
                <w:sz w:val="20"/>
                <w:szCs w:val="20"/>
              </w:rPr>
              <w:t>acemaker</w:t>
            </w:r>
            <w:r w:rsidRPr="00D40B19">
              <w:rPr>
                <w:rFonts w:ascii="Arial" w:hAnsi="Arial" w:cs="Arial"/>
                <w:color w:val="000000" w:themeColor="text1"/>
                <w:sz w:val="20"/>
                <w:szCs w:val="20"/>
              </w:rPr>
              <w:t xml:space="preserve"> was implanted in 52 patients. Over a 30</w:t>
            </w:r>
            <w:r w:rsidR="004365BE" w:rsidRPr="00D40B19">
              <w:rPr>
                <w:rFonts w:ascii="Arial" w:hAnsi="Arial" w:cs="Arial"/>
                <w:color w:val="000000" w:themeColor="text1"/>
                <w:sz w:val="20"/>
                <w:szCs w:val="20"/>
              </w:rPr>
              <w:t>-</w:t>
            </w:r>
            <w:r w:rsidRPr="00D40B19">
              <w:rPr>
                <w:rFonts w:ascii="Arial" w:hAnsi="Arial" w:cs="Arial"/>
                <w:color w:val="000000" w:themeColor="text1"/>
                <w:sz w:val="20"/>
                <w:szCs w:val="20"/>
              </w:rPr>
              <w:t>year follow</w:t>
            </w:r>
            <w:r w:rsidR="004365BE" w:rsidRPr="00D40B19">
              <w:rPr>
                <w:rFonts w:ascii="Arial" w:hAnsi="Arial" w:cs="Arial"/>
                <w:color w:val="000000" w:themeColor="text1"/>
                <w:sz w:val="20"/>
                <w:szCs w:val="20"/>
              </w:rPr>
              <w:t>-</w:t>
            </w:r>
            <w:r w:rsidRPr="00D40B19">
              <w:rPr>
                <w:rFonts w:ascii="Arial" w:hAnsi="Arial" w:cs="Arial"/>
                <w:color w:val="000000" w:themeColor="text1"/>
                <w:sz w:val="20"/>
                <w:szCs w:val="20"/>
              </w:rPr>
              <w:t>up, 11 deaths (mean age 42 years, range</w:t>
            </w:r>
            <w:r w:rsidR="0057781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24</w:t>
            </w:r>
            <w:r w:rsidR="00577814"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58) </w:t>
            </w:r>
          </w:p>
          <w:p w14:paraId="6521B35E" w14:textId="68FA8ADB" w:rsidR="00EA082A" w:rsidRPr="00D40B19" w:rsidRDefault="00FC22DB" w:rsidP="00B05A2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in </w:t>
            </w:r>
            <w:r w:rsidR="00EA082A" w:rsidRPr="00D40B19">
              <w:rPr>
                <w:rFonts w:ascii="Arial" w:hAnsi="Arial" w:cs="Arial"/>
                <w:color w:val="000000" w:themeColor="text1"/>
                <w:sz w:val="20"/>
                <w:szCs w:val="20"/>
              </w:rPr>
              <w:t xml:space="preserve">adults with isolated CCAVB who have been asymptomatic during infancy and childhood, mortality is </w:t>
            </w:r>
            <w:r w:rsidR="005D197A" w:rsidRPr="00D40B19">
              <w:rPr>
                <w:rFonts w:ascii="Arial" w:hAnsi="Arial" w:cs="Arial"/>
                <w:color w:val="000000" w:themeColor="text1"/>
                <w:sz w:val="20"/>
                <w:szCs w:val="20"/>
              </w:rPr>
              <w:t>~</w:t>
            </w:r>
            <w:r w:rsidR="00EA082A" w:rsidRPr="00D40B19">
              <w:rPr>
                <w:rFonts w:ascii="Arial" w:hAnsi="Arial" w:cs="Arial"/>
                <w:color w:val="000000" w:themeColor="text1"/>
                <w:sz w:val="20"/>
                <w:szCs w:val="20"/>
              </w:rPr>
              <w:t>5% and morbidity is 30% between 15 and 50 years</w:t>
            </w:r>
            <w:r w:rsidR="00D44173" w:rsidRPr="00D40B19">
              <w:rPr>
                <w:rFonts w:ascii="Arial" w:hAnsi="Arial" w:cs="Arial"/>
                <w:color w:val="000000" w:themeColor="text1"/>
                <w:sz w:val="20"/>
                <w:szCs w:val="20"/>
              </w:rPr>
              <w:t>.</w:t>
            </w:r>
          </w:p>
          <w:p w14:paraId="5AF9354B" w14:textId="26249981" w:rsidR="00D44173" w:rsidRPr="00D40B19" w:rsidRDefault="00D44173" w:rsidP="00B05A29">
            <w:pPr>
              <w:spacing w:after="0" w:line="240" w:lineRule="auto"/>
              <w:rPr>
                <w:rFonts w:ascii="Arial" w:hAnsi="Arial" w:cs="Arial"/>
                <w:color w:val="000000" w:themeColor="text1"/>
                <w:sz w:val="20"/>
                <w:szCs w:val="20"/>
              </w:rPr>
            </w:pPr>
          </w:p>
        </w:tc>
      </w:tr>
      <w:tr w:rsidR="009D78BE" w:rsidRPr="009D78BE" w14:paraId="649D691A" w14:textId="77777777" w:rsidTr="00D40B19">
        <w:tc>
          <w:tcPr>
            <w:tcW w:w="1728" w:type="dxa"/>
          </w:tcPr>
          <w:p w14:paraId="4F08C87E" w14:textId="5AC70400" w:rsidR="00EA082A" w:rsidRPr="00D40B19" w:rsidRDefault="00EA082A"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Baruteau</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31</w:t>
            </w:r>
          </w:p>
          <w:p w14:paraId="1F0076F2"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5728CA35"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52E229F2" w14:textId="6EADE991"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w:t>
            </w:r>
            <w:r w:rsidR="00EE4596" w:rsidRPr="00D40B19">
              <w:rPr>
                <w:rFonts w:ascii="Arial" w:hAnsi="Arial" w:cs="Arial"/>
                <w:color w:val="000000" w:themeColor="text1"/>
                <w:sz w:val="20"/>
                <w:szCs w:val="20"/>
              </w:rPr>
              <w:t>2</w:t>
            </w:r>
          </w:p>
        </w:tc>
        <w:tc>
          <w:tcPr>
            <w:tcW w:w="1533" w:type="dxa"/>
          </w:tcPr>
          <w:p w14:paraId="7CC763EE"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 retrospective</w:t>
            </w:r>
            <w:r w:rsidRPr="00D40B19">
              <w:rPr>
                <w:rFonts w:ascii="Arial" w:hAnsi="Arial" w:cs="Arial"/>
                <w:color w:val="000000" w:themeColor="text1"/>
                <w:sz w:val="20"/>
                <w:szCs w:val="20"/>
                <w:u w:val="single"/>
              </w:rPr>
              <w:t xml:space="preserve"> </w:t>
            </w:r>
            <w:r w:rsidRPr="00D40B19">
              <w:rPr>
                <w:rFonts w:ascii="Arial" w:hAnsi="Arial" w:cs="Arial"/>
                <w:color w:val="000000" w:themeColor="text1"/>
                <w:sz w:val="20"/>
                <w:szCs w:val="20"/>
              </w:rPr>
              <w:t>study</w:t>
            </w:r>
          </w:p>
          <w:p w14:paraId="0851AA0F" w14:textId="77777777" w:rsidR="00EA082A" w:rsidRPr="00D40B19" w:rsidRDefault="00EA082A" w:rsidP="00B05A29">
            <w:pPr>
              <w:spacing w:after="0" w:line="240" w:lineRule="auto"/>
              <w:contextualSpacing/>
              <w:rPr>
                <w:rFonts w:ascii="Arial" w:hAnsi="Arial" w:cs="Arial"/>
                <w:color w:val="000000" w:themeColor="text1"/>
                <w:sz w:val="20"/>
                <w:szCs w:val="20"/>
                <w:u w:val="single"/>
              </w:rPr>
            </w:pPr>
          </w:p>
          <w:p w14:paraId="497008D2"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3FF5BA05" w14:textId="64108388" w:rsidR="00EA082A" w:rsidRPr="00D40B19" w:rsidRDefault="00EA082A" w:rsidP="00D40B19">
            <w:pPr>
              <w:spacing w:after="0" w:line="240" w:lineRule="auto"/>
              <w:rPr>
                <w:rFonts w:ascii="Arial" w:eastAsiaTheme="minorEastAsia" w:hAnsi="Arial" w:cs="Arial"/>
                <w:color w:val="000000" w:themeColor="text1"/>
                <w:sz w:val="20"/>
                <w:szCs w:val="20"/>
              </w:rPr>
            </w:pPr>
            <w:r w:rsidRPr="00D40B19">
              <w:rPr>
                <w:rFonts w:ascii="Arial" w:eastAsiaTheme="minorEastAsia" w:hAnsi="Arial" w:cs="Arial"/>
                <w:bCs/>
                <w:color w:val="000000" w:themeColor="text1"/>
                <w:sz w:val="20"/>
                <w:szCs w:val="20"/>
              </w:rPr>
              <w:t>141 patients</w:t>
            </w:r>
            <w:r w:rsidR="004B70C4" w:rsidRPr="00D40B19">
              <w:rPr>
                <w:rFonts w:ascii="Arial" w:eastAsiaTheme="minorEastAsia" w:hAnsi="Arial" w:cs="Arial"/>
                <w:bCs/>
                <w:color w:val="000000" w:themeColor="text1"/>
                <w:sz w:val="20"/>
                <w:szCs w:val="20"/>
              </w:rPr>
              <w:t>;</w:t>
            </w:r>
          </w:p>
          <w:p w14:paraId="6A0F4D4F" w14:textId="08B6EB52" w:rsidR="00EA082A" w:rsidRPr="00D40B19" w:rsidRDefault="00EA082A"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color w:val="000000" w:themeColor="text1"/>
                <w:sz w:val="20"/>
                <w:szCs w:val="20"/>
              </w:rPr>
              <w:t>mean age 3.6</w:t>
            </w:r>
            <w:r w:rsidR="00F34813" w:rsidRPr="00D40B19">
              <w:rPr>
                <w:rFonts w:ascii="Arial" w:eastAsiaTheme="minorEastAsia" w:hAnsi="Arial" w:cs="Arial"/>
                <w:color w:val="000000" w:themeColor="text1"/>
                <w:sz w:val="20"/>
                <w:szCs w:val="20"/>
              </w:rPr>
              <w:t xml:space="preserve"> </w:t>
            </w:r>
            <w:r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Pr="00D40B19">
              <w:rPr>
                <w:rFonts w:ascii="Arial" w:eastAsiaTheme="minorEastAsia" w:hAnsi="Arial" w:cs="Arial"/>
                <w:color w:val="000000" w:themeColor="text1"/>
                <w:sz w:val="20"/>
                <w:szCs w:val="20"/>
              </w:rPr>
              <w:t>4.2 years</w:t>
            </w:r>
          </w:p>
        </w:tc>
        <w:tc>
          <w:tcPr>
            <w:tcW w:w="1710" w:type="dxa"/>
          </w:tcPr>
          <w:p w14:paraId="26EF3A05" w14:textId="20E6631A" w:rsidR="00EA082A" w:rsidRPr="00D40B19" w:rsidRDefault="00EA082A" w:rsidP="00D40B19">
            <w:pPr>
              <w:spacing w:after="0" w:line="240" w:lineRule="auto"/>
              <w:rPr>
                <w:rFonts w:ascii="Arial" w:eastAsiaTheme="minorEastAsia" w:hAnsi="Arial" w:cs="Arial"/>
                <w:bCs/>
                <w:color w:val="000000" w:themeColor="text1"/>
                <w:sz w:val="20"/>
                <w:szCs w:val="20"/>
                <w:u w:val="single"/>
              </w:rPr>
            </w:pPr>
            <w:r w:rsidRPr="00D40B19">
              <w:rPr>
                <w:rFonts w:ascii="Arial" w:eastAsiaTheme="minorEastAsia" w:hAnsi="Arial" w:cs="Arial"/>
                <w:color w:val="000000" w:themeColor="text1"/>
                <w:sz w:val="20"/>
                <w:szCs w:val="20"/>
              </w:rPr>
              <w:t>P</w:t>
            </w:r>
            <w:r w:rsidR="00F34813" w:rsidRPr="00D40B19">
              <w:rPr>
                <w:rFonts w:ascii="Arial" w:eastAsiaTheme="minorEastAsia" w:hAnsi="Arial" w:cs="Arial"/>
                <w:color w:val="000000" w:themeColor="text1"/>
                <w:sz w:val="20"/>
                <w:szCs w:val="20"/>
              </w:rPr>
              <w:t>a</w:t>
            </w:r>
            <w:r w:rsidRPr="00D40B19">
              <w:rPr>
                <w:rFonts w:ascii="Arial" w:eastAsiaTheme="minorEastAsia" w:hAnsi="Arial" w:cs="Arial"/>
                <w:color w:val="000000" w:themeColor="text1"/>
                <w:sz w:val="20"/>
                <w:szCs w:val="20"/>
              </w:rPr>
              <w:t>t</w:t>
            </w:r>
            <w:r w:rsidR="00F34813" w:rsidRPr="00D40B19">
              <w:rPr>
                <w:rFonts w:ascii="Arial" w:eastAsiaTheme="minorEastAsia" w:hAnsi="Arial" w:cs="Arial"/>
                <w:color w:val="000000" w:themeColor="text1"/>
                <w:sz w:val="20"/>
                <w:szCs w:val="20"/>
              </w:rPr>
              <w:t>ient</w:t>
            </w:r>
            <w:r w:rsidRPr="00D40B19">
              <w:rPr>
                <w:rFonts w:ascii="Arial" w:eastAsiaTheme="minorEastAsia" w:hAnsi="Arial" w:cs="Arial"/>
                <w:color w:val="000000" w:themeColor="text1"/>
                <w:sz w:val="20"/>
                <w:szCs w:val="20"/>
              </w:rPr>
              <w:t>s with nonimmune AV block</w:t>
            </w:r>
            <w:r w:rsidR="008C48F3" w:rsidRPr="00D40B19">
              <w:rPr>
                <w:rFonts w:ascii="Arial" w:eastAsiaTheme="minorEastAsia" w:hAnsi="Arial" w:cs="Arial"/>
                <w:color w:val="000000" w:themeColor="text1"/>
                <w:sz w:val="20"/>
                <w:szCs w:val="20"/>
              </w:rPr>
              <w:t>; diagnosed</w:t>
            </w:r>
            <w:r w:rsidRPr="00D40B19">
              <w:rPr>
                <w:rFonts w:ascii="Arial" w:eastAsiaTheme="minorEastAsia" w:hAnsi="Arial" w:cs="Arial"/>
                <w:color w:val="000000" w:themeColor="text1"/>
                <w:sz w:val="20"/>
                <w:szCs w:val="20"/>
              </w:rPr>
              <w:t xml:space="preserve"> in utero</w:t>
            </w:r>
            <w:r w:rsidR="008C48F3"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to 15 y</w:t>
            </w:r>
            <w:r w:rsidR="00F34813" w:rsidRPr="00D40B19">
              <w:rPr>
                <w:rFonts w:ascii="Arial" w:eastAsiaTheme="minorEastAsia" w:hAnsi="Arial" w:cs="Arial"/>
                <w:color w:val="000000" w:themeColor="text1"/>
                <w:sz w:val="20"/>
                <w:szCs w:val="20"/>
              </w:rPr>
              <w:t>ea</w:t>
            </w:r>
            <w:r w:rsidR="008C48F3" w:rsidRPr="00D40B19">
              <w:rPr>
                <w:rFonts w:ascii="Arial" w:eastAsiaTheme="minorEastAsia" w:hAnsi="Arial" w:cs="Arial"/>
                <w:color w:val="000000" w:themeColor="text1"/>
                <w:sz w:val="20"/>
                <w:szCs w:val="20"/>
              </w:rPr>
              <w:t>rs</w:t>
            </w:r>
            <w:r w:rsidRPr="00D40B19">
              <w:rPr>
                <w:rFonts w:ascii="Arial" w:eastAsiaTheme="minorEastAsia" w:hAnsi="Arial" w:cs="Arial"/>
                <w:color w:val="000000" w:themeColor="text1"/>
                <w:sz w:val="20"/>
                <w:szCs w:val="20"/>
              </w:rPr>
              <w:t xml:space="preserve"> </w:t>
            </w:r>
          </w:p>
          <w:p w14:paraId="6815B48D" w14:textId="77777777" w:rsidR="00EA082A" w:rsidRPr="00D40B19" w:rsidRDefault="00EA082A" w:rsidP="00D40B19">
            <w:pPr>
              <w:spacing w:after="0" w:line="240" w:lineRule="auto"/>
              <w:rPr>
                <w:rFonts w:ascii="Arial" w:hAnsi="Arial" w:cs="Arial"/>
                <w:color w:val="000000" w:themeColor="text1"/>
                <w:sz w:val="20"/>
                <w:szCs w:val="20"/>
              </w:rPr>
            </w:pPr>
          </w:p>
        </w:tc>
        <w:tc>
          <w:tcPr>
            <w:tcW w:w="2160" w:type="dxa"/>
          </w:tcPr>
          <w:p w14:paraId="17FF7B5D" w14:textId="77777777" w:rsidR="008C48F3"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Freedom from </w:t>
            </w:r>
          </w:p>
          <w:p w14:paraId="7A5E70B9" w14:textId="3878D9AC" w:rsidR="008C48F3" w:rsidRPr="00D40B19" w:rsidRDefault="008C48F3"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1) </w:t>
            </w:r>
            <w:r w:rsidR="00EA082A" w:rsidRPr="00D40B19">
              <w:rPr>
                <w:rFonts w:ascii="Arial" w:hAnsi="Arial" w:cs="Arial"/>
                <w:color w:val="000000" w:themeColor="text1"/>
                <w:sz w:val="20"/>
                <w:szCs w:val="20"/>
              </w:rPr>
              <w:t>symptoms</w:t>
            </w:r>
            <w:r w:rsidR="00FE2F2A" w:rsidRPr="00D40B19">
              <w:rPr>
                <w:rFonts w:ascii="Arial" w:hAnsi="Arial" w:cs="Arial"/>
                <w:color w:val="000000" w:themeColor="text1"/>
                <w:sz w:val="20"/>
                <w:szCs w:val="20"/>
              </w:rPr>
              <w:t>,</w:t>
            </w:r>
            <w:r w:rsidR="00EA082A" w:rsidRPr="00D40B19">
              <w:rPr>
                <w:rFonts w:ascii="Arial" w:hAnsi="Arial" w:cs="Arial"/>
                <w:color w:val="000000" w:themeColor="text1"/>
                <w:sz w:val="20"/>
                <w:szCs w:val="20"/>
              </w:rPr>
              <w:t xml:space="preserve"> </w:t>
            </w:r>
          </w:p>
          <w:p w14:paraId="0835ED9E" w14:textId="7063C786" w:rsidR="006E7031" w:rsidRPr="00D40B19" w:rsidRDefault="008C48F3"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w:t>
            </w:r>
            <w:r w:rsidR="006E7031" w:rsidRPr="00D40B19">
              <w:rPr>
                <w:rFonts w:ascii="Arial" w:hAnsi="Arial" w:cs="Arial"/>
                <w:color w:val="000000" w:themeColor="text1"/>
                <w:sz w:val="20"/>
                <w:szCs w:val="20"/>
              </w:rPr>
              <w:t xml:space="preserve"> </w:t>
            </w:r>
            <w:r w:rsidR="00EA082A" w:rsidRPr="00D40B19">
              <w:rPr>
                <w:rFonts w:ascii="Arial" w:hAnsi="Arial" w:cs="Arial"/>
                <w:color w:val="000000" w:themeColor="text1"/>
                <w:sz w:val="20"/>
                <w:szCs w:val="20"/>
              </w:rPr>
              <w:t>pacemaker therapy</w:t>
            </w:r>
            <w:r w:rsidR="00FE2F2A" w:rsidRPr="00D40B19">
              <w:rPr>
                <w:rFonts w:ascii="Arial" w:hAnsi="Arial" w:cs="Arial"/>
                <w:color w:val="000000" w:themeColor="text1"/>
                <w:sz w:val="20"/>
                <w:szCs w:val="20"/>
              </w:rPr>
              <w:t>, and</w:t>
            </w:r>
            <w:r w:rsidR="00EA082A" w:rsidRPr="00D40B19">
              <w:rPr>
                <w:rFonts w:ascii="Arial" w:hAnsi="Arial" w:cs="Arial"/>
                <w:color w:val="000000" w:themeColor="text1"/>
                <w:sz w:val="20"/>
                <w:szCs w:val="20"/>
              </w:rPr>
              <w:t xml:space="preserve"> </w:t>
            </w:r>
          </w:p>
          <w:p w14:paraId="23BC71CC" w14:textId="33377A93" w:rsidR="00EA082A" w:rsidRPr="00D40B19" w:rsidRDefault="008C48F3"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3)</w:t>
            </w:r>
            <w:r w:rsidR="00EA082A" w:rsidRPr="00D40B19">
              <w:rPr>
                <w:rFonts w:ascii="Arial" w:hAnsi="Arial" w:cs="Arial"/>
                <w:color w:val="000000" w:themeColor="text1"/>
                <w:sz w:val="20"/>
                <w:szCs w:val="20"/>
              </w:rPr>
              <w:t xml:space="preserve"> AV block</w:t>
            </w:r>
            <w:r w:rsidR="006E7031" w:rsidRPr="00D40B19">
              <w:rPr>
                <w:rFonts w:ascii="Arial" w:hAnsi="Arial" w:cs="Arial"/>
                <w:color w:val="000000" w:themeColor="text1"/>
                <w:sz w:val="20"/>
                <w:szCs w:val="20"/>
              </w:rPr>
              <w:t>–</w:t>
            </w:r>
            <w:r w:rsidR="00FE2F2A" w:rsidRPr="00D40B19">
              <w:rPr>
                <w:rFonts w:ascii="Arial" w:hAnsi="Arial" w:cs="Arial"/>
                <w:color w:val="000000" w:themeColor="text1"/>
                <w:sz w:val="20"/>
                <w:szCs w:val="20"/>
              </w:rPr>
              <w:t>r</w:t>
            </w:r>
            <w:r w:rsidR="00EA082A" w:rsidRPr="00D40B19">
              <w:rPr>
                <w:rFonts w:ascii="Arial" w:hAnsi="Arial" w:cs="Arial"/>
                <w:color w:val="000000" w:themeColor="text1"/>
                <w:sz w:val="20"/>
                <w:szCs w:val="20"/>
              </w:rPr>
              <w:t>elated mortality</w:t>
            </w:r>
          </w:p>
        </w:tc>
        <w:tc>
          <w:tcPr>
            <w:tcW w:w="2880" w:type="dxa"/>
          </w:tcPr>
          <w:p w14:paraId="330BF7D9" w14:textId="420EF2CC" w:rsidR="00EA082A" w:rsidRPr="00D40B19" w:rsidRDefault="00EA082A" w:rsidP="00B05A2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84</w:t>
            </w:r>
            <w:r w:rsidR="008C48F3" w:rsidRPr="00D40B19">
              <w:rPr>
                <w:rFonts w:ascii="Arial" w:hAnsi="Arial" w:cs="Arial"/>
                <w:color w:val="000000" w:themeColor="text1"/>
                <w:sz w:val="20"/>
                <w:szCs w:val="20"/>
              </w:rPr>
              <w:t>% of p</w:t>
            </w:r>
            <w:r w:rsidR="00F34813" w:rsidRPr="00D40B19">
              <w:rPr>
                <w:rFonts w:ascii="Arial" w:hAnsi="Arial" w:cs="Arial"/>
                <w:color w:val="000000" w:themeColor="text1"/>
                <w:sz w:val="20"/>
                <w:szCs w:val="20"/>
              </w:rPr>
              <w:t>a</w:t>
            </w:r>
            <w:r w:rsidR="008C48F3" w:rsidRPr="00D40B19">
              <w:rPr>
                <w:rFonts w:ascii="Arial" w:hAnsi="Arial" w:cs="Arial"/>
                <w:color w:val="000000" w:themeColor="text1"/>
                <w:sz w:val="20"/>
                <w:szCs w:val="20"/>
              </w:rPr>
              <w:t>t</w:t>
            </w:r>
            <w:r w:rsidR="00F34813" w:rsidRPr="00D40B19">
              <w:rPr>
                <w:rFonts w:ascii="Arial" w:hAnsi="Arial" w:cs="Arial"/>
                <w:color w:val="000000" w:themeColor="text1"/>
                <w:sz w:val="20"/>
                <w:szCs w:val="20"/>
              </w:rPr>
              <w:t>ient</w:t>
            </w:r>
            <w:r w:rsidR="008C48F3" w:rsidRPr="00D40B19">
              <w:rPr>
                <w:rFonts w:ascii="Arial" w:hAnsi="Arial" w:cs="Arial"/>
                <w:color w:val="000000" w:themeColor="text1"/>
                <w:sz w:val="20"/>
                <w:szCs w:val="20"/>
              </w:rPr>
              <w:t>s</w:t>
            </w:r>
            <w:r w:rsidRPr="00D40B19">
              <w:rPr>
                <w:rFonts w:ascii="Arial" w:hAnsi="Arial" w:cs="Arial"/>
                <w:color w:val="000000" w:themeColor="text1"/>
                <w:sz w:val="20"/>
                <w:szCs w:val="20"/>
              </w:rPr>
              <w:t xml:space="preserve"> were asymptomatic</w:t>
            </w:r>
            <w:r w:rsidR="008C48F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Pacemakers were implanted in </w:t>
            </w:r>
            <w:r w:rsidR="008C48F3" w:rsidRPr="00D40B19">
              <w:rPr>
                <w:rFonts w:ascii="Arial" w:hAnsi="Arial" w:cs="Arial"/>
                <w:color w:val="000000" w:themeColor="text1"/>
                <w:sz w:val="20"/>
                <w:szCs w:val="20"/>
              </w:rPr>
              <w:t>80</w:t>
            </w:r>
            <w:r w:rsidRPr="00D40B19">
              <w:rPr>
                <w:rFonts w:ascii="Arial" w:hAnsi="Arial" w:cs="Arial"/>
                <w:color w:val="000000" w:themeColor="text1"/>
                <w:sz w:val="20"/>
                <w:szCs w:val="20"/>
              </w:rPr>
              <w:t>% with 16% during the first year of life and 80% before 10 years of age. Mean age at PM was 32</w:t>
            </w:r>
            <w:r w:rsidR="008C48F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months in congenital AV block and 80 months in childhood AV block. Pacing indication was prophylactic in 62%. At mean follow-up of 11.6</w:t>
            </w:r>
            <w:r w:rsidR="00FC22DB" w:rsidRPr="00D40B19">
              <w:rPr>
                <w:rFonts w:ascii="Arial" w:hAnsi="Arial" w:cs="Arial"/>
                <w:color w:val="000000" w:themeColor="text1"/>
                <w:sz w:val="20"/>
                <w:szCs w:val="20"/>
              </w:rPr>
              <w:t xml:space="preserve"> </w:t>
            </w:r>
            <w:r w:rsidR="00D40B19">
              <w:rPr>
                <w:rFonts w:ascii="Arial" w:hAnsi="Arial" w:cs="Arial"/>
                <w:color w:val="000000" w:themeColor="text1"/>
                <w:sz w:val="20"/>
                <w:szCs w:val="20"/>
              </w:rPr>
              <w:t>±</w:t>
            </w:r>
            <w:r w:rsidR="00FC22DB"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6.7 years, there was no mortality and no patient developed </w:t>
            </w:r>
            <w:r w:rsidR="00FC22DB" w:rsidRPr="00D40B19">
              <w:rPr>
                <w:rFonts w:ascii="Arial" w:hAnsi="Arial" w:cs="Arial"/>
                <w:color w:val="000000" w:themeColor="text1"/>
                <w:sz w:val="20"/>
                <w:szCs w:val="20"/>
              </w:rPr>
              <w:t>dilated cardiomyopathy</w:t>
            </w:r>
            <w:r w:rsidRPr="00D40B19">
              <w:rPr>
                <w:rFonts w:ascii="Arial" w:hAnsi="Arial" w:cs="Arial"/>
                <w:color w:val="000000" w:themeColor="text1"/>
                <w:sz w:val="20"/>
                <w:szCs w:val="20"/>
              </w:rPr>
              <w:t xml:space="preserve">. </w:t>
            </w:r>
          </w:p>
          <w:p w14:paraId="0F665A28" w14:textId="764AEA50" w:rsidR="00D44173" w:rsidRPr="00D40B19" w:rsidRDefault="00D44173" w:rsidP="00B05A29">
            <w:pPr>
              <w:spacing w:after="0" w:line="240" w:lineRule="auto"/>
              <w:rPr>
                <w:rFonts w:ascii="Arial" w:hAnsi="Arial" w:cs="Arial"/>
                <w:color w:val="000000" w:themeColor="text1"/>
                <w:sz w:val="20"/>
                <w:szCs w:val="20"/>
              </w:rPr>
            </w:pPr>
          </w:p>
        </w:tc>
      </w:tr>
      <w:tr w:rsidR="009D78BE" w:rsidRPr="009D78BE" w14:paraId="22E0090C" w14:textId="77777777" w:rsidTr="00D40B19">
        <w:tc>
          <w:tcPr>
            <w:tcW w:w="1728" w:type="dxa"/>
          </w:tcPr>
          <w:p w14:paraId="0E7A019C" w14:textId="5538E9A9" w:rsidR="00EA082A" w:rsidRPr="00D40B19" w:rsidRDefault="008C48F3"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Balmer</w:t>
            </w:r>
            <w:r w:rsidR="0058456A" w:rsidRPr="00D40B19">
              <w:rPr>
                <w:rFonts w:ascii="Arial" w:hAnsi="Arial" w:cs="Arial"/>
                <w:bCs/>
                <w:color w:val="000000" w:themeColor="text1"/>
                <w:sz w:val="20"/>
                <w:szCs w:val="20"/>
              </w:rPr>
              <w:t xml:space="preserve"> et al</w:t>
            </w:r>
            <w:r w:rsidR="00D13BC5" w:rsidRPr="00D40B19">
              <w:rPr>
                <w:rFonts w:ascii="Arial" w:hAnsi="Arial" w:cs="Arial"/>
                <w:color w:val="000000" w:themeColor="text1"/>
                <w:sz w:val="20"/>
                <w:szCs w:val="20"/>
                <w:vertAlign w:val="superscript"/>
              </w:rPr>
              <w:t>32</w:t>
            </w:r>
          </w:p>
        </w:tc>
        <w:tc>
          <w:tcPr>
            <w:tcW w:w="784" w:type="dxa"/>
          </w:tcPr>
          <w:p w14:paraId="799C7C02" w14:textId="1DA6F872" w:rsidR="00EA082A" w:rsidRPr="00D40B19" w:rsidRDefault="008C48F3"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2002</w:t>
            </w:r>
          </w:p>
        </w:tc>
        <w:tc>
          <w:tcPr>
            <w:tcW w:w="1533" w:type="dxa"/>
          </w:tcPr>
          <w:p w14:paraId="034E5DBA" w14:textId="696701AC" w:rsidR="00EA082A" w:rsidRPr="00D40B19" w:rsidRDefault="004A3C3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530" w:type="dxa"/>
          </w:tcPr>
          <w:p w14:paraId="4AE0E5C3" w14:textId="02216BF4" w:rsidR="00EA082A" w:rsidRPr="00D40B19" w:rsidRDefault="004A3C38"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32 p</w:t>
            </w:r>
            <w:r w:rsidR="006E7031" w:rsidRPr="00D40B19">
              <w:rPr>
                <w:rFonts w:ascii="Arial" w:eastAsiaTheme="minorEastAsia" w:hAnsi="Arial" w:cs="Arial"/>
                <w:bCs/>
                <w:color w:val="000000" w:themeColor="text1"/>
                <w:sz w:val="20"/>
                <w:szCs w:val="20"/>
              </w:rPr>
              <w:t>a</w:t>
            </w:r>
            <w:r w:rsidRPr="00D40B19">
              <w:rPr>
                <w:rFonts w:ascii="Arial" w:eastAsiaTheme="minorEastAsia" w:hAnsi="Arial" w:cs="Arial"/>
                <w:bCs/>
                <w:color w:val="000000" w:themeColor="text1"/>
                <w:sz w:val="20"/>
                <w:szCs w:val="20"/>
              </w:rPr>
              <w:t>t</w:t>
            </w:r>
            <w:r w:rsidR="006E7031" w:rsidRPr="00D40B19">
              <w:rPr>
                <w:rFonts w:ascii="Arial" w:eastAsiaTheme="minorEastAsia" w:hAnsi="Arial" w:cs="Arial"/>
                <w:bCs/>
                <w:color w:val="000000" w:themeColor="text1"/>
                <w:sz w:val="20"/>
                <w:szCs w:val="20"/>
              </w:rPr>
              <w:t>ient</w:t>
            </w:r>
            <w:r w:rsidRPr="00D40B19">
              <w:rPr>
                <w:rFonts w:ascii="Arial" w:eastAsiaTheme="minorEastAsia" w:hAnsi="Arial" w:cs="Arial"/>
                <w:bCs/>
                <w:color w:val="000000" w:themeColor="text1"/>
                <w:sz w:val="20"/>
                <w:szCs w:val="20"/>
              </w:rPr>
              <w:t>s</w:t>
            </w:r>
            <w:r w:rsidR="004B70C4" w:rsidRPr="00D40B19">
              <w:rPr>
                <w:rFonts w:ascii="Arial" w:eastAsiaTheme="minorEastAsia" w:hAnsi="Arial" w:cs="Arial"/>
                <w:bCs/>
                <w:color w:val="000000" w:themeColor="text1"/>
                <w:sz w:val="20"/>
                <w:szCs w:val="20"/>
              </w:rPr>
              <w:t>;</w:t>
            </w:r>
          </w:p>
          <w:p w14:paraId="706E6BEE" w14:textId="2FB805DE" w:rsidR="004A3C38" w:rsidRPr="00D40B19" w:rsidRDefault="004B70C4"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m</w:t>
            </w:r>
            <w:r w:rsidR="004A3C38" w:rsidRPr="00D40B19">
              <w:rPr>
                <w:rFonts w:ascii="Arial" w:eastAsiaTheme="minorEastAsia" w:hAnsi="Arial" w:cs="Arial"/>
                <w:bCs/>
                <w:color w:val="000000" w:themeColor="text1"/>
                <w:sz w:val="20"/>
                <w:szCs w:val="20"/>
              </w:rPr>
              <w:t>edian age 0.4 y</w:t>
            </w:r>
            <w:r w:rsidR="006E7031" w:rsidRPr="00D40B19">
              <w:rPr>
                <w:rFonts w:ascii="Arial" w:eastAsiaTheme="minorEastAsia" w:hAnsi="Arial" w:cs="Arial"/>
                <w:bCs/>
                <w:color w:val="000000" w:themeColor="text1"/>
                <w:sz w:val="20"/>
                <w:szCs w:val="20"/>
              </w:rPr>
              <w:t>ea</w:t>
            </w:r>
            <w:r w:rsidR="004A3C38" w:rsidRPr="00D40B19">
              <w:rPr>
                <w:rFonts w:ascii="Arial" w:eastAsiaTheme="minorEastAsia" w:hAnsi="Arial" w:cs="Arial"/>
                <w:bCs/>
                <w:color w:val="000000" w:themeColor="text1"/>
                <w:sz w:val="20"/>
                <w:szCs w:val="20"/>
              </w:rPr>
              <w:t>rs</w:t>
            </w:r>
          </w:p>
        </w:tc>
        <w:tc>
          <w:tcPr>
            <w:tcW w:w="1710" w:type="dxa"/>
          </w:tcPr>
          <w:p w14:paraId="572F6E9E" w14:textId="41C5DC15" w:rsidR="00EA082A" w:rsidRPr="00D40B19" w:rsidRDefault="004A3C38" w:rsidP="00D40B19">
            <w:pPr>
              <w:spacing w:after="0" w:line="240" w:lineRule="auto"/>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CCAVB w</w:t>
            </w:r>
            <w:r w:rsidR="00FE2F2A" w:rsidRPr="00D40B19">
              <w:rPr>
                <w:rFonts w:ascii="Arial" w:eastAsiaTheme="minorEastAsia" w:hAnsi="Arial" w:cs="Arial"/>
                <w:color w:val="000000" w:themeColor="text1"/>
                <w:sz w:val="20"/>
                <w:szCs w:val="20"/>
              </w:rPr>
              <w:t>ith or without</w:t>
            </w:r>
            <w:r w:rsidRPr="00D40B19">
              <w:rPr>
                <w:rFonts w:ascii="Arial" w:eastAsiaTheme="minorEastAsia" w:hAnsi="Arial" w:cs="Arial"/>
                <w:color w:val="000000" w:themeColor="text1"/>
                <w:sz w:val="20"/>
                <w:szCs w:val="20"/>
              </w:rPr>
              <w:t xml:space="preserve"> CHD</w:t>
            </w:r>
          </w:p>
        </w:tc>
        <w:tc>
          <w:tcPr>
            <w:tcW w:w="2160" w:type="dxa"/>
          </w:tcPr>
          <w:p w14:paraId="6DA3CCEB" w14:textId="2A12BD57" w:rsidR="004A3C38" w:rsidRPr="00D40B19" w:rsidRDefault="00D436C0"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Pacemaker </w:t>
            </w:r>
            <w:r w:rsidR="004A3C38" w:rsidRPr="00D40B19">
              <w:rPr>
                <w:rFonts w:ascii="Arial" w:hAnsi="Arial" w:cs="Arial"/>
                <w:color w:val="000000" w:themeColor="text1"/>
                <w:sz w:val="20"/>
                <w:szCs w:val="20"/>
              </w:rPr>
              <w:t>implant:</w:t>
            </w:r>
            <w:r w:rsidR="00FE2F2A" w:rsidRPr="00D40B19">
              <w:rPr>
                <w:rFonts w:ascii="Arial" w:hAnsi="Arial" w:cs="Arial"/>
                <w:color w:val="000000" w:themeColor="text1"/>
                <w:sz w:val="20"/>
                <w:szCs w:val="20"/>
              </w:rPr>
              <w:t xml:space="preserve"> </w:t>
            </w:r>
            <w:r w:rsidR="004A3C38" w:rsidRPr="00D40B19">
              <w:rPr>
                <w:rFonts w:ascii="Arial" w:hAnsi="Arial" w:cs="Arial"/>
                <w:color w:val="000000" w:themeColor="text1"/>
                <w:sz w:val="20"/>
                <w:szCs w:val="20"/>
              </w:rPr>
              <w:t>frequency</w:t>
            </w:r>
            <w:r w:rsidR="00FE2F2A" w:rsidRPr="00D40B19">
              <w:rPr>
                <w:rFonts w:ascii="Arial" w:hAnsi="Arial" w:cs="Arial"/>
                <w:color w:val="000000" w:themeColor="text1"/>
                <w:sz w:val="20"/>
                <w:szCs w:val="20"/>
              </w:rPr>
              <w:t>,</w:t>
            </w:r>
          </w:p>
          <w:p w14:paraId="3C7A7A08" w14:textId="2BF66C87" w:rsidR="00FE2F2A" w:rsidRPr="00D40B19" w:rsidRDefault="004A3C3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indications</w:t>
            </w:r>
            <w:r w:rsidR="00FE2F2A" w:rsidRPr="00D40B19">
              <w:rPr>
                <w:rFonts w:ascii="Arial" w:hAnsi="Arial" w:cs="Arial"/>
                <w:color w:val="000000" w:themeColor="text1"/>
                <w:sz w:val="20"/>
                <w:szCs w:val="20"/>
              </w:rPr>
              <w:t>,</w:t>
            </w:r>
          </w:p>
          <w:p w14:paraId="51B37632" w14:textId="09E57290" w:rsidR="004A3C38" w:rsidRPr="00D40B19" w:rsidRDefault="004A3C3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outcome</w:t>
            </w:r>
          </w:p>
        </w:tc>
        <w:tc>
          <w:tcPr>
            <w:tcW w:w="2880" w:type="dxa"/>
          </w:tcPr>
          <w:p w14:paraId="7104E098" w14:textId="0D105C7A" w:rsidR="00EA082A" w:rsidRPr="00D40B19" w:rsidRDefault="004A3C38">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All 9 p</w:t>
            </w:r>
            <w:r w:rsidR="00F34813"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F34813" w:rsidRPr="00D40B19">
              <w:rPr>
                <w:rFonts w:ascii="Arial" w:hAnsi="Arial" w:cs="Arial"/>
                <w:color w:val="000000" w:themeColor="text1"/>
                <w:sz w:val="20"/>
                <w:szCs w:val="20"/>
              </w:rPr>
              <w:t>ient</w:t>
            </w:r>
            <w:r w:rsidRPr="00D40B19">
              <w:rPr>
                <w:rFonts w:ascii="Arial" w:hAnsi="Arial" w:cs="Arial"/>
                <w:color w:val="000000" w:themeColor="text1"/>
                <w:sz w:val="20"/>
                <w:szCs w:val="20"/>
              </w:rPr>
              <w:t xml:space="preserve">s with CHD paced; 17/23 </w:t>
            </w:r>
            <w:r w:rsidR="0032244D">
              <w:rPr>
                <w:rFonts w:ascii="Arial" w:hAnsi="Arial" w:cs="Arial"/>
                <w:color w:val="000000" w:themeColor="text1"/>
                <w:sz w:val="20"/>
                <w:szCs w:val="20"/>
              </w:rPr>
              <w:t>without</w:t>
            </w:r>
            <w:r w:rsidRPr="00D40B19">
              <w:rPr>
                <w:rFonts w:ascii="Arial" w:hAnsi="Arial" w:cs="Arial"/>
                <w:color w:val="000000" w:themeColor="text1"/>
                <w:sz w:val="20"/>
                <w:szCs w:val="20"/>
              </w:rPr>
              <w:t xml:space="preserve"> CHD paced. Indications: rate 15, low CO 8, syncope 3. P</w:t>
            </w:r>
            <w:r w:rsidR="00FC22DB" w:rsidRPr="00D40B19">
              <w:rPr>
                <w:rFonts w:ascii="Arial" w:hAnsi="Arial" w:cs="Arial"/>
                <w:color w:val="000000" w:themeColor="text1"/>
                <w:sz w:val="20"/>
                <w:szCs w:val="20"/>
              </w:rPr>
              <w:t>acemaker-</w:t>
            </w:r>
            <w:r w:rsidRPr="00D40B19">
              <w:rPr>
                <w:rFonts w:ascii="Arial" w:hAnsi="Arial" w:cs="Arial"/>
                <w:color w:val="000000" w:themeColor="text1"/>
                <w:sz w:val="20"/>
                <w:szCs w:val="20"/>
              </w:rPr>
              <w:t>related complication in 11/46;</w:t>
            </w:r>
            <w:r w:rsidR="00FC22DB" w:rsidRPr="00D40B19">
              <w:rPr>
                <w:rFonts w:ascii="Arial" w:hAnsi="Arial" w:cs="Arial"/>
                <w:color w:val="000000" w:themeColor="text1"/>
                <w:sz w:val="20"/>
                <w:szCs w:val="20"/>
              </w:rPr>
              <w:t xml:space="preserve"> 1</w:t>
            </w:r>
            <w:r w:rsidRPr="00D40B19">
              <w:rPr>
                <w:rFonts w:ascii="Arial" w:hAnsi="Arial" w:cs="Arial"/>
                <w:color w:val="000000" w:themeColor="text1"/>
                <w:sz w:val="20"/>
                <w:szCs w:val="20"/>
              </w:rPr>
              <w:t xml:space="preserve"> death</w:t>
            </w:r>
            <w:r w:rsidR="0003386F" w:rsidRPr="00D40B19">
              <w:rPr>
                <w:rFonts w:ascii="Arial" w:hAnsi="Arial" w:cs="Arial"/>
                <w:color w:val="000000" w:themeColor="text1"/>
                <w:sz w:val="20"/>
                <w:szCs w:val="20"/>
              </w:rPr>
              <w:t>.</w:t>
            </w:r>
          </w:p>
          <w:p w14:paraId="6CCA2AFC" w14:textId="4E6AC498" w:rsidR="00D44173" w:rsidRPr="00D40B19" w:rsidRDefault="00D44173" w:rsidP="00D40B19">
            <w:pPr>
              <w:spacing w:after="0" w:line="240" w:lineRule="auto"/>
              <w:rPr>
                <w:rFonts w:ascii="Arial" w:hAnsi="Arial" w:cs="Arial"/>
                <w:color w:val="000000" w:themeColor="text1"/>
                <w:sz w:val="20"/>
                <w:szCs w:val="20"/>
              </w:rPr>
            </w:pPr>
          </w:p>
        </w:tc>
      </w:tr>
      <w:tr w:rsidR="009D78BE" w:rsidRPr="009D78BE" w14:paraId="32AC6709" w14:textId="77777777" w:rsidTr="00D40B19">
        <w:tc>
          <w:tcPr>
            <w:tcW w:w="1728" w:type="dxa"/>
          </w:tcPr>
          <w:p w14:paraId="0AD5F819" w14:textId="47B87D73" w:rsidR="00EA082A" w:rsidRPr="00D40B19" w:rsidRDefault="002B2117" w:rsidP="00B05A29">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lastRenderedPageBreak/>
              <w:t>Jaeggi</w:t>
            </w:r>
            <w:proofErr w:type="spellEnd"/>
            <w:r w:rsidR="0058456A" w:rsidRPr="00D40B19">
              <w:rPr>
                <w:rFonts w:ascii="Arial" w:hAnsi="Arial" w:cs="Arial"/>
                <w:bCs/>
                <w:color w:val="000000" w:themeColor="text1"/>
                <w:sz w:val="20"/>
                <w:szCs w:val="20"/>
              </w:rPr>
              <w:t xml:space="preserve"> et al</w:t>
            </w:r>
            <w:r w:rsidR="00D13BC5" w:rsidRPr="00D40B19">
              <w:rPr>
                <w:rFonts w:ascii="Arial" w:hAnsi="Arial" w:cs="Arial"/>
                <w:color w:val="000000" w:themeColor="text1"/>
                <w:sz w:val="20"/>
                <w:szCs w:val="20"/>
                <w:vertAlign w:val="superscript"/>
              </w:rPr>
              <w:t>30</w:t>
            </w:r>
          </w:p>
        </w:tc>
        <w:tc>
          <w:tcPr>
            <w:tcW w:w="784" w:type="dxa"/>
          </w:tcPr>
          <w:p w14:paraId="4D9B7E58" w14:textId="42E51C52" w:rsidR="00EA082A" w:rsidRPr="00D40B19" w:rsidRDefault="00FB407C"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2002</w:t>
            </w:r>
          </w:p>
        </w:tc>
        <w:tc>
          <w:tcPr>
            <w:tcW w:w="1533" w:type="dxa"/>
          </w:tcPr>
          <w:p w14:paraId="614AD6B3" w14:textId="0BB18969" w:rsidR="00EA082A" w:rsidRPr="00D40B19" w:rsidRDefault="00FB407C"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530" w:type="dxa"/>
          </w:tcPr>
          <w:p w14:paraId="2F077BAC" w14:textId="34F13273" w:rsidR="00EA082A" w:rsidRPr="00D40B19" w:rsidRDefault="00FB407C"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102 p</w:t>
            </w:r>
            <w:r w:rsidR="006E7031" w:rsidRPr="00D40B19">
              <w:rPr>
                <w:rFonts w:ascii="Arial" w:eastAsiaTheme="minorEastAsia" w:hAnsi="Arial" w:cs="Arial"/>
                <w:bCs/>
                <w:color w:val="000000" w:themeColor="text1"/>
                <w:sz w:val="20"/>
                <w:szCs w:val="20"/>
              </w:rPr>
              <w:t>a</w:t>
            </w:r>
            <w:r w:rsidRPr="00D40B19">
              <w:rPr>
                <w:rFonts w:ascii="Arial" w:eastAsiaTheme="minorEastAsia" w:hAnsi="Arial" w:cs="Arial"/>
                <w:bCs/>
                <w:color w:val="000000" w:themeColor="text1"/>
                <w:sz w:val="20"/>
                <w:szCs w:val="20"/>
              </w:rPr>
              <w:t>t</w:t>
            </w:r>
            <w:r w:rsidR="006E7031" w:rsidRPr="00D40B19">
              <w:rPr>
                <w:rFonts w:ascii="Arial" w:eastAsiaTheme="minorEastAsia" w:hAnsi="Arial" w:cs="Arial"/>
                <w:bCs/>
                <w:color w:val="000000" w:themeColor="text1"/>
                <w:sz w:val="20"/>
                <w:szCs w:val="20"/>
              </w:rPr>
              <w:t>ient</w:t>
            </w:r>
            <w:r w:rsidRPr="00D40B19">
              <w:rPr>
                <w:rFonts w:ascii="Arial" w:eastAsiaTheme="minorEastAsia" w:hAnsi="Arial" w:cs="Arial"/>
                <w:bCs/>
                <w:color w:val="000000" w:themeColor="text1"/>
                <w:sz w:val="20"/>
                <w:szCs w:val="20"/>
              </w:rPr>
              <w:t>s;</w:t>
            </w:r>
          </w:p>
          <w:p w14:paraId="053FBE27" w14:textId="5AB741E2" w:rsidR="00FB407C" w:rsidRPr="00D40B19" w:rsidRDefault="00FB407C"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 xml:space="preserve">29 fetal </w:t>
            </w:r>
            <w:r w:rsidR="00FC22DB" w:rsidRPr="00D40B19">
              <w:rPr>
                <w:rFonts w:ascii="Arial" w:eastAsiaTheme="minorEastAsia" w:hAnsi="Arial" w:cs="Arial"/>
                <w:bCs/>
                <w:color w:val="000000" w:themeColor="text1"/>
                <w:sz w:val="20"/>
                <w:szCs w:val="20"/>
              </w:rPr>
              <w:t>(</w:t>
            </w:r>
            <w:r w:rsidRPr="00D40B19">
              <w:rPr>
                <w:rFonts w:ascii="Arial" w:eastAsiaTheme="minorEastAsia" w:hAnsi="Arial" w:cs="Arial"/>
                <w:bCs/>
                <w:color w:val="000000" w:themeColor="text1"/>
                <w:sz w:val="20"/>
                <w:szCs w:val="20"/>
              </w:rPr>
              <w:t>F</w:t>
            </w:r>
            <w:r w:rsidR="00FC22DB" w:rsidRPr="00D40B19">
              <w:rPr>
                <w:rFonts w:ascii="Arial" w:eastAsiaTheme="minorEastAsia" w:hAnsi="Arial" w:cs="Arial"/>
                <w:bCs/>
                <w:color w:val="000000" w:themeColor="text1"/>
                <w:sz w:val="20"/>
                <w:szCs w:val="20"/>
              </w:rPr>
              <w:t>),</w:t>
            </w:r>
            <w:r w:rsidRPr="00D40B19">
              <w:rPr>
                <w:rFonts w:ascii="Arial" w:eastAsiaTheme="minorEastAsia" w:hAnsi="Arial" w:cs="Arial"/>
                <w:bCs/>
                <w:color w:val="000000" w:themeColor="text1"/>
                <w:sz w:val="20"/>
                <w:szCs w:val="20"/>
              </w:rPr>
              <w:t>33 neonate</w:t>
            </w:r>
            <w:r w:rsidR="00FC22DB" w:rsidRPr="00D40B19">
              <w:rPr>
                <w:rFonts w:ascii="Arial" w:eastAsiaTheme="minorEastAsia" w:hAnsi="Arial" w:cs="Arial"/>
                <w:bCs/>
                <w:color w:val="000000" w:themeColor="text1"/>
                <w:sz w:val="20"/>
                <w:szCs w:val="20"/>
              </w:rPr>
              <w:t xml:space="preserve"> (</w:t>
            </w:r>
            <w:r w:rsidRPr="00D40B19">
              <w:rPr>
                <w:rFonts w:ascii="Arial" w:eastAsiaTheme="minorEastAsia" w:hAnsi="Arial" w:cs="Arial"/>
                <w:bCs/>
                <w:color w:val="000000" w:themeColor="text1"/>
                <w:sz w:val="20"/>
                <w:szCs w:val="20"/>
              </w:rPr>
              <w:t>N</w:t>
            </w:r>
            <w:r w:rsidR="00FC22DB" w:rsidRPr="00D40B19">
              <w:rPr>
                <w:rFonts w:ascii="Arial" w:eastAsiaTheme="minorEastAsia" w:hAnsi="Arial" w:cs="Arial"/>
                <w:bCs/>
                <w:color w:val="000000" w:themeColor="text1"/>
                <w:sz w:val="20"/>
                <w:szCs w:val="20"/>
              </w:rPr>
              <w:t>),</w:t>
            </w:r>
          </w:p>
          <w:p w14:paraId="0F1B7DFA" w14:textId="436764D3" w:rsidR="00FB407C" w:rsidRPr="00D40B19" w:rsidRDefault="00FB407C" w:rsidP="00D40B19">
            <w:pPr>
              <w:spacing w:after="0" w:line="240" w:lineRule="auto"/>
              <w:rPr>
                <w:rFonts w:ascii="Arial" w:eastAsiaTheme="minorEastAsia" w:hAnsi="Arial" w:cs="Arial"/>
                <w:bCs/>
                <w:color w:val="000000" w:themeColor="text1"/>
                <w:sz w:val="20"/>
                <w:szCs w:val="20"/>
              </w:rPr>
            </w:pPr>
            <w:r w:rsidRPr="00D40B19">
              <w:rPr>
                <w:rFonts w:ascii="Arial" w:eastAsiaTheme="minorEastAsia" w:hAnsi="Arial" w:cs="Arial"/>
                <w:bCs/>
                <w:color w:val="000000" w:themeColor="text1"/>
                <w:sz w:val="20"/>
                <w:szCs w:val="20"/>
              </w:rPr>
              <w:t>40 children</w:t>
            </w:r>
            <w:r w:rsidR="00FC22DB" w:rsidRPr="00D40B19">
              <w:rPr>
                <w:rFonts w:ascii="Arial" w:eastAsiaTheme="minorEastAsia" w:hAnsi="Arial" w:cs="Arial"/>
                <w:bCs/>
                <w:color w:val="000000" w:themeColor="text1"/>
                <w:sz w:val="20"/>
                <w:szCs w:val="20"/>
              </w:rPr>
              <w:t xml:space="preserve"> (C)</w:t>
            </w:r>
          </w:p>
        </w:tc>
        <w:tc>
          <w:tcPr>
            <w:tcW w:w="1710" w:type="dxa"/>
          </w:tcPr>
          <w:p w14:paraId="2CBC9758" w14:textId="5027DAED" w:rsidR="00EA082A" w:rsidRPr="00D40B19" w:rsidRDefault="00FB407C" w:rsidP="00D40B19">
            <w:pPr>
              <w:spacing w:after="0" w:line="240" w:lineRule="auto"/>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Isolated CCAVB</w:t>
            </w:r>
          </w:p>
        </w:tc>
        <w:tc>
          <w:tcPr>
            <w:tcW w:w="2160" w:type="dxa"/>
          </w:tcPr>
          <w:p w14:paraId="058B40FD" w14:textId="72CADBEA" w:rsidR="00FB407C" w:rsidRPr="00D40B19" w:rsidRDefault="00FB407C"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w:t>
            </w:r>
            <w:r w:rsidR="00D436C0" w:rsidRPr="00D40B19">
              <w:rPr>
                <w:rFonts w:ascii="Arial" w:hAnsi="Arial" w:cs="Arial"/>
                <w:color w:val="000000" w:themeColor="text1"/>
                <w:sz w:val="20"/>
                <w:szCs w:val="20"/>
              </w:rPr>
              <w:t>acemaker</w:t>
            </w:r>
            <w:r w:rsidRPr="00D40B19">
              <w:rPr>
                <w:rFonts w:ascii="Arial" w:hAnsi="Arial" w:cs="Arial"/>
                <w:color w:val="000000" w:themeColor="text1"/>
                <w:sz w:val="20"/>
                <w:szCs w:val="20"/>
              </w:rPr>
              <w:t xml:space="preserve"> implant:</w:t>
            </w:r>
            <w:r w:rsidR="00FE2F2A"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frequency</w:t>
            </w:r>
            <w:r w:rsidR="00FE2F2A" w:rsidRPr="00D40B19">
              <w:rPr>
                <w:rFonts w:ascii="Arial" w:hAnsi="Arial" w:cs="Arial"/>
                <w:color w:val="000000" w:themeColor="text1"/>
                <w:sz w:val="20"/>
                <w:szCs w:val="20"/>
              </w:rPr>
              <w:t>,</w:t>
            </w:r>
          </w:p>
          <w:p w14:paraId="5A06D54C" w14:textId="6B63975E" w:rsidR="00EA082A" w:rsidRPr="00D40B19" w:rsidRDefault="00FB407C"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indications</w:t>
            </w:r>
            <w:r w:rsidR="00FE2F2A"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outcome</w:t>
            </w:r>
          </w:p>
        </w:tc>
        <w:tc>
          <w:tcPr>
            <w:tcW w:w="2880" w:type="dxa"/>
          </w:tcPr>
          <w:p w14:paraId="2202B962" w14:textId="7FD92772" w:rsidR="00EA082A" w:rsidRPr="00D40B19" w:rsidRDefault="00FB407C"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F</w:t>
            </w:r>
            <w:r w:rsidRPr="00D40B19">
              <w:rPr>
                <w:rFonts w:ascii="Arial" w:hAnsi="Arial" w:cs="Arial"/>
                <w:sz w:val="20"/>
                <w:szCs w:val="20"/>
              </w:rPr>
              <w:t>,</w:t>
            </w:r>
            <w:r w:rsidR="00FC22DB" w:rsidRPr="00D40B19">
              <w:rPr>
                <w:rFonts w:ascii="Arial" w:hAnsi="Arial" w:cs="Arial"/>
                <w:color w:val="000000" w:themeColor="text1"/>
                <w:sz w:val="20"/>
                <w:szCs w:val="20"/>
              </w:rPr>
              <w:t xml:space="preserve">N,C </w:t>
            </w:r>
            <w:r w:rsidRPr="00D40B19">
              <w:rPr>
                <w:rFonts w:ascii="Arial" w:hAnsi="Arial" w:cs="Arial"/>
                <w:color w:val="000000" w:themeColor="text1"/>
                <w:sz w:val="20"/>
                <w:szCs w:val="20"/>
              </w:rPr>
              <w:t>mortality 43%</w:t>
            </w:r>
            <w:r w:rsidR="00FC22DB"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6%</w:t>
            </w:r>
            <w:r w:rsidR="00FC22DB"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0% </w:t>
            </w:r>
            <w:r w:rsidR="00D40B19">
              <w:rPr>
                <w:rFonts w:ascii="Arial" w:hAnsi="Arial" w:cs="Arial"/>
                <w:color w:val="000000" w:themeColor="text1"/>
                <w:sz w:val="20"/>
                <w:szCs w:val="20"/>
              </w:rPr>
              <w:t xml:space="preserve"> respectively, </w:t>
            </w:r>
            <w:r w:rsidRPr="00D40B19">
              <w:rPr>
                <w:rFonts w:ascii="Arial" w:hAnsi="Arial" w:cs="Arial"/>
                <w:color w:val="000000" w:themeColor="text1"/>
                <w:sz w:val="20"/>
                <w:szCs w:val="20"/>
              </w:rPr>
              <w:t>up to 20 y</w:t>
            </w:r>
            <w:r w:rsidR="00FC22DB" w:rsidRPr="00D40B19">
              <w:rPr>
                <w:rFonts w:ascii="Arial" w:hAnsi="Arial" w:cs="Arial"/>
                <w:color w:val="000000" w:themeColor="text1"/>
                <w:sz w:val="20"/>
                <w:szCs w:val="20"/>
              </w:rPr>
              <w:t>ea</w:t>
            </w:r>
            <w:r w:rsidRPr="00D40B19">
              <w:rPr>
                <w:rFonts w:ascii="Arial" w:hAnsi="Arial" w:cs="Arial"/>
                <w:color w:val="000000" w:themeColor="text1"/>
                <w:sz w:val="20"/>
                <w:szCs w:val="20"/>
              </w:rPr>
              <w:t xml:space="preserve">rs </w:t>
            </w:r>
            <w:r w:rsidR="00FC22DB" w:rsidRPr="00D40B19">
              <w:rPr>
                <w:rFonts w:ascii="Arial" w:hAnsi="Arial" w:cs="Arial"/>
                <w:color w:val="000000" w:themeColor="text1"/>
                <w:sz w:val="20"/>
                <w:szCs w:val="20"/>
              </w:rPr>
              <w:t xml:space="preserve">of </w:t>
            </w:r>
            <w:r w:rsidRPr="00D40B19">
              <w:rPr>
                <w:rFonts w:ascii="Arial" w:hAnsi="Arial" w:cs="Arial"/>
                <w:color w:val="000000" w:themeColor="text1"/>
                <w:sz w:val="20"/>
                <w:szCs w:val="20"/>
              </w:rPr>
              <w:t>age.</w:t>
            </w:r>
          </w:p>
          <w:p w14:paraId="18D685AC" w14:textId="525A95E1" w:rsidR="00FB407C" w:rsidRPr="00D40B19" w:rsidRDefault="00D40B19" w:rsidP="00D40B19">
            <w:pPr>
              <w:spacing w:after="0" w:line="240" w:lineRule="auto"/>
              <w:rPr>
                <w:rFonts w:ascii="Arial" w:hAnsi="Arial" w:cs="Arial"/>
                <w:color w:val="000000" w:themeColor="text1"/>
                <w:sz w:val="20"/>
                <w:szCs w:val="20"/>
              </w:rPr>
            </w:pPr>
            <w:r>
              <w:rPr>
                <w:rFonts w:ascii="Arial" w:hAnsi="Arial" w:cs="Arial"/>
                <w:color w:val="000000" w:themeColor="text1"/>
                <w:sz w:val="20"/>
                <w:szCs w:val="20"/>
              </w:rPr>
              <w:sym w:font="Symbol" w:char="F0AD"/>
            </w:r>
            <w:r w:rsidR="00620147">
              <w:rPr>
                <w:rFonts w:ascii="Arial" w:hAnsi="Arial" w:cs="Arial"/>
                <w:color w:val="000000" w:themeColor="text1"/>
                <w:sz w:val="20"/>
                <w:szCs w:val="20"/>
              </w:rPr>
              <w:t xml:space="preserve"> </w:t>
            </w:r>
            <w:r w:rsidR="00FB407C" w:rsidRPr="00D40B19">
              <w:rPr>
                <w:rFonts w:ascii="Arial" w:hAnsi="Arial" w:cs="Arial"/>
                <w:color w:val="000000" w:themeColor="text1"/>
                <w:sz w:val="20"/>
                <w:szCs w:val="20"/>
              </w:rPr>
              <w:t>Mortality</w:t>
            </w:r>
            <w:r>
              <w:rPr>
                <w:rFonts w:ascii="Arial" w:hAnsi="Arial" w:cs="Arial"/>
                <w:color w:val="000000" w:themeColor="text1"/>
                <w:sz w:val="20"/>
                <w:szCs w:val="20"/>
              </w:rPr>
              <w:t xml:space="preserve"> with </w:t>
            </w:r>
            <w:r w:rsidR="00620147">
              <w:rPr>
                <w:rFonts w:ascii="Arial" w:hAnsi="Arial" w:cs="Arial"/>
                <w:color w:val="000000" w:themeColor="text1"/>
                <w:sz w:val="20"/>
                <w:szCs w:val="20"/>
              </w:rPr>
              <w:t>f</w:t>
            </w:r>
            <w:r>
              <w:rPr>
                <w:rFonts w:ascii="Arial" w:hAnsi="Arial" w:cs="Arial"/>
                <w:color w:val="000000" w:themeColor="text1"/>
                <w:sz w:val="20"/>
                <w:szCs w:val="20"/>
              </w:rPr>
              <w:t>etal diagnosis</w:t>
            </w:r>
            <w:r w:rsidR="00FB407C" w:rsidRPr="00D40B19">
              <w:rPr>
                <w:rFonts w:ascii="Arial" w:hAnsi="Arial" w:cs="Arial"/>
                <w:color w:val="000000" w:themeColor="text1"/>
                <w:sz w:val="20"/>
                <w:szCs w:val="20"/>
              </w:rPr>
              <w:t xml:space="preserve">, </w:t>
            </w:r>
            <w:r w:rsidR="00FC22DB" w:rsidRPr="00D40B19">
              <w:rPr>
                <w:rFonts w:ascii="Arial" w:hAnsi="Arial" w:cs="Arial"/>
                <w:color w:val="000000" w:themeColor="text1"/>
                <w:sz w:val="20"/>
                <w:szCs w:val="20"/>
              </w:rPr>
              <w:t>hydrops</w:t>
            </w:r>
            <w:r w:rsidR="00FB407C" w:rsidRPr="00D40B19">
              <w:rPr>
                <w:rFonts w:ascii="Arial" w:hAnsi="Arial" w:cs="Arial"/>
                <w:color w:val="000000" w:themeColor="text1"/>
                <w:sz w:val="20"/>
                <w:szCs w:val="20"/>
              </w:rPr>
              <w:t xml:space="preserve">, </w:t>
            </w:r>
            <w:r w:rsidR="00F05BED">
              <w:rPr>
                <w:rFonts w:ascii="Arial" w:hAnsi="Arial" w:cs="Arial"/>
                <w:color w:val="000000" w:themeColor="text1"/>
                <w:sz w:val="20"/>
                <w:szCs w:val="20"/>
              </w:rPr>
              <w:t xml:space="preserve">endocardial </w:t>
            </w:r>
            <w:proofErr w:type="spellStart"/>
            <w:r w:rsidR="00F05BED">
              <w:rPr>
                <w:rFonts w:ascii="Arial" w:hAnsi="Arial" w:cs="Arial"/>
                <w:color w:val="000000" w:themeColor="text1"/>
                <w:sz w:val="20"/>
                <w:szCs w:val="20"/>
              </w:rPr>
              <w:t>fibroelastosis</w:t>
            </w:r>
            <w:proofErr w:type="spellEnd"/>
            <w:r w:rsidR="00F05BED">
              <w:rPr>
                <w:rFonts w:ascii="Arial" w:hAnsi="Arial" w:cs="Arial"/>
                <w:color w:val="000000" w:themeColor="text1"/>
                <w:sz w:val="20"/>
                <w:szCs w:val="20"/>
              </w:rPr>
              <w:t xml:space="preserve">, delivery </w:t>
            </w:r>
            <w:r w:rsidR="00F05BED">
              <w:rPr>
                <w:rFonts w:ascii="Arial" w:hAnsi="Arial" w:cs="Arial"/>
                <w:color w:val="000000" w:themeColor="text1"/>
                <w:sz w:val="20"/>
                <w:szCs w:val="20"/>
              </w:rPr>
              <w:sym w:font="Symbol" w:char="F0A3"/>
            </w:r>
            <w:r w:rsidR="00F05BED">
              <w:rPr>
                <w:rFonts w:ascii="Arial" w:hAnsi="Arial" w:cs="Arial"/>
                <w:color w:val="000000" w:themeColor="text1"/>
                <w:sz w:val="20"/>
                <w:szCs w:val="20"/>
              </w:rPr>
              <w:t xml:space="preserve"> 32 weeks.</w:t>
            </w:r>
          </w:p>
          <w:p w14:paraId="3DCA5C59" w14:textId="37BD3F9C" w:rsidR="00B05A29" w:rsidRPr="00D40B19" w:rsidRDefault="00FB407C">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P</w:t>
            </w:r>
            <w:r w:rsidR="00FC22DB" w:rsidRPr="00D40B19">
              <w:rPr>
                <w:rFonts w:ascii="Arial" w:hAnsi="Arial" w:cs="Arial"/>
                <w:color w:val="000000" w:themeColor="text1"/>
                <w:sz w:val="20"/>
                <w:szCs w:val="20"/>
              </w:rPr>
              <w:t>acemaker</w:t>
            </w:r>
            <w:r w:rsidRPr="00D40B19">
              <w:rPr>
                <w:rFonts w:ascii="Arial" w:hAnsi="Arial" w:cs="Arial"/>
                <w:color w:val="000000" w:themeColor="text1"/>
                <w:sz w:val="20"/>
                <w:szCs w:val="20"/>
              </w:rPr>
              <w:t xml:space="preserve"> implant earlier age with F and N. By 20 </w:t>
            </w:r>
            <w:r w:rsidR="00EE2737" w:rsidRPr="00D40B19">
              <w:rPr>
                <w:rFonts w:ascii="Arial" w:hAnsi="Arial" w:cs="Arial"/>
                <w:color w:val="000000" w:themeColor="text1"/>
                <w:sz w:val="20"/>
                <w:szCs w:val="20"/>
              </w:rPr>
              <w:t>years of age</w:t>
            </w:r>
            <w:r w:rsidRPr="00D40B19">
              <w:rPr>
                <w:rFonts w:ascii="Arial" w:hAnsi="Arial" w:cs="Arial"/>
                <w:color w:val="000000" w:themeColor="text1"/>
                <w:sz w:val="20"/>
                <w:szCs w:val="20"/>
              </w:rPr>
              <w:t xml:space="preserve">, only 115 (N) and 12% </w:t>
            </w:r>
            <w:r w:rsidR="00FC22DB" w:rsidRPr="00D40B19">
              <w:rPr>
                <w:rFonts w:ascii="Arial" w:hAnsi="Arial" w:cs="Arial"/>
                <w:color w:val="000000" w:themeColor="text1"/>
                <w:sz w:val="20"/>
                <w:szCs w:val="20"/>
              </w:rPr>
              <w:t>(</w:t>
            </w:r>
            <w:r w:rsidRPr="00D40B19">
              <w:rPr>
                <w:rFonts w:ascii="Arial" w:hAnsi="Arial" w:cs="Arial"/>
                <w:color w:val="000000" w:themeColor="text1"/>
                <w:sz w:val="20"/>
                <w:szCs w:val="20"/>
              </w:rPr>
              <w:t>C) not paced</w:t>
            </w:r>
            <w:r w:rsidR="000338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p>
          <w:p w14:paraId="5331A5A4" w14:textId="11A9E532" w:rsidR="00D44173" w:rsidRPr="00D40B19" w:rsidRDefault="00D44173" w:rsidP="00D40B19">
            <w:pPr>
              <w:spacing w:after="0" w:line="240" w:lineRule="auto"/>
              <w:rPr>
                <w:rFonts w:ascii="Arial" w:hAnsi="Arial" w:cs="Arial"/>
                <w:color w:val="000000" w:themeColor="text1"/>
                <w:sz w:val="20"/>
                <w:szCs w:val="20"/>
              </w:rPr>
            </w:pPr>
          </w:p>
        </w:tc>
      </w:tr>
      <w:tr w:rsidR="009D78BE" w:rsidRPr="009D78BE" w14:paraId="3FBC48B8" w14:textId="77777777" w:rsidTr="005A7328">
        <w:trPr>
          <w:trHeight w:val="576"/>
        </w:trPr>
        <w:tc>
          <w:tcPr>
            <w:tcW w:w="12325" w:type="dxa"/>
            <w:gridSpan w:val="7"/>
          </w:tcPr>
          <w:p w14:paraId="2DC6D3E8" w14:textId="52D409B6" w:rsidR="00EA082A" w:rsidRPr="00D40B19" w:rsidRDefault="00EA082A" w:rsidP="00B05A29">
            <w:pPr>
              <w:spacing w:after="0" w:line="240" w:lineRule="auto"/>
              <w:contextualSpacing/>
              <w:rPr>
                <w:rFonts w:ascii="Arial" w:hAnsi="Arial" w:cs="Arial"/>
                <w:b/>
                <w:color w:val="000000" w:themeColor="text1"/>
                <w:sz w:val="24"/>
                <w:szCs w:val="24"/>
              </w:rPr>
            </w:pPr>
            <w:r w:rsidRPr="009D78BE">
              <w:rPr>
                <w:rFonts w:ascii="Arial" w:hAnsi="Arial" w:cs="Arial"/>
                <w:b/>
                <w:color w:val="000000" w:themeColor="text1"/>
                <w:sz w:val="24"/>
                <w:szCs w:val="24"/>
              </w:rPr>
              <w:t xml:space="preserve">Postoperative </w:t>
            </w:r>
            <w:r w:rsidR="001C2122" w:rsidRPr="0050678F">
              <w:rPr>
                <w:rFonts w:ascii="Arial" w:hAnsi="Arial" w:cs="Arial"/>
                <w:b/>
                <w:color w:val="000000" w:themeColor="text1"/>
                <w:sz w:val="24"/>
                <w:szCs w:val="24"/>
              </w:rPr>
              <w:t xml:space="preserve">Atrioventricular </w:t>
            </w:r>
            <w:r w:rsidR="00EF0CAD" w:rsidRPr="0050678F">
              <w:rPr>
                <w:rFonts w:ascii="Arial" w:hAnsi="Arial" w:cs="Arial"/>
                <w:b/>
                <w:color w:val="000000" w:themeColor="text1"/>
                <w:sz w:val="24"/>
                <w:szCs w:val="24"/>
              </w:rPr>
              <w:t>Block</w:t>
            </w:r>
          </w:p>
        </w:tc>
      </w:tr>
      <w:tr w:rsidR="009D78BE" w:rsidRPr="009D78BE" w14:paraId="0BE7D9EE" w14:textId="77777777" w:rsidTr="00D40B19">
        <w:tc>
          <w:tcPr>
            <w:tcW w:w="1728" w:type="dxa"/>
          </w:tcPr>
          <w:p w14:paraId="4A81B5C1" w14:textId="485C3AE5" w:rsidR="00EA082A" w:rsidRPr="00D40B19" w:rsidRDefault="00EA082A" w:rsidP="00B05A29">
            <w:pPr>
              <w:pStyle w:val="NoSpacing"/>
              <w:rPr>
                <w:rFonts w:ascii="Arial" w:hAnsi="Arial" w:cs="Arial"/>
                <w:color w:val="000000" w:themeColor="text1"/>
                <w:sz w:val="22"/>
                <w:szCs w:val="22"/>
              </w:rPr>
            </w:pPr>
            <w:r w:rsidRPr="00D40B19">
              <w:rPr>
                <w:rFonts w:ascii="Arial" w:hAnsi="Arial" w:cs="Arial"/>
                <w:b/>
                <w:color w:val="000000" w:themeColor="text1"/>
                <w:sz w:val="22"/>
                <w:szCs w:val="22"/>
              </w:rPr>
              <w:t>Study author and reference</w:t>
            </w:r>
          </w:p>
        </w:tc>
        <w:tc>
          <w:tcPr>
            <w:tcW w:w="784" w:type="dxa"/>
          </w:tcPr>
          <w:p w14:paraId="6D2679FD" w14:textId="1C57D797"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Year</w:t>
            </w:r>
          </w:p>
        </w:tc>
        <w:tc>
          <w:tcPr>
            <w:tcW w:w="1533" w:type="dxa"/>
          </w:tcPr>
          <w:p w14:paraId="7822C6AF" w14:textId="70F683DC"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design</w:t>
            </w:r>
          </w:p>
        </w:tc>
        <w:tc>
          <w:tcPr>
            <w:tcW w:w="1530" w:type="dxa"/>
          </w:tcPr>
          <w:p w14:paraId="692D1771" w14:textId="3C2D7E1E" w:rsidR="00EA082A" w:rsidRPr="00D40B19" w:rsidRDefault="00EA082A" w:rsidP="00D40B19">
            <w:pPr>
              <w:spacing w:after="0" w:line="240" w:lineRule="auto"/>
              <w:rPr>
                <w:rFonts w:ascii="Arial" w:hAnsi="Arial" w:cs="Arial"/>
                <w:color w:val="000000" w:themeColor="text1"/>
              </w:rPr>
            </w:pPr>
            <w:r w:rsidRPr="00D40B19">
              <w:rPr>
                <w:rFonts w:ascii="Arial" w:eastAsiaTheme="minorEastAsia" w:hAnsi="Arial" w:cs="Arial"/>
                <w:b/>
                <w:bCs/>
                <w:color w:val="000000" w:themeColor="text1"/>
              </w:rPr>
              <w:t>Patient population</w:t>
            </w:r>
          </w:p>
        </w:tc>
        <w:tc>
          <w:tcPr>
            <w:tcW w:w="1710" w:type="dxa"/>
          </w:tcPr>
          <w:p w14:paraId="01E92B3D" w14:textId="384C0DA8"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Inclusion criteria</w:t>
            </w:r>
          </w:p>
        </w:tc>
        <w:tc>
          <w:tcPr>
            <w:tcW w:w="2160" w:type="dxa"/>
          </w:tcPr>
          <w:p w14:paraId="692C66D3" w14:textId="58B4A7D1"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Endpoints</w:t>
            </w:r>
          </w:p>
        </w:tc>
        <w:tc>
          <w:tcPr>
            <w:tcW w:w="2880" w:type="dxa"/>
          </w:tcPr>
          <w:p w14:paraId="6771982D" w14:textId="3986715C"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6B4AFD7B" w14:textId="77777777" w:rsidTr="00D40B19">
        <w:tc>
          <w:tcPr>
            <w:tcW w:w="1728" w:type="dxa"/>
          </w:tcPr>
          <w:p w14:paraId="0CDDBAE6" w14:textId="31233B35" w:rsidR="00EA082A" w:rsidRPr="00D40B19" w:rsidRDefault="00EA082A"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Romer</w:t>
            </w:r>
            <w:r w:rsidR="0058456A"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51</w:t>
            </w:r>
            <w:r w:rsidRPr="00D40B19">
              <w:rPr>
                <w:rFonts w:ascii="Arial" w:hAnsi="Arial" w:cs="Arial"/>
                <w:color w:val="000000" w:themeColor="text1"/>
                <w:sz w:val="20"/>
                <w:szCs w:val="20"/>
              </w:rPr>
              <w:t xml:space="preserve">  </w:t>
            </w:r>
          </w:p>
          <w:p w14:paraId="6AA47DA7"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43755CB0" w14:textId="3157D25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2019</w:t>
            </w:r>
          </w:p>
        </w:tc>
        <w:tc>
          <w:tcPr>
            <w:tcW w:w="1533" w:type="dxa"/>
          </w:tcPr>
          <w:p w14:paraId="112C08DA" w14:textId="49289F4D"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Multicenter retrospective  cohort study from Pediatric Cardiac Critical Care Consortium (PC4) </w:t>
            </w:r>
            <w:r w:rsidR="00E6304A" w:rsidRPr="00D40B19">
              <w:rPr>
                <w:rFonts w:ascii="Arial" w:hAnsi="Arial" w:cs="Arial"/>
                <w:color w:val="000000" w:themeColor="text1"/>
                <w:sz w:val="20"/>
                <w:szCs w:val="20"/>
              </w:rPr>
              <w:t xml:space="preserve">Registry </w:t>
            </w:r>
          </w:p>
          <w:p w14:paraId="0871B0CB" w14:textId="2BF1D765"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0C9821F5" w14:textId="69BD4F7D" w:rsidR="00EA082A" w:rsidRPr="00D40B19" w:rsidRDefault="00EA082A" w:rsidP="00D40B19">
            <w:pPr>
              <w:spacing w:after="0"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 xml:space="preserve">15,901 </w:t>
            </w:r>
            <w:r w:rsidR="004B70C4" w:rsidRPr="00D40B19">
              <w:rPr>
                <w:rFonts w:ascii="Arial" w:hAnsi="Arial" w:cs="Arial"/>
                <w:color w:val="000000" w:themeColor="text1"/>
                <w:sz w:val="20"/>
                <w:szCs w:val="20"/>
              </w:rPr>
              <w:t>patients</w:t>
            </w:r>
          </w:p>
        </w:tc>
        <w:tc>
          <w:tcPr>
            <w:tcW w:w="1710" w:type="dxa"/>
          </w:tcPr>
          <w:p w14:paraId="0AE1BCF8" w14:textId="2B856B4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Hospitalized patients without preoperative AV block or pacemakers who underwent an index CHD operation between 2014 </w:t>
            </w:r>
            <w:r w:rsidR="006E7031"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 xml:space="preserve">2017 </w:t>
            </w:r>
          </w:p>
          <w:p w14:paraId="435B6F0C" w14:textId="17823443" w:rsidR="00EA082A" w:rsidRPr="00D40B19" w:rsidRDefault="00EA082A" w:rsidP="00D40B19">
            <w:pPr>
              <w:spacing w:after="0" w:line="240" w:lineRule="auto"/>
              <w:rPr>
                <w:rFonts w:ascii="Arial" w:hAnsi="Arial" w:cs="Arial"/>
                <w:color w:val="000000" w:themeColor="text1"/>
                <w:sz w:val="20"/>
                <w:szCs w:val="20"/>
              </w:rPr>
            </w:pPr>
          </w:p>
        </w:tc>
        <w:tc>
          <w:tcPr>
            <w:tcW w:w="2160" w:type="dxa"/>
          </w:tcPr>
          <w:p w14:paraId="47A6373E" w14:textId="47FF710D" w:rsidR="006E7031"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1) </w:t>
            </w:r>
            <w:r w:rsidR="00FE2F2A" w:rsidRPr="00D40B19">
              <w:rPr>
                <w:rFonts w:ascii="Arial" w:hAnsi="Arial" w:cs="Arial"/>
                <w:color w:val="000000" w:themeColor="text1"/>
                <w:sz w:val="20"/>
                <w:szCs w:val="20"/>
              </w:rPr>
              <w:t>P</w:t>
            </w:r>
            <w:r w:rsidRPr="00D40B19">
              <w:rPr>
                <w:rFonts w:ascii="Arial" w:hAnsi="Arial" w:cs="Arial"/>
                <w:color w:val="000000" w:themeColor="text1"/>
                <w:sz w:val="20"/>
                <w:szCs w:val="20"/>
              </w:rPr>
              <w:t>ostoperative AV block</w:t>
            </w:r>
            <w:r w:rsidR="00FE2F2A" w:rsidRPr="00D40B19">
              <w:rPr>
                <w:rFonts w:ascii="Arial" w:hAnsi="Arial" w:cs="Arial"/>
                <w:color w:val="000000" w:themeColor="text1"/>
                <w:sz w:val="20"/>
                <w:szCs w:val="20"/>
              </w:rPr>
              <w:t>,</w:t>
            </w:r>
          </w:p>
          <w:p w14:paraId="6F5FDF36" w14:textId="2DA0ED6B"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2) </w:t>
            </w:r>
            <w:r w:rsidR="00FE2F2A" w:rsidRPr="00D40B19">
              <w:rPr>
                <w:rFonts w:ascii="Arial" w:hAnsi="Arial" w:cs="Arial"/>
                <w:color w:val="000000" w:themeColor="text1"/>
                <w:sz w:val="20"/>
                <w:szCs w:val="20"/>
              </w:rPr>
              <w:t>r</w:t>
            </w:r>
            <w:r w:rsidRPr="00D40B19">
              <w:rPr>
                <w:rFonts w:ascii="Arial" w:hAnsi="Arial" w:cs="Arial"/>
                <w:color w:val="000000" w:themeColor="text1"/>
                <w:sz w:val="20"/>
                <w:szCs w:val="20"/>
              </w:rPr>
              <w:t>estoration of normal conduction after postoperative AV block</w:t>
            </w:r>
            <w:r w:rsidR="00FE2F2A"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and </w:t>
            </w:r>
          </w:p>
          <w:p w14:paraId="59F9D901" w14:textId="62F51628"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 3) freedom from pacemaker implantation</w:t>
            </w:r>
          </w:p>
          <w:p w14:paraId="6106D799"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25BFFE4C" w14:textId="29F7D1D9"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2D276019" w14:textId="2DD915A4" w:rsidR="00B05A29"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The incidence of high</w:t>
            </w:r>
            <w:r w:rsidR="004365BE"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grade </w:t>
            </w:r>
            <w:r w:rsidR="004365BE" w:rsidRPr="00D40B19">
              <w:rPr>
                <w:rFonts w:ascii="Arial" w:hAnsi="Arial" w:cs="Arial"/>
                <w:color w:val="000000" w:themeColor="text1"/>
                <w:sz w:val="20"/>
                <w:szCs w:val="20"/>
              </w:rPr>
              <w:t>second-</w:t>
            </w:r>
            <w:r w:rsidRPr="00D40B19">
              <w:rPr>
                <w:rFonts w:ascii="Arial" w:hAnsi="Arial" w:cs="Arial"/>
                <w:color w:val="000000" w:themeColor="text1"/>
                <w:sz w:val="20"/>
                <w:szCs w:val="20"/>
              </w:rPr>
              <w:t>degree and/or CAVB was 2.7%, and the incidence of persistent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xml:space="preserve"> beyond 7 days and/or requiring </w:t>
            </w:r>
            <w:r w:rsidR="0003386F" w:rsidRPr="00D40B19">
              <w:rPr>
                <w:rFonts w:ascii="Arial" w:hAnsi="Arial" w:cs="Arial"/>
                <w:color w:val="000000" w:themeColor="text1"/>
                <w:sz w:val="20"/>
                <w:szCs w:val="20"/>
              </w:rPr>
              <w:t xml:space="preserve">pacemaker </w:t>
            </w:r>
            <w:r w:rsidRPr="00D40B19">
              <w:rPr>
                <w:rFonts w:ascii="Arial" w:hAnsi="Arial" w:cs="Arial"/>
                <w:color w:val="000000" w:themeColor="text1"/>
                <w:sz w:val="20"/>
                <w:szCs w:val="20"/>
              </w:rPr>
              <w:t>was 1%. In patients with transient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median time to resolution was 1.9 days (IQR 0.82</w:t>
            </w:r>
            <w:r w:rsidR="004365BE"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4.8); 86% recovered conduction by 7 days and 94% by 10 days.</w:t>
            </w:r>
          </w:p>
          <w:p w14:paraId="518B6267" w14:textId="7DD42687" w:rsidR="00EA082A" w:rsidRPr="00D40B19" w:rsidRDefault="00EA082A" w:rsidP="00D40B19">
            <w:pPr>
              <w:spacing w:after="0" w:line="240" w:lineRule="auto"/>
              <w:contextualSpacing/>
              <w:rPr>
                <w:rFonts w:ascii="Arial" w:hAnsi="Arial" w:cs="Arial"/>
                <w:color w:val="000000" w:themeColor="text1"/>
                <w:sz w:val="20"/>
                <w:szCs w:val="20"/>
              </w:rPr>
            </w:pPr>
          </w:p>
        </w:tc>
      </w:tr>
      <w:tr w:rsidR="009D78BE" w:rsidRPr="009D78BE" w14:paraId="0088A966" w14:textId="77777777" w:rsidTr="00D40B19">
        <w:trPr>
          <w:trHeight w:val="3542"/>
        </w:trPr>
        <w:tc>
          <w:tcPr>
            <w:tcW w:w="1728" w:type="dxa"/>
          </w:tcPr>
          <w:p w14:paraId="2F226FEB" w14:textId="5F7A6F11" w:rsidR="00EA082A" w:rsidRPr="00D40B19" w:rsidRDefault="00EA082A"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lastRenderedPageBreak/>
              <w:t>Aziz</w:t>
            </w:r>
            <w:r w:rsidR="0058456A"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52</w:t>
            </w:r>
            <w:r w:rsidRPr="00D40B19">
              <w:rPr>
                <w:rFonts w:ascii="Arial" w:hAnsi="Arial" w:cs="Arial"/>
                <w:color w:val="000000" w:themeColor="text1"/>
                <w:sz w:val="20"/>
                <w:szCs w:val="20"/>
              </w:rPr>
              <w:t xml:space="preserve"> </w:t>
            </w:r>
          </w:p>
          <w:p w14:paraId="74193CE8" w14:textId="7DE4CAD4" w:rsidR="00EA082A" w:rsidRPr="00D40B19" w:rsidRDefault="00EA082A" w:rsidP="00B05A29">
            <w:pPr>
              <w:pStyle w:val="NoSpacing"/>
              <w:rPr>
                <w:rFonts w:ascii="Arial" w:hAnsi="Arial" w:cs="Arial"/>
                <w:color w:val="000000" w:themeColor="text1"/>
                <w:sz w:val="20"/>
                <w:szCs w:val="20"/>
                <w:vertAlign w:val="superscript"/>
              </w:rPr>
            </w:pPr>
          </w:p>
        </w:tc>
        <w:tc>
          <w:tcPr>
            <w:tcW w:w="784" w:type="dxa"/>
          </w:tcPr>
          <w:p w14:paraId="0742901D" w14:textId="572C61D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2012</w:t>
            </w:r>
          </w:p>
        </w:tc>
        <w:tc>
          <w:tcPr>
            <w:tcW w:w="1533" w:type="dxa"/>
          </w:tcPr>
          <w:p w14:paraId="1F9F5784" w14:textId="7C1FFD1B"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cohort study </w:t>
            </w:r>
          </w:p>
        </w:tc>
        <w:tc>
          <w:tcPr>
            <w:tcW w:w="1530" w:type="dxa"/>
          </w:tcPr>
          <w:p w14:paraId="3EED3886" w14:textId="6EC18571" w:rsidR="00EA082A" w:rsidRPr="00D40B19" w:rsidRDefault="00EA082A" w:rsidP="00D40B19">
            <w:pPr>
              <w:spacing w:after="0"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 xml:space="preserve">44 </w:t>
            </w:r>
            <w:r w:rsidR="004B70C4" w:rsidRPr="00D40B19">
              <w:rPr>
                <w:rFonts w:ascii="Arial" w:hAnsi="Arial" w:cs="Arial"/>
                <w:color w:val="000000" w:themeColor="text1"/>
                <w:sz w:val="20"/>
                <w:szCs w:val="20"/>
              </w:rPr>
              <w:t>patients</w:t>
            </w:r>
          </w:p>
        </w:tc>
        <w:tc>
          <w:tcPr>
            <w:tcW w:w="1710" w:type="dxa"/>
          </w:tcPr>
          <w:p w14:paraId="6F4D5A2A" w14:textId="723DEE6A"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Patients with transient AV block after CHD surgery between 1994</w:t>
            </w:r>
            <w:r w:rsidR="006E7031" w:rsidRPr="00D40B19">
              <w:rPr>
                <w:rFonts w:ascii="Arial" w:hAnsi="Arial" w:cs="Arial"/>
                <w:color w:val="000000" w:themeColor="text1"/>
                <w:sz w:val="20"/>
                <w:szCs w:val="20"/>
              </w:rPr>
              <w:t xml:space="preserve"> and</w:t>
            </w:r>
            <w:r w:rsidRPr="00D40B19">
              <w:rPr>
                <w:rFonts w:ascii="Arial" w:hAnsi="Arial" w:cs="Arial"/>
                <w:color w:val="000000" w:themeColor="text1"/>
                <w:sz w:val="20"/>
                <w:szCs w:val="20"/>
              </w:rPr>
              <w:t xml:space="preserve"> 2010 </w:t>
            </w:r>
          </w:p>
          <w:p w14:paraId="2D9E30CA" w14:textId="7BDB93E4" w:rsidR="00EA082A" w:rsidRPr="00D40B19" w:rsidRDefault="00EA082A" w:rsidP="00D40B19">
            <w:pPr>
              <w:spacing w:after="0" w:line="240" w:lineRule="auto"/>
              <w:rPr>
                <w:rFonts w:ascii="Arial" w:hAnsi="Arial" w:cs="Arial"/>
                <w:color w:val="000000" w:themeColor="text1"/>
                <w:sz w:val="20"/>
                <w:szCs w:val="20"/>
              </w:rPr>
            </w:pPr>
          </w:p>
        </w:tc>
        <w:tc>
          <w:tcPr>
            <w:tcW w:w="2160" w:type="dxa"/>
          </w:tcPr>
          <w:p w14:paraId="28C2937F" w14:textId="0588ECFB" w:rsidR="00EA082A" w:rsidRPr="00D40B19" w:rsidRDefault="00EA082A" w:rsidP="00B05A2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Late AV block after recovery from transient AV block</w:t>
            </w:r>
          </w:p>
        </w:tc>
        <w:tc>
          <w:tcPr>
            <w:tcW w:w="2880" w:type="dxa"/>
          </w:tcPr>
          <w:p w14:paraId="36CD7CCA" w14:textId="4A38C57B" w:rsidR="00B05A29" w:rsidRPr="00D40B19" w:rsidRDefault="00EA082A" w:rsidP="00D44173">
            <w:pPr>
              <w:spacing w:after="0" w:line="240" w:lineRule="auto"/>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rPr>
              <w:t>15.9% developed late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xml:space="preserve">, occurring as late at ~9 years following initial recovery of AV conduction. </w:t>
            </w:r>
            <w:r w:rsidRPr="00D40B19">
              <w:rPr>
                <w:rFonts w:ascii="Arial" w:hAnsi="Arial" w:cs="Arial"/>
                <w:color w:val="000000" w:themeColor="text1"/>
                <w:sz w:val="20"/>
                <w:szCs w:val="20"/>
                <w:shd w:val="clear" w:color="auto" w:fill="FFFFFF"/>
              </w:rPr>
              <w:t>The median duration of transient AV block was 5 days compared with 9 days in the late AV block group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shd w:val="clear" w:color="auto" w:fill="FFFFFF"/>
              </w:rPr>
              <w:t xml:space="preserve"> = .01). The risk of late AV block for the patients with 7 days of postoperative transient AV block or longer was 13 times greater than for the patients with fewer than 7 days of transient AV block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shd w:val="clear" w:color="auto" w:fill="FFFFFF"/>
              </w:rPr>
              <w:t xml:space="preserve"> = .01).</w:t>
            </w:r>
          </w:p>
          <w:p w14:paraId="4BA12802" w14:textId="74BDF784" w:rsidR="00D44173" w:rsidRPr="00D40B19" w:rsidRDefault="00D44173" w:rsidP="00D40B19">
            <w:pPr>
              <w:spacing w:after="0" w:line="240" w:lineRule="auto"/>
              <w:rPr>
                <w:rFonts w:ascii="Arial" w:hAnsi="Arial" w:cs="Arial"/>
                <w:color w:val="000000" w:themeColor="text1"/>
                <w:sz w:val="20"/>
                <w:szCs w:val="20"/>
              </w:rPr>
            </w:pPr>
          </w:p>
        </w:tc>
      </w:tr>
      <w:tr w:rsidR="009D78BE" w:rsidRPr="009D78BE" w14:paraId="1A9AC753" w14:textId="77777777" w:rsidTr="00D40B19">
        <w:tc>
          <w:tcPr>
            <w:tcW w:w="1728" w:type="dxa"/>
          </w:tcPr>
          <w:p w14:paraId="5EE7A5B2" w14:textId="39AC0AB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Villain</w:t>
            </w:r>
            <w:r w:rsidR="0058456A"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55</w:t>
            </w:r>
            <w:r w:rsidRPr="00D40B19">
              <w:rPr>
                <w:rFonts w:ascii="Arial" w:hAnsi="Arial" w:cs="Arial"/>
                <w:color w:val="000000" w:themeColor="text1"/>
                <w:sz w:val="20"/>
                <w:szCs w:val="20"/>
              </w:rPr>
              <w:t xml:space="preserve"> </w:t>
            </w:r>
          </w:p>
        </w:tc>
        <w:tc>
          <w:tcPr>
            <w:tcW w:w="784" w:type="dxa"/>
          </w:tcPr>
          <w:p w14:paraId="77CC8044" w14:textId="0DFEB0E1"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2003</w:t>
            </w:r>
          </w:p>
        </w:tc>
        <w:tc>
          <w:tcPr>
            <w:tcW w:w="1533" w:type="dxa"/>
          </w:tcPr>
          <w:p w14:paraId="7B61B267" w14:textId="7EFCD22D"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Two</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cohort study </w:t>
            </w:r>
          </w:p>
        </w:tc>
        <w:tc>
          <w:tcPr>
            <w:tcW w:w="1530" w:type="dxa"/>
          </w:tcPr>
          <w:p w14:paraId="6E060370" w14:textId="38DD2897" w:rsidR="00EA082A" w:rsidRPr="00D40B19" w:rsidRDefault="00EA082A" w:rsidP="00D40B19">
            <w:pPr>
              <w:spacing w:after="0"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 xml:space="preserve">11 </w:t>
            </w:r>
            <w:r w:rsidR="004B70C4" w:rsidRPr="00D40B19">
              <w:rPr>
                <w:rFonts w:ascii="Arial" w:hAnsi="Arial" w:cs="Arial"/>
                <w:color w:val="000000" w:themeColor="text1"/>
                <w:sz w:val="20"/>
                <w:szCs w:val="20"/>
              </w:rPr>
              <w:t>patients</w:t>
            </w:r>
          </w:p>
        </w:tc>
        <w:tc>
          <w:tcPr>
            <w:tcW w:w="1710" w:type="dxa"/>
          </w:tcPr>
          <w:p w14:paraId="77BEE0C9" w14:textId="4418080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Patients with transient CAVB after CHD surgery between 1988 and 2000 who developed permanent or paroxysmal CAVB &gt;1 month after surgery</w:t>
            </w:r>
          </w:p>
        </w:tc>
        <w:tc>
          <w:tcPr>
            <w:tcW w:w="2160" w:type="dxa"/>
          </w:tcPr>
          <w:p w14:paraId="70C27E05" w14:textId="29497759"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Late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xml:space="preserve"> after recovery from transient AV</w:t>
            </w:r>
            <w:r w:rsidR="003A29B1" w:rsidRPr="00D40B19">
              <w:rPr>
                <w:rFonts w:ascii="Arial" w:hAnsi="Arial" w:cs="Arial"/>
                <w:color w:val="000000" w:themeColor="text1"/>
                <w:sz w:val="20"/>
                <w:szCs w:val="20"/>
              </w:rPr>
              <w:t xml:space="preserve"> block</w:t>
            </w:r>
          </w:p>
        </w:tc>
        <w:tc>
          <w:tcPr>
            <w:tcW w:w="2880" w:type="dxa"/>
          </w:tcPr>
          <w:p w14:paraId="70698185" w14:textId="2C1121CF"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Among patients with transient postoperative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those with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xml:space="preserve"> lasting &gt;48 hours and change in QRS axis and/or had prolonged PR intervals after recovering AV conduction were at increased risk for developing late</w:t>
            </w:r>
            <w:r w:rsidR="000338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onset CAVB (2 months </w:t>
            </w:r>
            <w:r w:rsidR="004365BE" w:rsidRPr="00D40B19">
              <w:rPr>
                <w:rFonts w:ascii="Arial" w:hAnsi="Arial" w:cs="Arial"/>
                <w:color w:val="000000" w:themeColor="text1"/>
                <w:sz w:val="20"/>
                <w:szCs w:val="20"/>
              </w:rPr>
              <w:t>to</w:t>
            </w:r>
            <w:r w:rsidRPr="00D40B19">
              <w:rPr>
                <w:rFonts w:ascii="Arial" w:hAnsi="Arial" w:cs="Arial"/>
                <w:color w:val="000000" w:themeColor="text1"/>
                <w:sz w:val="20"/>
                <w:szCs w:val="20"/>
              </w:rPr>
              <w:t xml:space="preserve"> 10 years following CHD surgery).</w:t>
            </w:r>
          </w:p>
        </w:tc>
      </w:tr>
      <w:tr w:rsidR="009D78BE" w:rsidRPr="009D78BE" w14:paraId="08F013F9" w14:textId="77777777" w:rsidTr="00D40B19">
        <w:tc>
          <w:tcPr>
            <w:tcW w:w="1728" w:type="dxa"/>
          </w:tcPr>
          <w:p w14:paraId="181D230F" w14:textId="284AD0F3" w:rsidR="00EA082A" w:rsidRPr="00D40B19" w:rsidRDefault="00EA082A" w:rsidP="00B05A29">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Ayyildiz</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57</w:t>
            </w:r>
          </w:p>
        </w:tc>
        <w:tc>
          <w:tcPr>
            <w:tcW w:w="784" w:type="dxa"/>
          </w:tcPr>
          <w:p w14:paraId="30D6ABB9" w14:textId="223BB709"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2016</w:t>
            </w:r>
          </w:p>
        </w:tc>
        <w:tc>
          <w:tcPr>
            <w:tcW w:w="1533" w:type="dxa"/>
          </w:tcPr>
          <w:p w14:paraId="3686B7AB" w14:textId="593ED07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cohort study </w:t>
            </w:r>
          </w:p>
        </w:tc>
        <w:tc>
          <w:tcPr>
            <w:tcW w:w="1530" w:type="dxa"/>
          </w:tcPr>
          <w:p w14:paraId="1CC728F8" w14:textId="5C72DC5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w:t>
            </w:r>
            <w:r w:rsidR="00577814"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550 </w:t>
            </w:r>
            <w:r w:rsidR="004B70C4" w:rsidRPr="00D40B19">
              <w:rPr>
                <w:rFonts w:ascii="Arial" w:hAnsi="Arial" w:cs="Arial"/>
                <w:color w:val="000000" w:themeColor="text1"/>
                <w:sz w:val="20"/>
                <w:szCs w:val="20"/>
              </w:rPr>
              <w:t>patients</w:t>
            </w:r>
          </w:p>
          <w:p w14:paraId="1F7B79A7"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6940DE54" w14:textId="6B2C47B0" w:rsidR="00EA082A" w:rsidRPr="00D40B19" w:rsidRDefault="00EA082A" w:rsidP="00D40B19">
            <w:pPr>
              <w:spacing w:after="0" w:line="240" w:lineRule="auto"/>
              <w:rPr>
                <w:rFonts w:ascii="Arial" w:eastAsiaTheme="minorEastAsia" w:hAnsi="Arial" w:cs="Arial"/>
                <w:bCs/>
                <w:color w:val="000000" w:themeColor="text1"/>
                <w:sz w:val="20"/>
                <w:szCs w:val="20"/>
                <w:u w:val="single"/>
              </w:rPr>
            </w:pPr>
          </w:p>
        </w:tc>
        <w:tc>
          <w:tcPr>
            <w:tcW w:w="1710" w:type="dxa"/>
          </w:tcPr>
          <w:p w14:paraId="789E3A18" w14:textId="59CF7AE8" w:rsidR="00EA082A" w:rsidRPr="00D40B19" w:rsidRDefault="00EA082A" w:rsidP="00B05A29">
            <w:pPr>
              <w:spacing w:after="0" w:line="240" w:lineRule="auto"/>
              <w:contextualSpacing/>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shd w:val="clear" w:color="auto" w:fill="FFFFFF"/>
              </w:rPr>
              <w:t>Pediatric patients undergoing CHD surgery between 2010</w:t>
            </w:r>
            <w:r w:rsidR="004365BE" w:rsidRPr="00D40B19">
              <w:rPr>
                <w:rFonts w:ascii="Arial" w:hAnsi="Arial" w:cs="Arial"/>
                <w:color w:val="000000" w:themeColor="text1"/>
                <w:sz w:val="20"/>
                <w:szCs w:val="20"/>
                <w:shd w:val="clear" w:color="auto" w:fill="FFFFFF"/>
              </w:rPr>
              <w:t xml:space="preserve"> and </w:t>
            </w:r>
            <w:r w:rsidRPr="00D40B19">
              <w:rPr>
                <w:rFonts w:ascii="Arial" w:hAnsi="Arial" w:cs="Arial"/>
                <w:color w:val="000000" w:themeColor="text1"/>
                <w:sz w:val="20"/>
                <w:szCs w:val="20"/>
                <w:shd w:val="clear" w:color="auto" w:fill="FFFFFF"/>
              </w:rPr>
              <w:t>2015</w:t>
            </w:r>
          </w:p>
        </w:tc>
        <w:tc>
          <w:tcPr>
            <w:tcW w:w="2160" w:type="dxa"/>
          </w:tcPr>
          <w:p w14:paraId="6927950A" w14:textId="15916FC9"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Transient and persistent postoperative AV block</w:t>
            </w:r>
          </w:p>
        </w:tc>
        <w:tc>
          <w:tcPr>
            <w:tcW w:w="2880" w:type="dxa"/>
          </w:tcPr>
          <w:p w14:paraId="2E8D973F" w14:textId="453D7640"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shd w:val="clear" w:color="auto" w:fill="FFFFFF"/>
              </w:rPr>
              <w:t>Postoperative permanent and transient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shd w:val="clear" w:color="auto" w:fill="FFFFFF"/>
              </w:rPr>
              <w:t xml:space="preserve"> incidence rates were 1.9% and 4.2%, respectively. </w:t>
            </w:r>
            <w:r w:rsidRPr="00D40B19">
              <w:rPr>
                <w:rFonts w:ascii="Arial" w:hAnsi="Arial" w:cs="Arial"/>
                <w:color w:val="000000" w:themeColor="text1"/>
                <w:sz w:val="20"/>
                <w:szCs w:val="20"/>
              </w:rPr>
              <w:t>In transient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84% recovered by 7 days and 97% by 10 days.</w:t>
            </w:r>
          </w:p>
        </w:tc>
      </w:tr>
      <w:tr w:rsidR="009D78BE" w:rsidRPr="009D78BE" w14:paraId="1C5B7DD6" w14:textId="77777777" w:rsidTr="00D40B19">
        <w:tc>
          <w:tcPr>
            <w:tcW w:w="1728" w:type="dxa"/>
          </w:tcPr>
          <w:p w14:paraId="0E51D4F2" w14:textId="46B68B52" w:rsidR="00EA082A" w:rsidRPr="00D40B19" w:rsidRDefault="00EA082A" w:rsidP="00B05A29">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Huhta</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59</w:t>
            </w:r>
          </w:p>
        </w:tc>
        <w:tc>
          <w:tcPr>
            <w:tcW w:w="784" w:type="dxa"/>
          </w:tcPr>
          <w:p w14:paraId="74631370" w14:textId="688DAC5F"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1983</w:t>
            </w:r>
          </w:p>
        </w:tc>
        <w:tc>
          <w:tcPr>
            <w:tcW w:w="1533" w:type="dxa"/>
          </w:tcPr>
          <w:p w14:paraId="17EDB37D" w14:textId="61EE541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cohort study</w:t>
            </w:r>
          </w:p>
        </w:tc>
        <w:tc>
          <w:tcPr>
            <w:tcW w:w="1530" w:type="dxa"/>
          </w:tcPr>
          <w:p w14:paraId="150B895F" w14:textId="7C3CE1A9"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107 </w:t>
            </w:r>
            <w:r w:rsidR="004B70C4" w:rsidRPr="00D40B19">
              <w:rPr>
                <w:rFonts w:ascii="Arial" w:hAnsi="Arial" w:cs="Arial"/>
                <w:color w:val="000000" w:themeColor="text1"/>
                <w:sz w:val="20"/>
                <w:szCs w:val="20"/>
              </w:rPr>
              <w:t>patients</w:t>
            </w:r>
          </w:p>
        </w:tc>
        <w:tc>
          <w:tcPr>
            <w:tcW w:w="1710" w:type="dxa"/>
          </w:tcPr>
          <w:p w14:paraId="76A1B582" w14:textId="0E8CBCA3"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Patients with AV discordance (without situs ambiguous) evaluated </w:t>
            </w:r>
            <w:r w:rsidRPr="00D40B19">
              <w:rPr>
                <w:rFonts w:ascii="Arial" w:hAnsi="Arial" w:cs="Arial"/>
                <w:color w:val="000000" w:themeColor="text1"/>
                <w:sz w:val="20"/>
                <w:szCs w:val="20"/>
              </w:rPr>
              <w:lastRenderedPageBreak/>
              <w:t xml:space="preserve">between 1951 </w:t>
            </w:r>
            <w:r w:rsidR="004365BE"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1981</w:t>
            </w:r>
          </w:p>
        </w:tc>
        <w:tc>
          <w:tcPr>
            <w:tcW w:w="2160" w:type="dxa"/>
          </w:tcPr>
          <w:p w14:paraId="34BD3EAE" w14:textId="34923BC5"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Spontaneous complete AV block</w:t>
            </w:r>
          </w:p>
        </w:tc>
        <w:tc>
          <w:tcPr>
            <w:tcW w:w="2880" w:type="dxa"/>
          </w:tcPr>
          <w:p w14:paraId="5B1A55D4" w14:textId="6C0325BB"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Spontaneous AV block occurred in 21% patients. The risk of AV</w:t>
            </w:r>
            <w:r w:rsidR="003A29B1" w:rsidRPr="00D40B19">
              <w:rPr>
                <w:rFonts w:ascii="Arial" w:hAnsi="Arial" w:cs="Arial"/>
                <w:color w:val="000000" w:themeColor="text1"/>
                <w:sz w:val="20"/>
                <w:szCs w:val="20"/>
              </w:rPr>
              <w:t xml:space="preserve"> block</w:t>
            </w:r>
            <w:r w:rsidRPr="00D40B19">
              <w:rPr>
                <w:rFonts w:ascii="Arial" w:hAnsi="Arial" w:cs="Arial"/>
                <w:color w:val="000000" w:themeColor="text1"/>
                <w:sz w:val="20"/>
                <w:szCs w:val="20"/>
              </w:rPr>
              <w:t xml:space="preserve"> increased linearly with age at a range of ~2% per year.</w:t>
            </w:r>
          </w:p>
        </w:tc>
      </w:tr>
      <w:tr w:rsidR="009D78BE" w:rsidRPr="009D78BE" w14:paraId="0F32ACE8" w14:textId="77777777" w:rsidTr="005A7328">
        <w:tc>
          <w:tcPr>
            <w:tcW w:w="12325" w:type="dxa"/>
            <w:gridSpan w:val="7"/>
          </w:tcPr>
          <w:p w14:paraId="2ADD848C" w14:textId="616DB6CD" w:rsidR="00EA082A" w:rsidRPr="00D40B19" w:rsidRDefault="00711531" w:rsidP="00B05A29">
            <w:pPr>
              <w:spacing w:line="240" w:lineRule="auto"/>
              <w:rPr>
                <w:rFonts w:ascii="Arial" w:hAnsi="Arial" w:cs="Arial"/>
                <w:color w:val="000000" w:themeColor="text1"/>
                <w:sz w:val="20"/>
                <w:szCs w:val="20"/>
              </w:rPr>
            </w:pPr>
            <w:r w:rsidRPr="00D40B19">
              <w:rPr>
                <w:rFonts w:ascii="Arial" w:hAnsi="Arial" w:cs="Arial"/>
                <w:b/>
                <w:color w:val="000000" w:themeColor="text1"/>
              </w:rPr>
              <w:t xml:space="preserve">Congenital </w:t>
            </w:r>
            <w:r w:rsidR="001C2122" w:rsidRPr="009D78BE">
              <w:rPr>
                <w:rFonts w:ascii="Arial" w:hAnsi="Arial" w:cs="Arial"/>
                <w:b/>
                <w:color w:val="000000" w:themeColor="text1"/>
              </w:rPr>
              <w:t>Heart Disease</w:t>
            </w:r>
          </w:p>
        </w:tc>
      </w:tr>
      <w:tr w:rsidR="009D78BE" w:rsidRPr="009D78BE" w14:paraId="310AECC2" w14:textId="77777777" w:rsidTr="00D40B19">
        <w:tc>
          <w:tcPr>
            <w:tcW w:w="1728" w:type="dxa"/>
          </w:tcPr>
          <w:p w14:paraId="17874C0D" w14:textId="4FCB5558"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author</w:t>
            </w:r>
            <w:r w:rsidR="006D10B9">
              <w:rPr>
                <w:rFonts w:ascii="Arial" w:hAnsi="Arial" w:cs="Arial"/>
                <w:b/>
                <w:color w:val="000000" w:themeColor="text1"/>
              </w:rPr>
              <w:t xml:space="preserve"> </w:t>
            </w:r>
            <w:r w:rsidRPr="00D40B19">
              <w:rPr>
                <w:rFonts w:ascii="Arial" w:hAnsi="Arial" w:cs="Arial"/>
                <w:b/>
                <w:color w:val="000000" w:themeColor="text1"/>
              </w:rPr>
              <w:t>and reference</w:t>
            </w:r>
          </w:p>
        </w:tc>
        <w:tc>
          <w:tcPr>
            <w:tcW w:w="784" w:type="dxa"/>
          </w:tcPr>
          <w:p w14:paraId="3C7D4100" w14:textId="3155DD3C"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Year</w:t>
            </w:r>
          </w:p>
        </w:tc>
        <w:tc>
          <w:tcPr>
            <w:tcW w:w="1533" w:type="dxa"/>
          </w:tcPr>
          <w:p w14:paraId="2C337245" w14:textId="461521E9"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design</w:t>
            </w:r>
          </w:p>
        </w:tc>
        <w:tc>
          <w:tcPr>
            <w:tcW w:w="1530" w:type="dxa"/>
          </w:tcPr>
          <w:p w14:paraId="4CB38FAA" w14:textId="33C2BCB0" w:rsidR="00EA082A" w:rsidRPr="00D40B19" w:rsidRDefault="00EA082A" w:rsidP="00D40B19">
            <w:pPr>
              <w:spacing w:after="0" w:line="240" w:lineRule="auto"/>
              <w:rPr>
                <w:rFonts w:ascii="Arial" w:hAnsi="Arial" w:cs="Arial"/>
                <w:color w:val="000000" w:themeColor="text1"/>
              </w:rPr>
            </w:pPr>
            <w:r w:rsidRPr="00D40B19">
              <w:rPr>
                <w:rFonts w:ascii="Arial" w:eastAsiaTheme="minorEastAsia" w:hAnsi="Arial" w:cs="Arial"/>
                <w:b/>
                <w:bCs/>
                <w:color w:val="000000" w:themeColor="text1"/>
              </w:rPr>
              <w:t>Patient population</w:t>
            </w:r>
          </w:p>
        </w:tc>
        <w:tc>
          <w:tcPr>
            <w:tcW w:w="1710" w:type="dxa"/>
          </w:tcPr>
          <w:p w14:paraId="1F9B5B5B" w14:textId="50CD8BFF"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Inclusion criteria</w:t>
            </w:r>
          </w:p>
        </w:tc>
        <w:tc>
          <w:tcPr>
            <w:tcW w:w="2160" w:type="dxa"/>
          </w:tcPr>
          <w:p w14:paraId="260C696F" w14:textId="78808A3A" w:rsidR="00EA082A" w:rsidRPr="00D40B19" w:rsidRDefault="00EA082A"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Endpoints</w:t>
            </w:r>
          </w:p>
        </w:tc>
        <w:tc>
          <w:tcPr>
            <w:tcW w:w="2880" w:type="dxa"/>
          </w:tcPr>
          <w:p w14:paraId="453583B7" w14:textId="7167BAEA" w:rsidR="00EA082A" w:rsidRPr="00D40B19" w:rsidRDefault="00EA082A" w:rsidP="00B05A29">
            <w:pPr>
              <w:spacing w:line="240" w:lineRule="auto"/>
              <w:rPr>
                <w:rFonts w:ascii="Arial"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50F017C2" w14:textId="77777777" w:rsidTr="00D40B19">
        <w:tc>
          <w:tcPr>
            <w:tcW w:w="1728" w:type="dxa"/>
          </w:tcPr>
          <w:p w14:paraId="64662A09" w14:textId="36EA7307" w:rsidR="00EA082A" w:rsidRPr="00D40B19" w:rsidRDefault="00EA082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Pinsky</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37</w:t>
            </w:r>
          </w:p>
          <w:p w14:paraId="3E678DFC"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2686081C" w14:textId="6EBD0498"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7EF1CF11" w14:textId="25BA7F8F"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1982</w:t>
            </w:r>
          </w:p>
        </w:tc>
        <w:tc>
          <w:tcPr>
            <w:tcW w:w="1533" w:type="dxa"/>
          </w:tcPr>
          <w:p w14:paraId="1D007D11" w14:textId="4695E5B6"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cohort study</w:t>
            </w:r>
          </w:p>
          <w:p w14:paraId="36CAB4F1"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1DA1C886" w14:textId="7EBC6876"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62966E35" w14:textId="60A19BD6"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65</w:t>
            </w:r>
            <w:r w:rsidR="004B70C4" w:rsidRPr="00D40B19">
              <w:rPr>
                <w:rFonts w:ascii="Arial" w:hAnsi="Arial" w:cs="Arial"/>
                <w:color w:val="000000" w:themeColor="text1"/>
                <w:sz w:val="20"/>
                <w:szCs w:val="20"/>
              </w:rPr>
              <w:t xml:space="preserve"> patients; </w:t>
            </w:r>
            <w:r w:rsidRPr="00D40B19">
              <w:rPr>
                <w:rFonts w:ascii="Arial" w:hAnsi="Arial" w:cs="Arial"/>
                <w:color w:val="000000" w:themeColor="text1"/>
                <w:sz w:val="20"/>
                <w:szCs w:val="20"/>
              </w:rPr>
              <w:t>25 with CHD</w:t>
            </w:r>
          </w:p>
        </w:tc>
        <w:tc>
          <w:tcPr>
            <w:tcW w:w="1710" w:type="dxa"/>
          </w:tcPr>
          <w:p w14:paraId="400EC391" w14:textId="32E43BEE"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Patients with CCAVB between 1955</w:t>
            </w:r>
            <w:r w:rsidR="004365BE"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1979</w:t>
            </w:r>
          </w:p>
        </w:tc>
        <w:tc>
          <w:tcPr>
            <w:tcW w:w="2160" w:type="dxa"/>
          </w:tcPr>
          <w:p w14:paraId="3AB349E3" w14:textId="6081274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w:t>
            </w:r>
            <w:r w:rsidR="003A29B1"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Pacemaker implantation</w:t>
            </w:r>
          </w:p>
          <w:p w14:paraId="0B26537F" w14:textId="2583C4E3"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w:t>
            </w:r>
            <w:r w:rsidR="003A29B1"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Freedom from mortality</w:t>
            </w:r>
          </w:p>
          <w:p w14:paraId="11716320" w14:textId="54D99844"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45F4871C" w14:textId="22936C3D"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17</w:t>
            </w:r>
            <w:r w:rsidR="0003386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(26%) underwent </w:t>
            </w:r>
            <w:r w:rsidR="0003386F" w:rsidRPr="00D40B19">
              <w:rPr>
                <w:rFonts w:ascii="Arial" w:hAnsi="Arial" w:cs="Arial"/>
                <w:color w:val="000000" w:themeColor="text1"/>
                <w:sz w:val="20"/>
                <w:szCs w:val="20"/>
              </w:rPr>
              <w:t xml:space="preserve">pacemaker implantation, </w:t>
            </w:r>
            <w:r w:rsidRPr="00D40B19">
              <w:rPr>
                <w:rFonts w:ascii="Arial" w:hAnsi="Arial" w:cs="Arial"/>
                <w:color w:val="000000" w:themeColor="text1"/>
                <w:sz w:val="20"/>
                <w:szCs w:val="20"/>
              </w:rPr>
              <w:t>and 9 had CHD. Overall, death occurred in 28% of CHD patients vs. 4.6% of patients with structurally normal hearts (age at death: 1</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day</w:t>
            </w:r>
            <w:r w:rsidR="004B3D6D" w:rsidRPr="00D40B19">
              <w:rPr>
                <w:rFonts w:ascii="Arial" w:hAnsi="Arial" w:cs="Arial"/>
                <w:color w:val="000000" w:themeColor="text1"/>
                <w:sz w:val="20"/>
                <w:szCs w:val="20"/>
              </w:rPr>
              <w:t xml:space="preserve"> to</w:t>
            </w:r>
            <w:r w:rsidR="0003386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14 years of age). Of the 10</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(15%) who died, 7 (70%) deaths occurred in &lt;1 year of age and 7</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(70%) patients had CHD. </w:t>
            </w:r>
          </w:p>
        </w:tc>
      </w:tr>
      <w:tr w:rsidR="009D78BE" w:rsidRPr="009D78BE" w14:paraId="72AFB3FB" w14:textId="77777777" w:rsidTr="00D40B19">
        <w:tc>
          <w:tcPr>
            <w:tcW w:w="1728" w:type="dxa"/>
          </w:tcPr>
          <w:p w14:paraId="770594AA" w14:textId="58A6C33A"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Glatz</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42</w:t>
            </w:r>
          </w:p>
        </w:tc>
        <w:tc>
          <w:tcPr>
            <w:tcW w:w="784" w:type="dxa"/>
          </w:tcPr>
          <w:p w14:paraId="2C2546A7" w14:textId="018E06F6"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2008</w:t>
            </w:r>
          </w:p>
        </w:tc>
        <w:tc>
          <w:tcPr>
            <w:tcW w:w="1533" w:type="dxa"/>
          </w:tcPr>
          <w:p w14:paraId="2D14491D" w14:textId="0CAC19D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cohort study</w:t>
            </w:r>
          </w:p>
        </w:tc>
        <w:tc>
          <w:tcPr>
            <w:tcW w:w="1530" w:type="dxa"/>
          </w:tcPr>
          <w:p w14:paraId="7E45AC35" w14:textId="69F7F69C"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13 </w:t>
            </w:r>
            <w:r w:rsidR="004B70C4" w:rsidRPr="00D40B19">
              <w:rPr>
                <w:rFonts w:ascii="Arial" w:hAnsi="Arial" w:cs="Arial"/>
                <w:color w:val="000000" w:themeColor="text1"/>
                <w:sz w:val="20"/>
                <w:szCs w:val="20"/>
              </w:rPr>
              <w:t>n</w:t>
            </w:r>
            <w:r w:rsidRPr="00D40B19">
              <w:rPr>
                <w:rFonts w:ascii="Arial" w:hAnsi="Arial" w:cs="Arial"/>
                <w:color w:val="000000" w:themeColor="text1"/>
                <w:sz w:val="20"/>
                <w:szCs w:val="20"/>
              </w:rPr>
              <w:t>eonates</w:t>
            </w:r>
            <w:r w:rsidR="004B70C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7 with CHD</w:t>
            </w:r>
          </w:p>
        </w:tc>
        <w:tc>
          <w:tcPr>
            <w:tcW w:w="1710" w:type="dxa"/>
          </w:tcPr>
          <w:p w14:paraId="51EC62D1" w14:textId="68BCBF66"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Neonates with CCAVB requiring temporary or permanent pacing in the first 24 h</w:t>
            </w:r>
            <w:r w:rsidR="00FE2F2A"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of life</w:t>
            </w:r>
          </w:p>
        </w:tc>
        <w:tc>
          <w:tcPr>
            <w:tcW w:w="2160" w:type="dxa"/>
          </w:tcPr>
          <w:p w14:paraId="1D6A40C8"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Freedom from mortality</w:t>
            </w:r>
          </w:p>
          <w:p w14:paraId="7497C59D" w14:textId="736BB0B3"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7D850221" w14:textId="2C078825"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10</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(76%) CCAVB diagnosed in</w:t>
            </w:r>
            <w:r w:rsidR="00EE2737"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utero. 4 of 7 CHD patients had </w:t>
            </w:r>
            <w:proofErr w:type="spellStart"/>
            <w:r w:rsidR="00A3720B" w:rsidRPr="00D40B19">
              <w:rPr>
                <w:rFonts w:ascii="Arial" w:hAnsi="Arial" w:cs="Arial"/>
                <w:color w:val="000000" w:themeColor="text1"/>
                <w:sz w:val="20"/>
                <w:szCs w:val="20"/>
              </w:rPr>
              <w:t>heterotaxy</w:t>
            </w:r>
            <w:proofErr w:type="spellEnd"/>
            <w:r w:rsidRPr="00D40B19">
              <w:rPr>
                <w:rFonts w:ascii="Arial" w:hAnsi="Arial" w:cs="Arial"/>
                <w:color w:val="000000" w:themeColor="text1"/>
                <w:sz w:val="20"/>
                <w:szCs w:val="20"/>
              </w:rPr>
              <w:t>. 6</w:t>
            </w:r>
            <w:r w:rsidR="00A3720B"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(46%) patients had hydrops at birth. 7</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(53%) died</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of which 6 had CHD including all 4 patients with </w:t>
            </w:r>
            <w:proofErr w:type="spellStart"/>
            <w:r w:rsidR="004B3D6D" w:rsidRPr="00D40B19">
              <w:rPr>
                <w:rFonts w:ascii="Arial" w:hAnsi="Arial" w:cs="Arial"/>
                <w:color w:val="000000" w:themeColor="text1"/>
                <w:sz w:val="20"/>
                <w:szCs w:val="20"/>
              </w:rPr>
              <w:t>heterotaxy</w:t>
            </w:r>
            <w:proofErr w:type="spellEnd"/>
            <w:r w:rsidRPr="00D40B19">
              <w:rPr>
                <w:rFonts w:ascii="Arial" w:hAnsi="Arial" w:cs="Arial"/>
                <w:color w:val="000000" w:themeColor="text1"/>
                <w:sz w:val="20"/>
                <w:szCs w:val="20"/>
              </w:rPr>
              <w:t xml:space="preserve">. 4 of 6 patients with </w:t>
            </w:r>
            <w:proofErr w:type="spellStart"/>
            <w:r w:rsidRPr="00D40B19">
              <w:rPr>
                <w:rFonts w:ascii="Arial" w:hAnsi="Arial" w:cs="Arial"/>
                <w:color w:val="000000" w:themeColor="text1"/>
                <w:sz w:val="20"/>
                <w:szCs w:val="20"/>
              </w:rPr>
              <w:t>hypdrops</w:t>
            </w:r>
            <w:proofErr w:type="spellEnd"/>
            <w:r w:rsidRPr="00D40B19">
              <w:rPr>
                <w:rFonts w:ascii="Arial" w:hAnsi="Arial" w:cs="Arial"/>
                <w:color w:val="000000" w:themeColor="text1"/>
                <w:sz w:val="20"/>
                <w:szCs w:val="20"/>
              </w:rPr>
              <w:t xml:space="preserve"> also died. Severely affected neonates with CCAVB and those with complex CHD had poor outcome despite early pacing</w:t>
            </w:r>
            <w:r w:rsidR="00A3720B"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whereas those with structurally normal hearts had a favorable outcome.</w:t>
            </w:r>
          </w:p>
        </w:tc>
      </w:tr>
      <w:tr w:rsidR="009D78BE" w:rsidRPr="009D78BE" w14:paraId="5DF108A5" w14:textId="77777777" w:rsidTr="00D40B19">
        <w:tc>
          <w:tcPr>
            <w:tcW w:w="1728" w:type="dxa"/>
          </w:tcPr>
          <w:p w14:paraId="312C3BC0" w14:textId="38DE3A3A" w:rsidR="00EA082A" w:rsidRPr="00D40B19" w:rsidRDefault="00EA082A"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Silka</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63</w:t>
            </w:r>
          </w:p>
          <w:p w14:paraId="08FCFE1C"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56A3AE6A" w14:textId="79FE706F" w:rsidR="00EA082A" w:rsidRPr="00D40B19" w:rsidRDefault="00EA082A" w:rsidP="00B05A29">
            <w:pPr>
              <w:spacing w:after="0" w:line="240" w:lineRule="auto"/>
              <w:contextualSpacing/>
              <w:rPr>
                <w:rFonts w:ascii="Arial" w:hAnsi="Arial" w:cs="Arial"/>
                <w:color w:val="000000" w:themeColor="text1"/>
                <w:sz w:val="20"/>
                <w:szCs w:val="20"/>
                <w:vertAlign w:val="superscript"/>
              </w:rPr>
            </w:pPr>
          </w:p>
        </w:tc>
        <w:tc>
          <w:tcPr>
            <w:tcW w:w="784" w:type="dxa"/>
          </w:tcPr>
          <w:p w14:paraId="6066F50B" w14:textId="49707C7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1990</w:t>
            </w:r>
          </w:p>
        </w:tc>
        <w:tc>
          <w:tcPr>
            <w:tcW w:w="1533" w:type="dxa"/>
          </w:tcPr>
          <w:p w14:paraId="5BF5C3AA" w14:textId="37FEAFF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observational study</w:t>
            </w:r>
          </w:p>
          <w:p w14:paraId="7E604545"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68D38D59" w14:textId="7B649003"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16E26DD2" w14:textId="4948ED34"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lastRenderedPageBreak/>
              <w:t>21</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mean age 11 years (range 2– 19)</w:t>
            </w:r>
          </w:p>
        </w:tc>
        <w:tc>
          <w:tcPr>
            <w:tcW w:w="1710" w:type="dxa"/>
          </w:tcPr>
          <w:p w14:paraId="09D2F7C1"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Children with</w:t>
            </w:r>
          </w:p>
          <w:p w14:paraId="079BC6A4" w14:textId="7D776BBF"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CHD and chronic bradycardia with syncope or heart </w:t>
            </w:r>
            <w:r w:rsidRPr="00D40B19">
              <w:rPr>
                <w:rFonts w:ascii="Arial" w:hAnsi="Arial" w:cs="Arial"/>
                <w:color w:val="000000" w:themeColor="text1"/>
                <w:sz w:val="20"/>
                <w:szCs w:val="20"/>
              </w:rPr>
              <w:lastRenderedPageBreak/>
              <w:t>failure and tachycardia requiring  medication</w:t>
            </w:r>
          </w:p>
        </w:tc>
        <w:tc>
          <w:tcPr>
            <w:tcW w:w="2160" w:type="dxa"/>
          </w:tcPr>
          <w:p w14:paraId="696D66E9"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Freedom from tachyarrhythmias</w:t>
            </w:r>
          </w:p>
          <w:p w14:paraId="7E2041A3"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36831608" w14:textId="2C53E3F8"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Prevention of bradycardia by pacing (without change in medical therapy) was associated with a decrease in the frequency of </w:t>
            </w:r>
            <w:r w:rsidRPr="00D40B19">
              <w:rPr>
                <w:rFonts w:ascii="Arial" w:hAnsi="Arial" w:cs="Arial"/>
                <w:color w:val="000000" w:themeColor="text1"/>
                <w:sz w:val="20"/>
                <w:szCs w:val="20"/>
              </w:rPr>
              <w:lastRenderedPageBreak/>
              <w:t>supraventricular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rPr>
              <w:t xml:space="preserve"> = .008) and ventricular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rPr>
              <w:t xml:space="preserve"> = .02) tachyarrhythmias. The frequency of atrial flutter was not altered. Prevention of tachycardia was more frequently associated with the AAI and DDD modes of pacing compared to VVI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rPr>
              <w:t xml:space="preserve"> = .08). </w:t>
            </w:r>
          </w:p>
        </w:tc>
      </w:tr>
      <w:tr w:rsidR="009D78BE" w:rsidRPr="009D78BE" w14:paraId="481895E9" w14:textId="77777777" w:rsidTr="00D40B19">
        <w:tc>
          <w:tcPr>
            <w:tcW w:w="1728" w:type="dxa"/>
          </w:tcPr>
          <w:p w14:paraId="3FBD0F3D" w14:textId="053606C9"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Rhodes</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64</w:t>
            </w:r>
          </w:p>
        </w:tc>
        <w:tc>
          <w:tcPr>
            <w:tcW w:w="784" w:type="dxa"/>
          </w:tcPr>
          <w:p w14:paraId="52FE6E87" w14:textId="6AB94BBB"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1995</w:t>
            </w:r>
          </w:p>
        </w:tc>
        <w:tc>
          <w:tcPr>
            <w:tcW w:w="1533" w:type="dxa"/>
          </w:tcPr>
          <w:p w14:paraId="619B2717" w14:textId="295D7AB6"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observational study</w:t>
            </w:r>
          </w:p>
          <w:p w14:paraId="05E302F2" w14:textId="77777777"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70F49F7B" w14:textId="6C7A47DA"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18 </w:t>
            </w:r>
            <w:r w:rsidR="004B70C4" w:rsidRPr="00D40B19">
              <w:rPr>
                <w:rFonts w:ascii="Arial" w:hAnsi="Arial" w:cs="Arial"/>
                <w:color w:val="000000" w:themeColor="text1"/>
                <w:sz w:val="20"/>
                <w:szCs w:val="20"/>
              </w:rPr>
              <w:t xml:space="preserve">patients </w:t>
            </w:r>
            <w:r w:rsidRPr="00D40B19">
              <w:rPr>
                <w:rFonts w:ascii="Arial" w:hAnsi="Arial" w:cs="Arial"/>
                <w:color w:val="000000" w:themeColor="text1"/>
                <w:sz w:val="20"/>
                <w:szCs w:val="20"/>
              </w:rPr>
              <w:t>(14 p</w:t>
            </w:r>
            <w:r w:rsidR="00577814" w:rsidRPr="00D40B19">
              <w:rPr>
                <w:rFonts w:ascii="Arial" w:hAnsi="Arial" w:cs="Arial"/>
                <w:color w:val="000000" w:themeColor="text1"/>
                <w:sz w:val="20"/>
                <w:szCs w:val="20"/>
              </w:rPr>
              <w:t xml:space="preserve">atients </w:t>
            </w:r>
            <w:r w:rsidRPr="00D40B19">
              <w:rPr>
                <w:rFonts w:ascii="Arial" w:hAnsi="Arial" w:cs="Arial"/>
                <w:color w:val="000000" w:themeColor="text1"/>
                <w:sz w:val="20"/>
                <w:szCs w:val="20"/>
              </w:rPr>
              <w:t>&lt;18 years of age)</w:t>
            </w:r>
          </w:p>
        </w:tc>
        <w:tc>
          <w:tcPr>
            <w:tcW w:w="1710" w:type="dxa"/>
          </w:tcPr>
          <w:p w14:paraId="64D77A4E" w14:textId="4B50883E"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CHD with atrial </w:t>
            </w:r>
            <w:proofErr w:type="spellStart"/>
            <w:r w:rsidRPr="00D40B19">
              <w:rPr>
                <w:rFonts w:ascii="Arial" w:hAnsi="Arial" w:cs="Arial"/>
                <w:color w:val="000000" w:themeColor="text1"/>
                <w:sz w:val="20"/>
                <w:szCs w:val="20"/>
              </w:rPr>
              <w:t>antitachycardia</w:t>
            </w:r>
            <w:proofErr w:type="spellEnd"/>
            <w:r w:rsidRPr="00D40B19">
              <w:rPr>
                <w:rFonts w:ascii="Arial" w:hAnsi="Arial" w:cs="Arial"/>
                <w:color w:val="000000" w:themeColor="text1"/>
                <w:sz w:val="20"/>
                <w:szCs w:val="20"/>
              </w:rPr>
              <w:t xml:space="preserve"> (AAI</w:t>
            </w:r>
            <w:r w:rsidR="00B63802"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T mode) pacing for treatment of recurrent intra-atrial re-entrant tachycardia resistant to medical therapy  </w:t>
            </w:r>
          </w:p>
          <w:p w14:paraId="739719E8" w14:textId="01884BFB" w:rsidR="00EA082A" w:rsidRPr="00D40B19" w:rsidRDefault="00EA082A" w:rsidP="00B05A29">
            <w:pPr>
              <w:spacing w:after="0" w:line="240" w:lineRule="auto"/>
              <w:contextualSpacing/>
              <w:rPr>
                <w:rFonts w:ascii="Arial" w:hAnsi="Arial" w:cs="Arial"/>
                <w:color w:val="000000" w:themeColor="text1"/>
                <w:sz w:val="20"/>
                <w:szCs w:val="20"/>
              </w:rPr>
            </w:pPr>
          </w:p>
        </w:tc>
        <w:tc>
          <w:tcPr>
            <w:tcW w:w="2160" w:type="dxa"/>
          </w:tcPr>
          <w:p w14:paraId="06C9CC9A" w14:textId="397BDCED"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Termination of atrial tachycardia with atrial ATP</w:t>
            </w:r>
          </w:p>
        </w:tc>
        <w:tc>
          <w:tcPr>
            <w:tcW w:w="2880" w:type="dxa"/>
          </w:tcPr>
          <w:p w14:paraId="06BAD20B" w14:textId="2A2369AA"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shd w:val="clear" w:color="auto" w:fill="FFFFFF"/>
              </w:rPr>
              <w:t xml:space="preserve">6 patients had 189 episodes of tachycardia successfully converted with AAI-T pacing, 4 patients had 8 episodes of tachycardia detected but not successfully converted, and 8 patients had no episodes of tachycardia with </w:t>
            </w:r>
            <w:proofErr w:type="spellStart"/>
            <w:r w:rsidRPr="00D40B19">
              <w:rPr>
                <w:rFonts w:ascii="Arial" w:hAnsi="Arial" w:cs="Arial"/>
                <w:color w:val="000000" w:themeColor="text1"/>
                <w:sz w:val="20"/>
                <w:szCs w:val="20"/>
                <w:shd w:val="clear" w:color="auto" w:fill="FFFFFF"/>
              </w:rPr>
              <w:t>antibradycardia</w:t>
            </w:r>
            <w:proofErr w:type="spellEnd"/>
            <w:r w:rsidRPr="00D40B19">
              <w:rPr>
                <w:rFonts w:ascii="Arial" w:hAnsi="Arial" w:cs="Arial"/>
                <w:color w:val="000000" w:themeColor="text1"/>
                <w:sz w:val="20"/>
                <w:szCs w:val="20"/>
                <w:shd w:val="clear" w:color="auto" w:fill="FFFFFF"/>
              </w:rPr>
              <w:t xml:space="preserve"> pacing alone. Two subjects died suddenly</w:t>
            </w:r>
            <w:r w:rsidR="009E0F6A" w:rsidRPr="00D40B19">
              <w:rPr>
                <w:rFonts w:ascii="Arial" w:hAnsi="Arial" w:cs="Arial"/>
                <w:color w:val="000000" w:themeColor="text1"/>
                <w:sz w:val="20"/>
                <w:szCs w:val="20"/>
                <w:shd w:val="clear" w:color="auto" w:fill="FFFFFF"/>
              </w:rPr>
              <w:t xml:space="preserve"> (death </w:t>
            </w:r>
            <w:r w:rsidRPr="00D40B19">
              <w:rPr>
                <w:rFonts w:ascii="Arial" w:hAnsi="Arial" w:cs="Arial"/>
                <w:color w:val="000000" w:themeColor="text1"/>
                <w:sz w:val="20"/>
                <w:szCs w:val="20"/>
                <w:shd w:val="clear" w:color="auto" w:fill="FFFFFF"/>
              </w:rPr>
              <w:t>associated with attempted pace cardioversion of tachyarrhythmia</w:t>
            </w:r>
            <w:r w:rsidR="009E0F6A"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w:t>
            </w:r>
          </w:p>
        </w:tc>
      </w:tr>
      <w:tr w:rsidR="009D78BE" w:rsidRPr="009D78BE" w14:paraId="1DC52F17" w14:textId="77777777" w:rsidTr="00D40B19">
        <w:tc>
          <w:tcPr>
            <w:tcW w:w="1728" w:type="dxa"/>
          </w:tcPr>
          <w:p w14:paraId="730D8326" w14:textId="645DB5B6" w:rsidR="00EA082A" w:rsidRPr="00D40B19" w:rsidRDefault="00EA082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Kramer</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65</w:t>
            </w:r>
          </w:p>
          <w:p w14:paraId="686D2B2F"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587B097C" w14:textId="57C31BC7" w:rsidR="00EA082A" w:rsidRPr="00D40B19" w:rsidRDefault="00EA082A" w:rsidP="00B05A29">
            <w:pPr>
              <w:spacing w:after="0" w:line="240" w:lineRule="auto"/>
              <w:contextualSpacing/>
              <w:rPr>
                <w:rFonts w:ascii="Arial" w:hAnsi="Arial" w:cs="Arial"/>
                <w:color w:val="000000" w:themeColor="text1"/>
                <w:sz w:val="20"/>
                <w:szCs w:val="20"/>
                <w:vertAlign w:val="superscript"/>
              </w:rPr>
            </w:pPr>
          </w:p>
        </w:tc>
        <w:tc>
          <w:tcPr>
            <w:tcW w:w="784" w:type="dxa"/>
          </w:tcPr>
          <w:p w14:paraId="0327AFB2" w14:textId="139198D5"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2018</w:t>
            </w:r>
          </w:p>
        </w:tc>
        <w:tc>
          <w:tcPr>
            <w:tcW w:w="1533" w:type="dxa"/>
          </w:tcPr>
          <w:p w14:paraId="53A0F1D4" w14:textId="2B9965B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study</w:t>
            </w:r>
          </w:p>
          <w:p w14:paraId="606A32AC"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248BE462" w14:textId="6F335BAD"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25C5373B" w14:textId="69602B7D"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91</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median age 27.3 (range 6.9–59.8</w:t>
            </w:r>
            <w:r w:rsidR="00577814" w:rsidRPr="00D40B19">
              <w:rPr>
                <w:rFonts w:ascii="Arial" w:hAnsi="Arial" w:cs="Arial"/>
                <w:color w:val="000000" w:themeColor="text1"/>
                <w:sz w:val="20"/>
                <w:szCs w:val="20"/>
              </w:rPr>
              <w:t>)</w:t>
            </w:r>
          </w:p>
        </w:tc>
        <w:tc>
          <w:tcPr>
            <w:tcW w:w="1710" w:type="dxa"/>
          </w:tcPr>
          <w:p w14:paraId="19E4A2AF" w14:textId="0ADBF844"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CHD patients with atrial </w:t>
            </w:r>
            <w:proofErr w:type="spellStart"/>
            <w:r w:rsidRPr="00D40B19">
              <w:rPr>
                <w:rFonts w:ascii="Arial" w:hAnsi="Arial" w:cs="Arial"/>
                <w:color w:val="000000" w:themeColor="text1"/>
                <w:sz w:val="20"/>
                <w:szCs w:val="20"/>
              </w:rPr>
              <w:t>antitachycardia</w:t>
            </w:r>
            <w:proofErr w:type="spellEnd"/>
            <w:r w:rsidRPr="00D40B19">
              <w:rPr>
                <w:rFonts w:ascii="Arial" w:hAnsi="Arial" w:cs="Arial"/>
                <w:color w:val="000000" w:themeColor="text1"/>
                <w:sz w:val="20"/>
                <w:szCs w:val="20"/>
              </w:rPr>
              <w:t xml:space="preserve"> pacing devices between 2001 </w:t>
            </w:r>
            <w:r w:rsidR="005D197A" w:rsidRPr="00D40B19">
              <w:rPr>
                <w:rFonts w:ascii="Arial" w:hAnsi="Arial" w:cs="Arial"/>
                <w:color w:val="000000" w:themeColor="text1"/>
                <w:sz w:val="20"/>
                <w:szCs w:val="20"/>
              </w:rPr>
              <w:t>and</w:t>
            </w:r>
            <w:r w:rsidRPr="00D40B19">
              <w:rPr>
                <w:rFonts w:ascii="Arial" w:hAnsi="Arial" w:cs="Arial"/>
                <w:color w:val="000000" w:themeColor="text1"/>
                <w:sz w:val="20"/>
                <w:szCs w:val="20"/>
              </w:rPr>
              <w:t xml:space="preserve"> 2016</w:t>
            </w:r>
          </w:p>
        </w:tc>
        <w:tc>
          <w:tcPr>
            <w:tcW w:w="2160" w:type="dxa"/>
          </w:tcPr>
          <w:p w14:paraId="7341DBA7" w14:textId="3E0F2B3D"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Freedom from DC cardioversion</w:t>
            </w:r>
          </w:p>
        </w:tc>
        <w:tc>
          <w:tcPr>
            <w:tcW w:w="2880" w:type="dxa"/>
          </w:tcPr>
          <w:p w14:paraId="3540D360" w14:textId="51B917E3"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72% of </w:t>
            </w:r>
            <w:r w:rsidR="009E0F6A" w:rsidRPr="00D40B19">
              <w:rPr>
                <w:rFonts w:ascii="Arial" w:hAnsi="Arial" w:cs="Arial"/>
                <w:color w:val="000000" w:themeColor="text1"/>
                <w:sz w:val="20"/>
                <w:szCs w:val="20"/>
              </w:rPr>
              <w:t>intra</w:t>
            </w:r>
            <w:r w:rsidRPr="00D40B19">
              <w:rPr>
                <w:rFonts w:ascii="Arial" w:hAnsi="Arial" w:cs="Arial"/>
                <w:color w:val="000000" w:themeColor="text1"/>
                <w:sz w:val="20"/>
                <w:szCs w:val="20"/>
              </w:rPr>
              <w:t>-atrial re</w:t>
            </w:r>
            <w:r w:rsidR="009E0F6A" w:rsidRPr="00D40B19">
              <w:rPr>
                <w:rFonts w:ascii="Arial" w:hAnsi="Arial" w:cs="Arial"/>
                <w:color w:val="000000" w:themeColor="text1"/>
                <w:sz w:val="20"/>
                <w:szCs w:val="20"/>
              </w:rPr>
              <w:t>-</w:t>
            </w:r>
            <w:r w:rsidRPr="00D40B19">
              <w:rPr>
                <w:rFonts w:ascii="Arial" w:hAnsi="Arial" w:cs="Arial"/>
                <w:color w:val="000000" w:themeColor="text1"/>
                <w:sz w:val="20"/>
                <w:szCs w:val="20"/>
              </w:rPr>
              <w:t>entrant tachycardia  successfully terminated by atrial ATP</w:t>
            </w:r>
            <w:r w:rsidR="009E0F6A" w:rsidRPr="00D40B19">
              <w:rPr>
                <w:rFonts w:ascii="Arial" w:hAnsi="Arial" w:cs="Arial"/>
                <w:color w:val="000000" w:themeColor="text1"/>
                <w:sz w:val="20"/>
                <w:szCs w:val="20"/>
              </w:rPr>
              <w:t>.</w:t>
            </w:r>
          </w:p>
          <w:p w14:paraId="4BB74844" w14:textId="33D01069" w:rsidR="00B05A29"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Of 36 patients with DC cardioversion prior to atrial ATP, only 7 required cardioversion after atrial ATP. No mortality occurred.</w:t>
            </w:r>
          </w:p>
          <w:p w14:paraId="40948BD5" w14:textId="66FA8EB0" w:rsidR="00EA082A" w:rsidRPr="00D40B19" w:rsidRDefault="00EA082A" w:rsidP="00D40B19">
            <w:pPr>
              <w:spacing w:line="240" w:lineRule="auto"/>
              <w:contextualSpacing/>
              <w:rPr>
                <w:rFonts w:ascii="Arial" w:hAnsi="Arial" w:cs="Arial"/>
                <w:color w:val="000000" w:themeColor="text1"/>
                <w:sz w:val="20"/>
                <w:szCs w:val="20"/>
              </w:rPr>
            </w:pPr>
          </w:p>
        </w:tc>
      </w:tr>
      <w:tr w:rsidR="009D78BE" w:rsidRPr="009D78BE" w14:paraId="5ED8F9B7" w14:textId="77777777" w:rsidTr="00D40B19">
        <w:trPr>
          <w:trHeight w:val="1682"/>
        </w:trPr>
        <w:tc>
          <w:tcPr>
            <w:tcW w:w="1728" w:type="dxa"/>
          </w:tcPr>
          <w:p w14:paraId="14CA75E0" w14:textId="07A69FB1" w:rsidR="00EA082A" w:rsidRPr="00D40B19" w:rsidRDefault="00EA082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Stephenson</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66</w:t>
            </w:r>
          </w:p>
          <w:p w14:paraId="41CCC8A8" w14:textId="26467AC0"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683AA5F4" w14:textId="705F62DF"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2003</w:t>
            </w:r>
          </w:p>
        </w:tc>
        <w:tc>
          <w:tcPr>
            <w:tcW w:w="1533" w:type="dxa"/>
          </w:tcPr>
          <w:p w14:paraId="1660FFBF" w14:textId="50125F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 retrospective study</w:t>
            </w:r>
          </w:p>
          <w:p w14:paraId="22400A3F"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2CFD6213" w14:textId="5660C93E"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0FA843FA" w14:textId="6BE53178"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28</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mean age 30</w:t>
            </w:r>
            <w:r w:rsidR="0057781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57781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18.0 y</w:t>
            </w:r>
            <w:r w:rsidR="00577814" w:rsidRPr="00D40B19">
              <w:rPr>
                <w:rFonts w:ascii="Arial" w:hAnsi="Arial" w:cs="Arial"/>
                <w:color w:val="000000" w:themeColor="text1"/>
                <w:sz w:val="20"/>
                <w:szCs w:val="20"/>
              </w:rPr>
              <w:t>ears</w:t>
            </w:r>
          </w:p>
        </w:tc>
        <w:tc>
          <w:tcPr>
            <w:tcW w:w="1710" w:type="dxa"/>
          </w:tcPr>
          <w:p w14:paraId="3F7CC77E"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CHD patients with Medtronic AT500 pacemaker </w:t>
            </w:r>
          </w:p>
          <w:p w14:paraId="30FDF53B"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454495D4" w14:textId="7BBDE811" w:rsidR="00EA082A" w:rsidRPr="00D40B19" w:rsidRDefault="00EA082A" w:rsidP="00B05A29">
            <w:pPr>
              <w:spacing w:after="0" w:line="240" w:lineRule="auto"/>
              <w:contextualSpacing/>
              <w:rPr>
                <w:rFonts w:ascii="Arial" w:hAnsi="Arial" w:cs="Arial"/>
                <w:color w:val="000000" w:themeColor="text1"/>
                <w:sz w:val="20"/>
                <w:szCs w:val="20"/>
              </w:rPr>
            </w:pPr>
          </w:p>
        </w:tc>
        <w:tc>
          <w:tcPr>
            <w:tcW w:w="2160" w:type="dxa"/>
          </w:tcPr>
          <w:p w14:paraId="7334AED8" w14:textId="687CB08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Termination of atrial tachycardia with atrial ATP</w:t>
            </w:r>
          </w:p>
        </w:tc>
        <w:tc>
          <w:tcPr>
            <w:tcW w:w="2880" w:type="dxa"/>
          </w:tcPr>
          <w:p w14:paraId="47248396" w14:textId="128C55A1"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In 15 patients who had atrial arrhythmias, 54% of 167 atrial tachycardia episodes were successfully terminated by atrial ATP. Atrial arrhythmias were appropriately detected in 14/15 patients with arrhythmias. No mortality occurred.</w:t>
            </w:r>
          </w:p>
        </w:tc>
      </w:tr>
      <w:tr w:rsidR="009D78BE" w:rsidRPr="009D78BE" w14:paraId="7C366A22" w14:textId="77777777" w:rsidTr="00D40B19">
        <w:tc>
          <w:tcPr>
            <w:tcW w:w="1728" w:type="dxa"/>
          </w:tcPr>
          <w:p w14:paraId="2CBDB245" w14:textId="52A7AF3F" w:rsidR="00EA082A" w:rsidRPr="00D40B19" w:rsidRDefault="00EA082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Barber</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68</w:t>
            </w:r>
          </w:p>
          <w:p w14:paraId="046CBE10"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7C3FD610" w14:textId="6A127EB4"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38041076" w14:textId="301C752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2005</w:t>
            </w:r>
          </w:p>
        </w:tc>
        <w:tc>
          <w:tcPr>
            <w:tcW w:w="1533" w:type="dxa"/>
          </w:tcPr>
          <w:p w14:paraId="4EC62411" w14:textId="033E8413"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prospective </w:t>
            </w:r>
            <w:r w:rsidR="00E6304A" w:rsidRPr="00D40B19">
              <w:rPr>
                <w:rFonts w:ascii="Arial" w:hAnsi="Arial" w:cs="Arial"/>
                <w:color w:val="000000" w:themeColor="text1"/>
                <w:sz w:val="20"/>
                <w:szCs w:val="20"/>
              </w:rPr>
              <w:t xml:space="preserve">crossover </w:t>
            </w:r>
            <w:r w:rsidRPr="00D40B19">
              <w:rPr>
                <w:rFonts w:ascii="Arial" w:hAnsi="Arial" w:cs="Arial"/>
                <w:color w:val="000000" w:themeColor="text1"/>
                <w:sz w:val="20"/>
                <w:szCs w:val="20"/>
              </w:rPr>
              <w:t>trial</w:t>
            </w:r>
          </w:p>
          <w:p w14:paraId="2262790B"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0EF84108" w14:textId="08A8C2EA"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64E3924A" w14:textId="23BC3E59"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21</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xml:space="preserve">; median age 4 </w:t>
            </w:r>
            <w:r w:rsidR="00577814" w:rsidRPr="00D40B19">
              <w:rPr>
                <w:rFonts w:ascii="Arial" w:hAnsi="Arial" w:cs="Arial"/>
                <w:color w:val="000000" w:themeColor="text1"/>
                <w:sz w:val="20"/>
                <w:szCs w:val="20"/>
              </w:rPr>
              <w:t xml:space="preserve">years </w:t>
            </w:r>
            <w:r w:rsidRPr="00D40B19">
              <w:rPr>
                <w:rFonts w:ascii="Arial" w:hAnsi="Arial" w:cs="Arial"/>
                <w:color w:val="000000" w:themeColor="text1"/>
                <w:sz w:val="20"/>
                <w:szCs w:val="20"/>
              </w:rPr>
              <w:t>(range 2–18)</w:t>
            </w:r>
          </w:p>
        </w:tc>
        <w:tc>
          <w:tcPr>
            <w:tcW w:w="1710" w:type="dxa"/>
          </w:tcPr>
          <w:p w14:paraId="09701E8B" w14:textId="07D8AB0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Patients s/p Fontan surgery in ICU</w:t>
            </w:r>
          </w:p>
        </w:tc>
        <w:tc>
          <w:tcPr>
            <w:tcW w:w="2160" w:type="dxa"/>
          </w:tcPr>
          <w:p w14:paraId="2D505F10" w14:textId="49A874E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Acute change in hemodynamics</w:t>
            </w:r>
          </w:p>
        </w:tc>
        <w:tc>
          <w:tcPr>
            <w:tcW w:w="2880" w:type="dxa"/>
          </w:tcPr>
          <w:p w14:paraId="7F5BB4DC" w14:textId="65DFA3BB"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VOO pacing mode resulted in significantly worse hemodynamics when compared to DOO and AOO pacing with a higher LA and PA pressures and lower Qs and mean arterial pressures.</w:t>
            </w:r>
          </w:p>
        </w:tc>
      </w:tr>
      <w:tr w:rsidR="009D78BE" w:rsidRPr="009D78BE" w14:paraId="2540F13C" w14:textId="77777777" w:rsidTr="00D40B19">
        <w:tc>
          <w:tcPr>
            <w:tcW w:w="1728" w:type="dxa"/>
          </w:tcPr>
          <w:p w14:paraId="4F993591" w14:textId="0C00DF0C" w:rsidR="00EA082A" w:rsidRPr="00D40B19" w:rsidRDefault="00EA082A"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Khairy</w:t>
            </w:r>
            <w:proofErr w:type="spellEnd"/>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71</w:t>
            </w:r>
          </w:p>
          <w:p w14:paraId="43A8E673"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3171FAF3" w14:textId="1048283B"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7CB4FD17" w14:textId="56AC20CE"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2006</w:t>
            </w:r>
          </w:p>
        </w:tc>
        <w:tc>
          <w:tcPr>
            <w:tcW w:w="1533" w:type="dxa"/>
          </w:tcPr>
          <w:p w14:paraId="24735501"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 retrospective study</w:t>
            </w:r>
          </w:p>
          <w:p w14:paraId="7790DCDA"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465E50C5" w14:textId="314DFB98"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2B4D6152" w14:textId="1B840A22"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202 adolescents </w:t>
            </w:r>
            <w:r w:rsidR="00577814" w:rsidRPr="00D40B19">
              <w:rPr>
                <w:rFonts w:ascii="Arial" w:hAnsi="Arial" w:cs="Arial"/>
                <w:color w:val="000000" w:themeColor="text1"/>
                <w:sz w:val="20"/>
                <w:szCs w:val="20"/>
              </w:rPr>
              <w:t>and</w:t>
            </w:r>
            <w:r w:rsidRPr="00D40B19">
              <w:rPr>
                <w:rFonts w:ascii="Arial" w:hAnsi="Arial" w:cs="Arial"/>
                <w:color w:val="000000" w:themeColor="text1"/>
                <w:sz w:val="20"/>
                <w:szCs w:val="20"/>
              </w:rPr>
              <w:t xml:space="preserve"> adults; mean age 33.9</w:t>
            </w:r>
            <w:r w:rsidR="0057781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577814"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18.0 y</w:t>
            </w:r>
            <w:r w:rsidR="00577814" w:rsidRPr="00D40B19">
              <w:rPr>
                <w:rFonts w:ascii="Arial" w:hAnsi="Arial" w:cs="Arial"/>
                <w:color w:val="000000" w:themeColor="text1"/>
                <w:sz w:val="20"/>
                <w:szCs w:val="20"/>
              </w:rPr>
              <w:t>ears</w:t>
            </w:r>
          </w:p>
        </w:tc>
        <w:tc>
          <w:tcPr>
            <w:tcW w:w="1710" w:type="dxa"/>
          </w:tcPr>
          <w:p w14:paraId="529B52C4" w14:textId="28474AC0"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CHD patients with intracardiac shunt</w:t>
            </w:r>
          </w:p>
        </w:tc>
        <w:tc>
          <w:tcPr>
            <w:tcW w:w="2160" w:type="dxa"/>
          </w:tcPr>
          <w:p w14:paraId="2BC30A16" w14:textId="1D43BD5E"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Systemic thromboembolic event</w:t>
            </w:r>
          </w:p>
        </w:tc>
        <w:tc>
          <w:tcPr>
            <w:tcW w:w="2880" w:type="dxa"/>
          </w:tcPr>
          <w:p w14:paraId="7466C282" w14:textId="3385759F"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CHD patients with intracardiac shunt. 24 (12%) had thromboembolic event (15.6% with transvenous leads, 8.9% with epicardial leads, 11% no leads). </w:t>
            </w:r>
            <w:r w:rsidRPr="00D40B19">
              <w:rPr>
                <w:rFonts w:ascii="Arial" w:hAnsi="Arial" w:cs="Arial"/>
                <w:color w:val="000000" w:themeColor="text1"/>
                <w:sz w:val="20"/>
                <w:szCs w:val="20"/>
                <w:shd w:val="clear" w:color="auto" w:fill="FFFFFF"/>
              </w:rPr>
              <w:t xml:space="preserve">In multivariate analyses, transvenous leads remained an independent predictor of systemic </w:t>
            </w:r>
            <w:proofErr w:type="spellStart"/>
            <w:r w:rsidRPr="00D40B19">
              <w:rPr>
                <w:rFonts w:ascii="Arial" w:hAnsi="Arial" w:cs="Arial"/>
                <w:color w:val="000000" w:themeColor="text1"/>
                <w:sz w:val="20"/>
                <w:szCs w:val="20"/>
                <w:shd w:val="clear" w:color="auto" w:fill="FFFFFF"/>
              </w:rPr>
              <w:t>thromboemboli</w:t>
            </w:r>
            <w:proofErr w:type="spellEnd"/>
            <w:r w:rsidRPr="00D40B19">
              <w:rPr>
                <w:rFonts w:ascii="Arial" w:hAnsi="Arial" w:cs="Arial"/>
                <w:color w:val="000000" w:themeColor="text1"/>
                <w:sz w:val="20"/>
                <w:szCs w:val="20"/>
                <w:shd w:val="clear" w:color="auto" w:fill="FFFFFF"/>
              </w:rPr>
              <w:t xml:space="preserve">.  </w:t>
            </w:r>
            <w:r w:rsidRPr="00D40B19">
              <w:rPr>
                <w:rFonts w:ascii="Arial" w:hAnsi="Arial" w:cs="Arial"/>
                <w:color w:val="000000" w:themeColor="text1"/>
                <w:sz w:val="20"/>
                <w:szCs w:val="20"/>
              </w:rPr>
              <w:t xml:space="preserve">Aspirin or warfarin was not found to be protective. </w:t>
            </w:r>
          </w:p>
        </w:tc>
      </w:tr>
      <w:tr w:rsidR="009D78BE" w:rsidRPr="009D78BE" w14:paraId="3451F70A" w14:textId="77777777" w:rsidTr="00D40B19">
        <w:tc>
          <w:tcPr>
            <w:tcW w:w="1728" w:type="dxa"/>
          </w:tcPr>
          <w:p w14:paraId="5679486C" w14:textId="5D6D1BF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DeSimone</w:t>
            </w:r>
            <w:r w:rsidR="0058456A"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72</w:t>
            </w:r>
            <w:r w:rsidRPr="00D40B19">
              <w:rPr>
                <w:rFonts w:ascii="Arial" w:hAnsi="Arial" w:cs="Arial"/>
                <w:color w:val="000000" w:themeColor="text1"/>
                <w:sz w:val="20"/>
                <w:szCs w:val="20"/>
              </w:rPr>
              <w:t xml:space="preserve"> </w:t>
            </w:r>
          </w:p>
          <w:p w14:paraId="2E66E82A" w14:textId="0008EA1F"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3CE568E7" w14:textId="6A25A52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2013</w:t>
            </w:r>
          </w:p>
        </w:tc>
        <w:tc>
          <w:tcPr>
            <w:tcW w:w="1533" w:type="dxa"/>
          </w:tcPr>
          <w:p w14:paraId="762D23AE" w14:textId="21FE223D"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study </w:t>
            </w:r>
          </w:p>
          <w:p w14:paraId="47F630FF" w14:textId="413DAD46" w:rsidR="00EA082A" w:rsidRPr="00D40B19" w:rsidRDefault="00EA082A" w:rsidP="00B05A29">
            <w:pPr>
              <w:spacing w:after="0" w:line="240" w:lineRule="auto"/>
              <w:contextualSpacing/>
              <w:rPr>
                <w:rFonts w:ascii="Arial" w:hAnsi="Arial" w:cs="Arial"/>
                <w:color w:val="000000" w:themeColor="text1"/>
                <w:sz w:val="20"/>
                <w:szCs w:val="20"/>
              </w:rPr>
            </w:pPr>
          </w:p>
        </w:tc>
        <w:tc>
          <w:tcPr>
            <w:tcW w:w="1530" w:type="dxa"/>
          </w:tcPr>
          <w:p w14:paraId="7A37E691" w14:textId="21CB8B2A" w:rsidR="00EA082A" w:rsidRPr="00D40B19" w:rsidRDefault="00EA082A"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6</w:t>
            </w:r>
            <w:r w:rsidR="004B70C4" w:rsidRPr="00D40B19">
              <w:rPr>
                <w:rFonts w:ascii="Arial" w:hAnsi="Arial" w:cs="Arial"/>
                <w:color w:val="000000" w:themeColor="text1"/>
                <w:sz w:val="20"/>
                <w:szCs w:val="20"/>
              </w:rPr>
              <w:t>,</w:t>
            </w:r>
            <w:r w:rsidRPr="00D40B19">
              <w:rPr>
                <w:rFonts w:ascii="Arial" w:hAnsi="Arial" w:cs="Arial"/>
                <w:color w:val="000000" w:themeColor="text1"/>
                <w:sz w:val="20"/>
                <w:szCs w:val="20"/>
              </w:rPr>
              <w:t>075 adult patients divided into</w:t>
            </w:r>
            <w:r w:rsidR="005B27E9" w:rsidRPr="00D40B19">
              <w:rPr>
                <w:rFonts w:ascii="Segoe UI" w:hAnsi="Segoe UI" w:cs="Segoe UI"/>
                <w:color w:val="212121"/>
                <w:sz w:val="20"/>
                <w:szCs w:val="20"/>
                <w:shd w:val="clear" w:color="auto" w:fill="FFFFFF"/>
              </w:rPr>
              <w:t xml:space="preserve"> </w:t>
            </w:r>
            <w:r w:rsidR="005B27E9" w:rsidRPr="00D40B19">
              <w:rPr>
                <w:rFonts w:ascii="Arial" w:hAnsi="Arial" w:cs="Arial"/>
                <w:color w:val="000000" w:themeColor="text1"/>
                <w:sz w:val="20"/>
                <w:szCs w:val="20"/>
              </w:rPr>
              <w:t xml:space="preserve">patent foramen </w:t>
            </w:r>
            <w:proofErr w:type="spellStart"/>
            <w:r w:rsidR="005B27E9" w:rsidRPr="00D40B19">
              <w:rPr>
                <w:rFonts w:ascii="Arial" w:hAnsi="Arial" w:cs="Arial"/>
                <w:color w:val="000000" w:themeColor="text1"/>
                <w:sz w:val="20"/>
                <w:szCs w:val="20"/>
              </w:rPr>
              <w:t>ovale</w:t>
            </w:r>
            <w:proofErr w:type="spellEnd"/>
            <w:r w:rsidRPr="00D40B19">
              <w:rPr>
                <w:rFonts w:ascii="Arial" w:hAnsi="Arial" w:cs="Arial"/>
                <w:color w:val="000000" w:themeColor="text1"/>
                <w:sz w:val="20"/>
                <w:szCs w:val="20"/>
              </w:rPr>
              <w:t xml:space="preserve"> </w:t>
            </w:r>
            <w:r w:rsidR="005B27E9" w:rsidRPr="00D40B19">
              <w:rPr>
                <w:rFonts w:ascii="Arial" w:hAnsi="Arial" w:cs="Arial"/>
                <w:color w:val="000000" w:themeColor="text1"/>
                <w:sz w:val="20"/>
                <w:szCs w:val="20"/>
              </w:rPr>
              <w:t>(</w:t>
            </w:r>
            <w:r w:rsidRPr="00D40B19">
              <w:rPr>
                <w:rFonts w:ascii="Arial" w:hAnsi="Arial" w:cs="Arial"/>
                <w:color w:val="000000" w:themeColor="text1"/>
                <w:sz w:val="20"/>
                <w:szCs w:val="20"/>
              </w:rPr>
              <w:t>PFO</w:t>
            </w:r>
            <w:r w:rsidR="005B27E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and non-PFO groups matched for </w:t>
            </w:r>
            <w:r w:rsidRPr="00D40B19">
              <w:rPr>
                <w:rFonts w:ascii="Arial" w:hAnsi="Arial" w:cs="Arial"/>
                <w:color w:val="000000" w:themeColor="text1"/>
                <w:sz w:val="20"/>
                <w:szCs w:val="20"/>
                <w:shd w:val="clear" w:color="auto" w:fill="FFFFFF"/>
              </w:rPr>
              <w:lastRenderedPageBreak/>
              <w:t>CHA</w:t>
            </w:r>
            <w:r w:rsidRPr="00D40B19">
              <w:rPr>
                <w:rFonts w:ascii="Arial" w:hAnsi="Arial" w:cs="Arial"/>
                <w:color w:val="000000" w:themeColor="text1"/>
                <w:sz w:val="20"/>
                <w:szCs w:val="20"/>
                <w:shd w:val="clear" w:color="auto" w:fill="FFFFFF"/>
                <w:vertAlign w:val="subscript"/>
              </w:rPr>
              <w:t>2</w:t>
            </w:r>
            <w:r w:rsidRPr="00D40B19">
              <w:rPr>
                <w:rFonts w:ascii="Arial" w:hAnsi="Arial" w:cs="Arial"/>
                <w:color w:val="000000" w:themeColor="text1"/>
                <w:sz w:val="20"/>
                <w:szCs w:val="20"/>
                <w:shd w:val="clear" w:color="auto" w:fill="FFFFFF"/>
              </w:rPr>
              <w:t>DS</w:t>
            </w:r>
            <w:r w:rsidRPr="00D40B19">
              <w:rPr>
                <w:rFonts w:ascii="Arial" w:hAnsi="Arial" w:cs="Arial"/>
                <w:color w:val="000000" w:themeColor="text1"/>
                <w:sz w:val="20"/>
                <w:szCs w:val="20"/>
                <w:shd w:val="clear" w:color="auto" w:fill="FFFFFF"/>
                <w:vertAlign w:val="subscript"/>
              </w:rPr>
              <w:t>2</w:t>
            </w:r>
            <w:r w:rsidRPr="00D40B19">
              <w:rPr>
                <w:rFonts w:ascii="Arial" w:hAnsi="Arial" w:cs="Arial"/>
                <w:color w:val="000000" w:themeColor="text1"/>
                <w:sz w:val="20"/>
                <w:szCs w:val="20"/>
                <w:shd w:val="clear" w:color="auto" w:fill="FFFFFF"/>
              </w:rPr>
              <w:t>-VASc score</w:t>
            </w:r>
          </w:p>
          <w:p w14:paraId="4D9532A0"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6FC3F7F8"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4C0CC8BF" w14:textId="77777777"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 </w:t>
            </w:r>
          </w:p>
          <w:p w14:paraId="217E37B5"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4AC280A0" w14:textId="3CBEAE77" w:rsidR="00EA082A" w:rsidRPr="00D40B19" w:rsidRDefault="00EA082A" w:rsidP="00D40B19">
            <w:pPr>
              <w:spacing w:after="0" w:line="240" w:lineRule="auto"/>
              <w:rPr>
                <w:rFonts w:ascii="Arial" w:hAnsi="Arial" w:cs="Arial"/>
                <w:color w:val="000000" w:themeColor="text1"/>
                <w:sz w:val="20"/>
                <w:szCs w:val="20"/>
              </w:rPr>
            </w:pPr>
          </w:p>
        </w:tc>
        <w:tc>
          <w:tcPr>
            <w:tcW w:w="1710" w:type="dxa"/>
          </w:tcPr>
          <w:p w14:paraId="22CD59BC" w14:textId="2D7450F5"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Patients with endocardial CIED leads between 2000</w:t>
            </w:r>
            <w:r w:rsidR="004B3D6D"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2010</w:t>
            </w:r>
          </w:p>
        </w:tc>
        <w:tc>
          <w:tcPr>
            <w:tcW w:w="2160" w:type="dxa"/>
          </w:tcPr>
          <w:p w14:paraId="7FD52E90" w14:textId="625295D4"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A stroke or </w:t>
            </w:r>
            <w:r w:rsidR="003A29B1" w:rsidRPr="00D40B19">
              <w:rPr>
                <w:rFonts w:ascii="Arial" w:hAnsi="Arial" w:cs="Arial"/>
                <w:color w:val="000000" w:themeColor="text1"/>
                <w:sz w:val="20"/>
                <w:szCs w:val="20"/>
              </w:rPr>
              <w:t xml:space="preserve">transient ischemic attack </w:t>
            </w:r>
            <w:r w:rsidRPr="00D40B19">
              <w:rPr>
                <w:rFonts w:ascii="Arial" w:hAnsi="Arial" w:cs="Arial"/>
                <w:color w:val="000000" w:themeColor="text1"/>
                <w:sz w:val="20"/>
                <w:szCs w:val="20"/>
              </w:rPr>
              <w:t>consistent with cardiac etiology</w:t>
            </w:r>
          </w:p>
          <w:p w14:paraId="30683EC1"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2A3C3015"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3AF85272" w14:textId="672E8C9C" w:rsidR="00EA082A" w:rsidRPr="00D40B19" w:rsidRDefault="00EA082A" w:rsidP="00B05A29">
            <w:pPr>
              <w:spacing w:after="0" w:line="240" w:lineRule="auto"/>
              <w:contextualSpacing/>
              <w:rPr>
                <w:rFonts w:ascii="Arial" w:hAnsi="Arial" w:cs="Arial"/>
                <w:color w:val="000000" w:themeColor="text1"/>
                <w:sz w:val="20"/>
                <w:szCs w:val="20"/>
              </w:rPr>
            </w:pPr>
          </w:p>
        </w:tc>
        <w:tc>
          <w:tcPr>
            <w:tcW w:w="2880" w:type="dxa"/>
          </w:tcPr>
          <w:p w14:paraId="637FAE63" w14:textId="1D24DBE0" w:rsidR="00EA082A" w:rsidRPr="00D40B19" w:rsidRDefault="00EA082A" w:rsidP="00B05A2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shd w:val="clear" w:color="auto" w:fill="FFFFFF"/>
              </w:rPr>
              <w:t>Stroke/</w:t>
            </w:r>
            <w:r w:rsidR="003A29B1" w:rsidRPr="00D40B19">
              <w:rPr>
                <w:rFonts w:ascii="Arial" w:hAnsi="Arial" w:cs="Arial"/>
                <w:color w:val="000000" w:themeColor="text1"/>
                <w:sz w:val="20"/>
                <w:szCs w:val="20"/>
              </w:rPr>
              <w:t xml:space="preserve">transient ischemic attack </w:t>
            </w:r>
            <w:r w:rsidRPr="00D40B19">
              <w:rPr>
                <w:rFonts w:ascii="Arial" w:hAnsi="Arial" w:cs="Arial"/>
                <w:color w:val="000000" w:themeColor="text1"/>
                <w:sz w:val="20"/>
                <w:szCs w:val="20"/>
                <w:shd w:val="clear" w:color="auto" w:fill="FFFFFF"/>
              </w:rPr>
              <w:t>confirmed in 30/364 (8.2%) PFO vs</w:t>
            </w:r>
            <w:r w:rsidR="009F543E">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 xml:space="preserve"> (2.0%) non-PFO patients (</w:t>
            </w:r>
            <w:r w:rsidR="00D03087" w:rsidRPr="00D40B19">
              <w:rPr>
                <w:rFonts w:ascii="Arial" w:hAnsi="Arial" w:cs="Arial"/>
                <w:i/>
                <w:iCs/>
                <w:color w:val="000000" w:themeColor="text1"/>
                <w:sz w:val="20"/>
                <w:szCs w:val="20"/>
                <w:shd w:val="clear" w:color="auto" w:fill="FFFFFF"/>
              </w:rPr>
              <w:t>P</w:t>
            </w:r>
            <w:r w:rsidR="00D03087">
              <w:rPr>
                <w:rFonts w:ascii="Arial" w:hAnsi="Arial" w:cs="Arial"/>
                <w:color w:val="000000" w:themeColor="text1"/>
                <w:sz w:val="20"/>
                <w:szCs w:val="20"/>
                <w:shd w:val="clear" w:color="auto" w:fill="FFFFFF"/>
              </w:rPr>
              <w:t xml:space="preserve"> </w:t>
            </w:r>
            <w:r w:rsidRPr="00D40B19">
              <w:rPr>
                <w:rFonts w:ascii="Arial" w:hAnsi="Arial" w:cs="Arial"/>
                <w:color w:val="000000" w:themeColor="text1"/>
                <w:sz w:val="20"/>
                <w:szCs w:val="20"/>
                <w:shd w:val="clear" w:color="auto" w:fill="FFFFFF"/>
              </w:rPr>
              <w:t xml:space="preserve">&lt;0.0001). Patients in PFO group were more likely to have atrial fibrillation. Study suggested screening for PFOs prior to CIEDs; if a PFO is detected, </w:t>
            </w:r>
            <w:r w:rsidRPr="00D40B19">
              <w:rPr>
                <w:rFonts w:ascii="Arial" w:hAnsi="Arial" w:cs="Arial"/>
                <w:color w:val="000000" w:themeColor="text1"/>
                <w:sz w:val="20"/>
                <w:szCs w:val="20"/>
                <w:shd w:val="clear" w:color="auto" w:fill="FFFFFF"/>
              </w:rPr>
              <w:lastRenderedPageBreak/>
              <w:t>PFO closure, anticoagulation, or nonvascular lead placement may be considered</w:t>
            </w:r>
            <w:r w:rsidRPr="00D40B19">
              <w:rPr>
                <w:rFonts w:ascii="Arial" w:hAnsi="Arial" w:cs="Arial"/>
                <w:color w:val="000000" w:themeColor="text1"/>
                <w:sz w:val="20"/>
                <w:szCs w:val="20"/>
              </w:rPr>
              <w:t>.</w:t>
            </w:r>
          </w:p>
        </w:tc>
      </w:tr>
      <w:tr w:rsidR="00EA082A" w:rsidRPr="009D78BE" w14:paraId="2DEB3D7A" w14:textId="77777777" w:rsidTr="00D40B19">
        <w:trPr>
          <w:trHeight w:val="2006"/>
        </w:trPr>
        <w:tc>
          <w:tcPr>
            <w:tcW w:w="1728" w:type="dxa"/>
          </w:tcPr>
          <w:p w14:paraId="1F711AEB" w14:textId="5A285086" w:rsidR="00EA082A" w:rsidRPr="00D40B19" w:rsidRDefault="00EA082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 xml:space="preserve">Supple </w:t>
            </w:r>
            <w:r w:rsidR="0058456A" w:rsidRPr="00D40B19">
              <w:rPr>
                <w:rFonts w:ascii="Arial" w:hAnsi="Arial" w:cs="Arial"/>
                <w:bCs/>
                <w:color w:val="000000" w:themeColor="text1"/>
                <w:sz w:val="20"/>
                <w:szCs w:val="20"/>
              </w:rPr>
              <w:t>et al</w:t>
            </w:r>
            <w:r w:rsidRPr="00D40B19">
              <w:rPr>
                <w:rFonts w:ascii="Arial" w:hAnsi="Arial" w:cs="Arial"/>
                <w:color w:val="000000" w:themeColor="text1"/>
                <w:sz w:val="20"/>
                <w:szCs w:val="20"/>
                <w:vertAlign w:val="superscript"/>
              </w:rPr>
              <w:t>73</w:t>
            </w:r>
          </w:p>
          <w:p w14:paraId="51227233" w14:textId="77777777" w:rsidR="00EA082A" w:rsidRPr="00D40B19" w:rsidRDefault="00EA082A" w:rsidP="00B05A29">
            <w:pPr>
              <w:spacing w:after="0" w:line="240" w:lineRule="auto"/>
              <w:contextualSpacing/>
              <w:rPr>
                <w:rFonts w:ascii="Arial" w:hAnsi="Arial" w:cs="Arial"/>
                <w:color w:val="000000" w:themeColor="text1"/>
                <w:sz w:val="20"/>
                <w:szCs w:val="20"/>
              </w:rPr>
            </w:pPr>
          </w:p>
          <w:p w14:paraId="36CB1F17" w14:textId="4C7B13ED" w:rsidR="00EA082A" w:rsidRPr="00D40B19" w:rsidRDefault="00EA082A" w:rsidP="00B05A29">
            <w:pPr>
              <w:spacing w:after="0" w:line="240" w:lineRule="auto"/>
              <w:contextualSpacing/>
              <w:rPr>
                <w:rFonts w:ascii="Arial" w:hAnsi="Arial" w:cs="Arial"/>
                <w:color w:val="000000" w:themeColor="text1"/>
                <w:sz w:val="20"/>
                <w:szCs w:val="20"/>
              </w:rPr>
            </w:pPr>
          </w:p>
        </w:tc>
        <w:tc>
          <w:tcPr>
            <w:tcW w:w="784" w:type="dxa"/>
          </w:tcPr>
          <w:p w14:paraId="29747F50" w14:textId="3183FDA6"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2011</w:t>
            </w:r>
          </w:p>
        </w:tc>
        <w:tc>
          <w:tcPr>
            <w:tcW w:w="1533" w:type="dxa"/>
          </w:tcPr>
          <w:p w14:paraId="7544DE40" w14:textId="57A60BA1"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study </w:t>
            </w:r>
          </w:p>
        </w:tc>
        <w:tc>
          <w:tcPr>
            <w:tcW w:w="1530" w:type="dxa"/>
          </w:tcPr>
          <w:p w14:paraId="6E0F344F" w14:textId="2332DDA1" w:rsidR="00EA082A" w:rsidRPr="00D40B19" w:rsidRDefault="00EA082A" w:rsidP="00D40B19">
            <w:pPr>
              <w:spacing w:after="0"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86 adult patients </w:t>
            </w:r>
          </w:p>
        </w:tc>
        <w:tc>
          <w:tcPr>
            <w:tcW w:w="1710" w:type="dxa"/>
          </w:tcPr>
          <w:p w14:paraId="716D2F05" w14:textId="77777777" w:rsidR="00EA082A" w:rsidRPr="00D40B19" w:rsidRDefault="00EA082A"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Patients with a CIED </w:t>
            </w:r>
            <w:r w:rsidRPr="00D40B19">
              <w:rPr>
                <w:rFonts w:ascii="Arial" w:hAnsi="Arial" w:cs="Arial"/>
                <w:color w:val="000000" w:themeColor="text1"/>
                <w:sz w:val="20"/>
                <w:szCs w:val="20"/>
                <w:shd w:val="clear" w:color="auto" w:fill="FFFFFF"/>
              </w:rPr>
              <w:t xml:space="preserve">with intracardiac echo (ICE) during catheter ablation </w:t>
            </w:r>
          </w:p>
          <w:p w14:paraId="5856ACAA" w14:textId="737360A1" w:rsidR="00EA082A" w:rsidRPr="00D40B19" w:rsidRDefault="00EA082A" w:rsidP="00B05A29">
            <w:pPr>
              <w:spacing w:after="0" w:line="240" w:lineRule="auto"/>
              <w:contextualSpacing/>
              <w:rPr>
                <w:rFonts w:ascii="Arial" w:hAnsi="Arial" w:cs="Arial"/>
                <w:color w:val="000000" w:themeColor="text1"/>
                <w:sz w:val="20"/>
                <w:szCs w:val="20"/>
              </w:rPr>
            </w:pPr>
          </w:p>
        </w:tc>
        <w:tc>
          <w:tcPr>
            <w:tcW w:w="2160" w:type="dxa"/>
          </w:tcPr>
          <w:p w14:paraId="102ADA3D" w14:textId="18190F5C" w:rsidR="00EA082A" w:rsidRPr="00D40B19" w:rsidRDefault="00EA082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Mobile thrombus on CIED lead</w:t>
            </w:r>
            <w:r w:rsidR="003A29B1" w:rsidRPr="00D40B19">
              <w:rPr>
                <w:rFonts w:ascii="Arial" w:hAnsi="Arial" w:cs="Arial"/>
                <w:color w:val="000000" w:themeColor="text1"/>
                <w:sz w:val="20"/>
                <w:szCs w:val="20"/>
              </w:rPr>
              <w:t>(</w:t>
            </w:r>
            <w:r w:rsidRPr="00D40B19">
              <w:rPr>
                <w:rFonts w:ascii="Arial" w:hAnsi="Arial" w:cs="Arial"/>
                <w:color w:val="000000" w:themeColor="text1"/>
                <w:sz w:val="20"/>
                <w:szCs w:val="20"/>
              </w:rPr>
              <w:t>s</w:t>
            </w:r>
            <w:r w:rsidR="003A29B1" w:rsidRPr="00D40B19">
              <w:rPr>
                <w:rFonts w:ascii="Arial" w:hAnsi="Arial" w:cs="Arial"/>
                <w:color w:val="000000" w:themeColor="text1"/>
                <w:sz w:val="20"/>
                <w:szCs w:val="20"/>
              </w:rPr>
              <w:t>)</w:t>
            </w:r>
          </w:p>
        </w:tc>
        <w:tc>
          <w:tcPr>
            <w:tcW w:w="2880" w:type="dxa"/>
          </w:tcPr>
          <w:p w14:paraId="57031FE3" w14:textId="146EF72B" w:rsidR="00EA082A" w:rsidRPr="00D40B19" w:rsidRDefault="00EA082A"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Mobile thrombus seen on leads with ICE catheter in 30%</w:t>
            </w:r>
            <w:r w:rsidR="00B05A29" w:rsidRPr="00D40B19">
              <w:rPr>
                <w:rFonts w:ascii="Arial" w:hAnsi="Arial" w:cs="Arial"/>
                <w:color w:val="000000" w:themeColor="text1"/>
                <w:sz w:val="20"/>
                <w:szCs w:val="20"/>
              </w:rPr>
              <w:t>, al</w:t>
            </w:r>
            <w:r w:rsidRPr="00D40B19">
              <w:rPr>
                <w:rFonts w:ascii="Arial" w:hAnsi="Arial" w:cs="Arial"/>
                <w:color w:val="000000" w:themeColor="text1"/>
                <w:sz w:val="20"/>
                <w:szCs w:val="20"/>
              </w:rPr>
              <w:t>though none were seen on transthoracic echo before the procedure. 84% patients had CHF</w:t>
            </w:r>
            <w:r w:rsidR="00B05A2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and average LVEF was 40%. 32% with a thrombus were on warfarin</w:t>
            </w:r>
            <w:r w:rsidR="00B05A2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while 52% without were on warfarin.</w:t>
            </w:r>
          </w:p>
        </w:tc>
      </w:tr>
    </w:tbl>
    <w:p w14:paraId="634ED272" w14:textId="1EDF460A" w:rsidR="0003126F" w:rsidRPr="009D78BE" w:rsidRDefault="0003126F" w:rsidP="00D65DB1">
      <w:pPr>
        <w:rPr>
          <w:rFonts w:ascii="Arial" w:hAnsi="Arial" w:cs="Arial"/>
          <w:color w:val="000000" w:themeColor="text1"/>
          <w:sz w:val="20"/>
          <w:szCs w:val="20"/>
        </w:rPr>
      </w:pPr>
    </w:p>
    <w:p w14:paraId="02CEF8F9" w14:textId="000CEFB0" w:rsidR="00F1412C" w:rsidRPr="009D78BE" w:rsidRDefault="009D128D" w:rsidP="00F1412C">
      <w:pPr>
        <w:pStyle w:val="Caption"/>
        <w:keepNext/>
        <w:rPr>
          <w:rFonts w:ascii="Arial" w:hAnsi="Arial" w:cs="Arial"/>
          <w:b/>
          <w:i w:val="0"/>
          <w:color w:val="000000" w:themeColor="text1"/>
          <w:sz w:val="24"/>
          <w:szCs w:val="24"/>
        </w:rPr>
      </w:pPr>
      <w:r w:rsidRPr="009D78BE">
        <w:rPr>
          <w:rFonts w:ascii="Arial" w:hAnsi="Arial" w:cs="Arial"/>
          <w:b/>
          <w:i w:val="0"/>
          <w:color w:val="000000" w:themeColor="text1"/>
          <w:sz w:val="24"/>
          <w:szCs w:val="24"/>
        </w:rPr>
        <w:t xml:space="preserve">Table </w:t>
      </w:r>
      <w:r w:rsidR="00BA22E5">
        <w:rPr>
          <w:rFonts w:ascii="Arial" w:hAnsi="Arial" w:cs="Arial"/>
          <w:b/>
          <w:i w:val="0"/>
          <w:color w:val="000000" w:themeColor="text1"/>
          <w:sz w:val="24"/>
          <w:szCs w:val="24"/>
        </w:rPr>
        <w:t>S</w:t>
      </w:r>
      <w:r w:rsidRPr="009D78BE">
        <w:rPr>
          <w:rFonts w:ascii="Arial" w:hAnsi="Arial" w:cs="Arial"/>
          <w:b/>
          <w:i w:val="0"/>
          <w:color w:val="000000" w:themeColor="text1"/>
          <w:sz w:val="24"/>
          <w:szCs w:val="24"/>
        </w:rPr>
        <w:t xml:space="preserve">3. </w:t>
      </w:r>
      <w:r w:rsidR="00F1412C" w:rsidRPr="009D78BE">
        <w:rPr>
          <w:rFonts w:ascii="Arial" w:hAnsi="Arial" w:cs="Arial"/>
          <w:b/>
          <w:i w:val="0"/>
          <w:color w:val="000000" w:themeColor="text1"/>
          <w:sz w:val="24"/>
          <w:szCs w:val="24"/>
        </w:rPr>
        <w:t xml:space="preserve">Evidence for ICD </w:t>
      </w:r>
      <w:r w:rsidR="001C2122" w:rsidRPr="009D78BE">
        <w:rPr>
          <w:rFonts w:ascii="Arial" w:hAnsi="Arial" w:cs="Arial"/>
          <w:b/>
          <w:i w:val="0"/>
          <w:color w:val="000000" w:themeColor="text1"/>
          <w:sz w:val="24"/>
          <w:szCs w:val="24"/>
        </w:rPr>
        <w:t xml:space="preserve">Implantation </w:t>
      </w:r>
      <w:r w:rsidR="000B3A0C" w:rsidRPr="009D78BE">
        <w:rPr>
          <w:rFonts w:ascii="Arial" w:hAnsi="Arial" w:cs="Arial"/>
          <w:b/>
          <w:i w:val="0"/>
          <w:color w:val="000000" w:themeColor="text1"/>
          <w:sz w:val="24"/>
          <w:szCs w:val="24"/>
        </w:rPr>
        <w:t xml:space="preserve">in </w:t>
      </w:r>
      <w:r w:rsidR="001C2122" w:rsidRPr="009D78BE">
        <w:rPr>
          <w:rFonts w:ascii="Arial" w:hAnsi="Arial" w:cs="Arial"/>
          <w:b/>
          <w:i w:val="0"/>
          <w:color w:val="000000" w:themeColor="text1"/>
          <w:sz w:val="24"/>
          <w:szCs w:val="24"/>
        </w:rPr>
        <w:t>Specific Conditions</w:t>
      </w:r>
    </w:p>
    <w:tbl>
      <w:tblPr>
        <w:tblpPr w:leftFromText="180" w:rightFromText="180" w:vertAnchor="text"/>
        <w:tblW w:w="12415" w:type="dxa"/>
        <w:shd w:val="clear" w:color="auto" w:fill="FFFFFF"/>
        <w:tblLayout w:type="fixed"/>
        <w:tblCellMar>
          <w:left w:w="0" w:type="dxa"/>
          <w:right w:w="0" w:type="dxa"/>
        </w:tblCellMar>
        <w:tblLook w:val="04A0" w:firstRow="1" w:lastRow="0" w:firstColumn="1" w:lastColumn="0" w:noHBand="0" w:noVBand="1"/>
      </w:tblPr>
      <w:tblGrid>
        <w:gridCol w:w="1727"/>
        <w:gridCol w:w="779"/>
        <w:gridCol w:w="1728"/>
        <w:gridCol w:w="1440"/>
        <w:gridCol w:w="1728"/>
        <w:gridCol w:w="2158"/>
        <w:gridCol w:w="2855"/>
      </w:tblGrid>
      <w:tr w:rsidR="009D78BE" w:rsidRPr="009D78BE" w14:paraId="43342713" w14:textId="77777777" w:rsidTr="005A7328">
        <w:trPr>
          <w:trHeight w:val="432"/>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6D5A76" w14:textId="55F10ACC" w:rsidR="001E4C36" w:rsidRPr="00D40B19" w:rsidRDefault="001C2122" w:rsidP="00D40B19">
            <w:pPr>
              <w:spacing w:line="240" w:lineRule="auto"/>
              <w:rPr>
                <w:rFonts w:ascii="Arial" w:hAnsi="Arial" w:cs="Arial"/>
                <w:b/>
                <w:color w:val="000000" w:themeColor="text1"/>
                <w:sz w:val="24"/>
                <w:szCs w:val="24"/>
              </w:rPr>
            </w:pPr>
            <w:r w:rsidRPr="009D78BE">
              <w:rPr>
                <w:rFonts w:ascii="Arial" w:hAnsi="Arial" w:cs="Arial"/>
                <w:b/>
                <w:color w:val="000000" w:themeColor="text1"/>
                <w:sz w:val="24"/>
                <w:szCs w:val="24"/>
              </w:rPr>
              <w:t xml:space="preserve">Cardiac </w:t>
            </w:r>
            <w:proofErr w:type="spellStart"/>
            <w:r w:rsidRPr="009D78BE">
              <w:rPr>
                <w:rFonts w:ascii="Arial" w:hAnsi="Arial" w:cs="Arial"/>
                <w:b/>
                <w:color w:val="000000" w:themeColor="text1"/>
                <w:sz w:val="24"/>
                <w:szCs w:val="24"/>
              </w:rPr>
              <w:t>Channelopathies</w:t>
            </w:r>
            <w:proofErr w:type="spellEnd"/>
          </w:p>
        </w:tc>
      </w:tr>
      <w:tr w:rsidR="009D78BE" w:rsidRPr="009D78BE" w14:paraId="4323DDBA" w14:textId="77777777" w:rsidTr="005A7328">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18167E" w14:textId="500EB9DD" w:rsidR="00F1412C" w:rsidRPr="00D40B19" w:rsidRDefault="00F1412C" w:rsidP="00D40B19">
            <w:pPr>
              <w:spacing w:line="240" w:lineRule="auto"/>
              <w:rPr>
                <w:rFonts w:ascii="Arial" w:hAnsi="Arial" w:cs="Arial"/>
                <w:b/>
                <w:color w:val="000000" w:themeColor="text1"/>
                <w:sz w:val="24"/>
                <w:szCs w:val="24"/>
              </w:rPr>
            </w:pPr>
            <w:r w:rsidRPr="00D40B19">
              <w:rPr>
                <w:rFonts w:ascii="Arial" w:hAnsi="Arial" w:cs="Arial"/>
                <w:b/>
                <w:color w:val="000000" w:themeColor="text1"/>
                <w:sz w:val="24"/>
                <w:szCs w:val="24"/>
              </w:rPr>
              <w:t xml:space="preserve">Long QT </w:t>
            </w:r>
            <w:r w:rsidR="001C2122" w:rsidRPr="009D78BE">
              <w:rPr>
                <w:rFonts w:ascii="Arial" w:hAnsi="Arial" w:cs="Arial"/>
                <w:b/>
                <w:color w:val="000000" w:themeColor="text1"/>
                <w:sz w:val="24"/>
                <w:szCs w:val="24"/>
              </w:rPr>
              <w:t>Syndrome</w:t>
            </w:r>
          </w:p>
        </w:tc>
      </w:tr>
      <w:tr w:rsidR="009D78BE" w:rsidRPr="009D78BE" w14:paraId="08BB41D5" w14:textId="15CF770B"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C338C5A" w14:textId="1D1BE501" w:rsidR="006C2257" w:rsidRPr="00D40B19" w:rsidRDefault="009D128D" w:rsidP="00D40B19">
            <w:pPr>
              <w:spacing w:line="240" w:lineRule="auto"/>
              <w:rPr>
                <w:rFonts w:ascii="Arial" w:hAnsi="Arial" w:cs="Arial"/>
                <w:b/>
                <w:color w:val="000000" w:themeColor="text1"/>
              </w:rPr>
            </w:pPr>
            <w:r w:rsidRPr="00D40B19">
              <w:rPr>
                <w:rFonts w:ascii="Arial" w:hAnsi="Arial" w:cs="Arial"/>
                <w:b/>
                <w:color w:val="000000" w:themeColor="text1"/>
              </w:rPr>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09C4D5D" w14:textId="1B547FCC" w:rsidR="006C2257" w:rsidRPr="00D40B19" w:rsidRDefault="006C2257" w:rsidP="00D40B19">
            <w:pPr>
              <w:spacing w:line="240" w:lineRule="auto"/>
              <w:jc w:val="center"/>
              <w:rPr>
                <w:rFonts w:ascii="Arial" w:hAnsi="Arial" w:cs="Arial"/>
                <w:b/>
                <w:color w:val="000000" w:themeColor="text1"/>
                <w:bdr w:val="none" w:sz="0" w:space="0" w:color="auto" w:frame="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979542B" w14:textId="2203A443" w:rsidR="006C2257" w:rsidRPr="00D40B19" w:rsidRDefault="006C2257" w:rsidP="00D40B19">
            <w:pPr>
              <w:spacing w:line="240" w:lineRule="auto"/>
              <w:rPr>
                <w:rFonts w:ascii="Arial" w:hAnsi="Arial" w:cs="Arial"/>
                <w:b/>
                <w:color w:val="000000" w:themeColor="text1"/>
              </w:rPr>
            </w:pPr>
            <w:r w:rsidRPr="00D40B19">
              <w:rPr>
                <w:rFonts w:ascii="Arial" w:hAnsi="Arial" w:cs="Arial"/>
                <w:b/>
                <w:color w:val="000000" w:themeColor="text1"/>
              </w:rPr>
              <w:t xml:space="preserve">Study </w:t>
            </w:r>
            <w:r w:rsidR="001C2122" w:rsidRPr="009D78BE">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E9ED2C2" w14:textId="5969CA52" w:rsidR="006C2257" w:rsidRPr="00D40B19" w:rsidRDefault="009D128D" w:rsidP="00D40B19">
            <w:pPr>
              <w:spacing w:line="240" w:lineRule="auto"/>
              <w:rPr>
                <w:rFonts w:ascii="Arial" w:hAnsi="Arial" w:cs="Arial"/>
                <w:b/>
                <w:color w:val="000000" w:themeColor="text1"/>
              </w:rPr>
            </w:pPr>
            <w:r w:rsidRPr="00D40B19">
              <w:rPr>
                <w:rFonts w:ascii="Arial" w:hAnsi="Arial" w:cs="Arial"/>
                <w:b/>
                <w:color w:val="000000" w:themeColor="text1"/>
              </w:rPr>
              <w:t xml:space="preserve">Patient </w:t>
            </w:r>
            <w:r w:rsidR="001C2122" w:rsidRPr="009D78BE">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E082DD9" w14:textId="14F94C60" w:rsidR="006C2257" w:rsidRPr="00D40B19" w:rsidRDefault="006C2257" w:rsidP="00D40B19">
            <w:pPr>
              <w:spacing w:line="240" w:lineRule="auto"/>
              <w:rPr>
                <w:rFonts w:ascii="Arial" w:hAnsi="Arial" w:cs="Arial"/>
                <w:b/>
                <w:color w:val="000000" w:themeColor="text1"/>
              </w:rPr>
            </w:pPr>
            <w:r w:rsidRPr="00D40B19">
              <w:rPr>
                <w:rFonts w:ascii="Arial" w:hAnsi="Arial" w:cs="Arial"/>
                <w:b/>
                <w:color w:val="000000" w:themeColor="text1"/>
              </w:rPr>
              <w:t xml:space="preserve">Inclusion </w:t>
            </w:r>
            <w:r w:rsidR="001C2122" w:rsidRPr="009D78BE">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AD3C1B6" w14:textId="52A790D0" w:rsidR="006C2257" w:rsidRPr="00D40B19" w:rsidRDefault="006C2257" w:rsidP="00D40B19">
            <w:pPr>
              <w:spacing w:line="240" w:lineRule="auto"/>
              <w:rPr>
                <w:rFonts w:ascii="Arial" w:hAnsi="Arial" w:cs="Arial"/>
                <w:b/>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68E8D" w14:textId="074D87CA" w:rsidR="006C2257" w:rsidRPr="00D40B19" w:rsidRDefault="003865A5" w:rsidP="00D40B19">
            <w:pPr>
              <w:spacing w:line="240" w:lineRule="auto"/>
              <w:ind w:left="151"/>
              <w:rPr>
                <w:rFonts w:ascii="Arial" w:hAnsi="Arial" w:cs="Arial"/>
                <w:b/>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0232C746"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8A8EB5" w14:textId="4EBCE472" w:rsidR="008A65BD" w:rsidRPr="00D40B19" w:rsidRDefault="008A65BD"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Spazzolini</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145</w:t>
            </w:r>
          </w:p>
          <w:p w14:paraId="1991A3C0" w14:textId="77777777" w:rsidR="008A65BD" w:rsidRPr="00D40B19" w:rsidRDefault="008A65BD" w:rsidP="00B05A29">
            <w:pPr>
              <w:spacing w:after="0" w:line="240" w:lineRule="auto"/>
              <w:contextualSpacing/>
              <w:rPr>
                <w:rFonts w:ascii="Arial" w:hAnsi="Arial" w:cs="Arial"/>
                <w:color w:val="000000" w:themeColor="text1"/>
                <w:sz w:val="20"/>
                <w:szCs w:val="20"/>
              </w:rPr>
            </w:pPr>
          </w:p>
          <w:p w14:paraId="04CCE632" w14:textId="77777777" w:rsidR="008A65BD" w:rsidRPr="00D40B19" w:rsidRDefault="008A65BD" w:rsidP="00B05A29">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43A7CE40" w14:textId="0343C91B"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2009</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A04F09" w14:textId="0DC00264"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LQTS </w:t>
            </w:r>
            <w:r w:rsidR="00E6304A" w:rsidRPr="00D40B19">
              <w:rPr>
                <w:rFonts w:ascii="Arial" w:hAnsi="Arial" w:cs="Arial"/>
                <w:color w:val="000000" w:themeColor="text1"/>
                <w:sz w:val="20"/>
                <w:szCs w:val="20"/>
              </w:rPr>
              <w:t>Registry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04C151" w14:textId="2A3FFEC4"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212 p</w:t>
            </w:r>
            <w:r w:rsidR="00F34813"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F34813" w:rsidRPr="00D40B19">
              <w:rPr>
                <w:rFonts w:ascii="Arial" w:hAnsi="Arial" w:cs="Arial"/>
                <w:color w:val="000000" w:themeColor="text1"/>
                <w:sz w:val="20"/>
                <w:szCs w:val="20"/>
              </w:rPr>
              <w:t>ient</w:t>
            </w:r>
            <w:r w:rsidRPr="00D40B19">
              <w:rPr>
                <w:rFonts w:ascii="Arial" w:hAnsi="Arial" w:cs="Arial"/>
                <w:color w:val="000000" w:themeColor="text1"/>
                <w:sz w:val="20"/>
                <w:szCs w:val="20"/>
              </w:rPr>
              <w:t xml:space="preserve">s with ECG &lt;1 </w:t>
            </w:r>
            <w:r w:rsidR="00F34813" w:rsidRPr="00D40B19">
              <w:rPr>
                <w:rFonts w:ascii="Arial" w:hAnsi="Arial" w:cs="Arial"/>
                <w:color w:val="000000" w:themeColor="text1"/>
                <w:sz w:val="20"/>
                <w:szCs w:val="20"/>
              </w:rPr>
              <w:t>year old</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793157" w14:textId="741D5BEB" w:rsidR="008A65BD" w:rsidRPr="00D40B19" w:rsidRDefault="008A65BD"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QTc &gt;450 </w:t>
            </w:r>
            <w:proofErr w:type="spellStart"/>
            <w:r w:rsidRPr="00D40B19">
              <w:rPr>
                <w:rFonts w:ascii="Arial" w:hAnsi="Arial" w:cs="Arial"/>
                <w:color w:val="000000" w:themeColor="text1"/>
                <w:sz w:val="20"/>
                <w:szCs w:val="20"/>
              </w:rPr>
              <w:t>ms</w:t>
            </w:r>
            <w:proofErr w:type="spellEnd"/>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66CC9F" w14:textId="255C2F46" w:rsidR="008A65BD" w:rsidRPr="00D40B19" w:rsidRDefault="008A65BD" w:rsidP="00D40B19">
            <w:pPr>
              <w:spacing w:line="240" w:lineRule="auto"/>
              <w:rPr>
                <w:rFonts w:ascii="Arial" w:hAnsi="Arial" w:cs="Arial"/>
                <w:color w:val="000000" w:themeColor="text1"/>
                <w:sz w:val="20"/>
                <w:szCs w:val="20"/>
              </w:rPr>
            </w:pPr>
            <w:r w:rsidRPr="00D40B19">
              <w:rPr>
                <w:rFonts w:ascii="Arial" w:eastAsia="Calibri" w:hAnsi="Arial" w:cs="Arial"/>
                <w:color w:val="000000" w:themeColor="text1"/>
                <w:sz w:val="20"/>
                <w:szCs w:val="20"/>
              </w:rPr>
              <w:t xml:space="preserve">Risk factors for LQTS patients with </w:t>
            </w:r>
            <w:r w:rsidR="00F15CA8" w:rsidRPr="00D40B19">
              <w:rPr>
                <w:rFonts w:ascii="Arial" w:eastAsia="Calibri" w:hAnsi="Arial" w:cs="Arial"/>
                <w:color w:val="000000" w:themeColor="text1"/>
                <w:sz w:val="20"/>
                <w:szCs w:val="20"/>
              </w:rPr>
              <w:t xml:space="preserve">cardiac events </w:t>
            </w:r>
            <w:r w:rsidRPr="00D40B19">
              <w:rPr>
                <w:rFonts w:ascii="Arial" w:eastAsia="Calibri" w:hAnsi="Arial" w:cs="Arial"/>
                <w:color w:val="000000" w:themeColor="text1"/>
                <w:sz w:val="20"/>
                <w:szCs w:val="20"/>
              </w:rPr>
              <w:t>in the first year of life and outcome</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4A676" w14:textId="4DAF35ED" w:rsidR="008A65BD" w:rsidRPr="00D40B19" w:rsidRDefault="008A65BD" w:rsidP="00D40B19">
            <w:pPr>
              <w:spacing w:line="240" w:lineRule="auto"/>
              <w:ind w:left="151"/>
              <w:rPr>
                <w:rFonts w:ascii="Arial" w:eastAsia="Calibri" w:hAnsi="Arial" w:cs="Arial"/>
                <w:color w:val="000000" w:themeColor="text1"/>
                <w:sz w:val="20"/>
                <w:szCs w:val="20"/>
              </w:rPr>
            </w:pPr>
            <w:r w:rsidRPr="00D40B19">
              <w:rPr>
                <w:rFonts w:ascii="Arial" w:eastAsia="Calibri" w:hAnsi="Arial" w:cs="Arial"/>
                <w:color w:val="000000" w:themeColor="text1"/>
                <w:sz w:val="20"/>
                <w:szCs w:val="20"/>
              </w:rPr>
              <w:t xml:space="preserve">28/212 (13%) had </w:t>
            </w:r>
            <w:r w:rsidR="00AA16C5" w:rsidRPr="00D40B19">
              <w:rPr>
                <w:rFonts w:ascii="Arial" w:eastAsia="Calibri" w:hAnsi="Arial" w:cs="Arial"/>
                <w:color w:val="000000" w:themeColor="text1"/>
                <w:sz w:val="20"/>
                <w:szCs w:val="20"/>
              </w:rPr>
              <w:t>cardiac events</w:t>
            </w:r>
            <w:r w:rsidRPr="00D40B19">
              <w:rPr>
                <w:rFonts w:ascii="Arial" w:eastAsia="Calibri" w:hAnsi="Arial" w:cs="Arial"/>
                <w:color w:val="000000" w:themeColor="text1"/>
                <w:sz w:val="20"/>
                <w:szCs w:val="20"/>
              </w:rPr>
              <w:t xml:space="preserve">. During first year of life: female sex, slow </w:t>
            </w:r>
            <w:r w:rsidR="007C1806" w:rsidRPr="00D40B19">
              <w:rPr>
                <w:rFonts w:ascii="Arial" w:eastAsia="Calibri" w:hAnsi="Arial" w:cs="Arial"/>
                <w:color w:val="000000" w:themeColor="text1"/>
                <w:sz w:val="20"/>
                <w:szCs w:val="20"/>
              </w:rPr>
              <w:t>heart rate</w:t>
            </w:r>
            <w:r w:rsidRPr="00D40B19">
              <w:rPr>
                <w:rFonts w:ascii="Arial" w:eastAsia="Calibri" w:hAnsi="Arial" w:cs="Arial"/>
                <w:color w:val="000000" w:themeColor="text1"/>
                <w:sz w:val="20"/>
                <w:szCs w:val="20"/>
              </w:rPr>
              <w:t>, and QTc</w:t>
            </w:r>
            <w:r w:rsidR="000B3A0C" w:rsidRPr="00D40B19">
              <w:rPr>
                <w:rFonts w:ascii="Arial" w:eastAsia="Calibri" w:hAnsi="Arial" w:cs="Arial"/>
                <w:color w:val="000000" w:themeColor="text1"/>
                <w:sz w:val="20"/>
                <w:szCs w:val="20"/>
              </w:rPr>
              <w:t xml:space="preserve"> </w:t>
            </w:r>
            <w:r w:rsidRPr="00D40B19">
              <w:rPr>
                <w:rFonts w:ascii="Arial" w:eastAsia="Calibri" w:hAnsi="Arial" w:cs="Arial"/>
                <w:color w:val="000000" w:themeColor="text1"/>
                <w:sz w:val="20"/>
                <w:szCs w:val="20"/>
              </w:rPr>
              <w:t>&gt;500 are risk factors. In follow</w:t>
            </w:r>
            <w:r w:rsidR="004365BE"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up syncope, QTc</w:t>
            </w:r>
            <w:r w:rsidR="000B3A0C" w:rsidRPr="00D40B19">
              <w:rPr>
                <w:rFonts w:ascii="Arial" w:eastAsia="Calibri" w:hAnsi="Arial" w:cs="Arial"/>
                <w:color w:val="000000" w:themeColor="text1"/>
                <w:sz w:val="20"/>
                <w:szCs w:val="20"/>
              </w:rPr>
              <w:t xml:space="preserve"> </w:t>
            </w:r>
            <w:r w:rsidRPr="00D40B19">
              <w:rPr>
                <w:rFonts w:ascii="Arial" w:eastAsia="Calibri" w:hAnsi="Arial" w:cs="Arial"/>
                <w:color w:val="000000" w:themeColor="text1"/>
                <w:sz w:val="20"/>
                <w:szCs w:val="20"/>
              </w:rPr>
              <w:t>&gt;500, and male sex were identified risk factors. Previous h</w:t>
            </w:r>
            <w:r w:rsidR="004365BE" w:rsidRPr="00D40B19">
              <w:rPr>
                <w:rFonts w:ascii="Arial" w:eastAsia="Calibri" w:hAnsi="Arial" w:cs="Arial"/>
                <w:color w:val="000000" w:themeColor="text1"/>
                <w:sz w:val="20"/>
                <w:szCs w:val="20"/>
              </w:rPr>
              <w:t>istory</w:t>
            </w:r>
            <w:r w:rsidRPr="00D40B19">
              <w:rPr>
                <w:rFonts w:ascii="Arial" w:eastAsia="Calibri" w:hAnsi="Arial" w:cs="Arial"/>
                <w:color w:val="000000" w:themeColor="text1"/>
                <w:sz w:val="20"/>
                <w:szCs w:val="20"/>
              </w:rPr>
              <w:t xml:space="preserve"> of </w:t>
            </w:r>
            <w:r w:rsidR="00F15CA8" w:rsidRPr="00D40B19">
              <w:rPr>
                <w:rFonts w:ascii="Arial" w:eastAsia="Calibri" w:hAnsi="Arial" w:cs="Arial"/>
                <w:color w:val="000000" w:themeColor="text1"/>
                <w:sz w:val="20"/>
                <w:szCs w:val="20"/>
              </w:rPr>
              <w:t>aborted cardiac arrest (A</w:t>
            </w:r>
            <w:r w:rsidRPr="00D40B19">
              <w:rPr>
                <w:rFonts w:ascii="Arial" w:eastAsia="Calibri" w:hAnsi="Arial" w:cs="Arial"/>
                <w:color w:val="000000" w:themeColor="text1"/>
                <w:sz w:val="20"/>
                <w:szCs w:val="20"/>
              </w:rPr>
              <w:t>CA</w:t>
            </w:r>
            <w:r w:rsidR="00F15CA8"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 xml:space="preserve"> &lt;1 y</w:t>
            </w:r>
            <w:r w:rsidR="004365BE" w:rsidRPr="00D40B19">
              <w:rPr>
                <w:rFonts w:ascii="Arial" w:eastAsia="Calibri" w:hAnsi="Arial" w:cs="Arial"/>
                <w:color w:val="000000" w:themeColor="text1"/>
                <w:sz w:val="20"/>
                <w:szCs w:val="20"/>
              </w:rPr>
              <w:t>ea</w:t>
            </w:r>
            <w:r w:rsidRPr="00D40B19">
              <w:rPr>
                <w:rFonts w:ascii="Arial" w:eastAsia="Calibri" w:hAnsi="Arial" w:cs="Arial"/>
                <w:color w:val="000000" w:themeColor="text1"/>
                <w:sz w:val="20"/>
                <w:szCs w:val="20"/>
              </w:rPr>
              <w:t xml:space="preserve">r </w:t>
            </w:r>
            <w:r w:rsidRPr="00D40B19">
              <w:rPr>
                <w:rFonts w:ascii="Arial" w:eastAsia="Calibri" w:hAnsi="Arial" w:cs="Arial"/>
                <w:color w:val="000000" w:themeColor="text1"/>
                <w:sz w:val="20"/>
                <w:szCs w:val="20"/>
              </w:rPr>
              <w:lastRenderedPageBreak/>
              <w:t xml:space="preserve">increased risk of subsequent </w:t>
            </w:r>
            <w:r w:rsidR="00F15CA8" w:rsidRPr="00D40B19">
              <w:rPr>
                <w:rFonts w:ascii="Arial" w:eastAsia="Calibri" w:hAnsi="Arial" w:cs="Arial"/>
                <w:color w:val="000000" w:themeColor="text1"/>
                <w:sz w:val="20"/>
                <w:szCs w:val="20"/>
              </w:rPr>
              <w:t>A</w:t>
            </w:r>
            <w:r w:rsidRPr="00D40B19">
              <w:rPr>
                <w:rFonts w:ascii="Arial" w:eastAsia="Calibri" w:hAnsi="Arial" w:cs="Arial"/>
                <w:color w:val="000000" w:themeColor="text1"/>
                <w:sz w:val="20"/>
                <w:szCs w:val="20"/>
              </w:rPr>
              <w:t>CA by 2.3</w:t>
            </w:r>
            <w:r w:rsidR="00F15CA8" w:rsidRPr="00D40B19">
              <w:rPr>
                <w:rFonts w:ascii="Arial" w:eastAsia="Calibri" w:hAnsi="Arial" w:cs="Arial"/>
                <w:color w:val="000000" w:themeColor="text1"/>
                <w:sz w:val="20"/>
                <w:szCs w:val="20"/>
              </w:rPr>
              <w:t>-fold</w:t>
            </w:r>
            <w:r w:rsidR="007C1806" w:rsidRPr="00D40B19">
              <w:rPr>
                <w:rFonts w:ascii="Arial" w:eastAsia="Calibri" w:hAnsi="Arial" w:cs="Arial"/>
                <w:color w:val="000000" w:themeColor="text1"/>
                <w:sz w:val="20"/>
                <w:szCs w:val="20"/>
              </w:rPr>
              <w:t>.</w:t>
            </w:r>
          </w:p>
        </w:tc>
      </w:tr>
      <w:tr w:rsidR="009D78BE" w:rsidRPr="009D78BE" w14:paraId="27891BCD"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BDC08B" w14:textId="0D2C7207" w:rsidR="008A65BD" w:rsidRPr="00D40B19" w:rsidRDefault="008A65BD"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lastRenderedPageBreak/>
              <w:t>Lui</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148</w:t>
            </w:r>
          </w:p>
          <w:p w14:paraId="799078F9" w14:textId="77777777" w:rsidR="008A65BD" w:rsidRPr="00D40B19" w:rsidRDefault="008A65BD" w:rsidP="00B05A29">
            <w:pPr>
              <w:spacing w:after="0" w:line="240" w:lineRule="auto"/>
              <w:contextualSpacing/>
              <w:rPr>
                <w:rFonts w:ascii="Arial" w:hAnsi="Arial" w:cs="Arial"/>
                <w:color w:val="000000" w:themeColor="text1"/>
                <w:sz w:val="20"/>
                <w:szCs w:val="20"/>
              </w:rPr>
            </w:pPr>
          </w:p>
          <w:p w14:paraId="5207572A" w14:textId="77777777" w:rsidR="008A65BD" w:rsidRPr="00D40B19" w:rsidRDefault="008A65BD" w:rsidP="00B05A29">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7B707" w14:textId="367DD88D"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2011</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58068" w14:textId="14E968E0"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LQTS Registry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BC8CF" w14:textId="42417447"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w:t>
            </w:r>
            <w:r w:rsidR="00F34813" w:rsidRPr="00D40B19">
              <w:rPr>
                <w:rFonts w:ascii="Arial" w:hAnsi="Arial" w:cs="Arial"/>
                <w:color w:val="000000" w:themeColor="text1"/>
                <w:sz w:val="20"/>
                <w:szCs w:val="20"/>
              </w:rPr>
              <w:t>,</w:t>
            </w:r>
            <w:r w:rsidRPr="00D40B19">
              <w:rPr>
                <w:rFonts w:ascii="Arial" w:hAnsi="Arial" w:cs="Arial"/>
                <w:color w:val="000000" w:themeColor="text1"/>
                <w:sz w:val="20"/>
                <w:szCs w:val="20"/>
              </w:rPr>
              <w:t>678</w:t>
            </w:r>
            <w:r w:rsidR="004B70C4" w:rsidRPr="00D40B19">
              <w:rPr>
                <w:rFonts w:ascii="Arial" w:hAnsi="Arial" w:cs="Arial"/>
                <w:color w:val="000000" w:themeColor="text1"/>
                <w:sz w:val="20"/>
                <w:szCs w:val="20"/>
              </w:rPr>
              <w:t xml:space="preserve"> patients; </w:t>
            </w:r>
            <w:r w:rsidRPr="00D40B19">
              <w:rPr>
                <w:rFonts w:ascii="Arial" w:hAnsi="Arial" w:cs="Arial"/>
                <w:color w:val="000000" w:themeColor="text1"/>
                <w:sz w:val="20"/>
                <w:szCs w:val="20"/>
              </w:rPr>
              <w:t>277</w:t>
            </w:r>
            <w:r w:rsidR="004B70C4" w:rsidRPr="00D40B19">
              <w:rPr>
                <w:rFonts w:ascii="Arial" w:hAnsi="Arial" w:cs="Arial"/>
                <w:color w:val="000000" w:themeColor="text1"/>
                <w:sz w:val="20"/>
                <w:szCs w:val="20"/>
              </w:rPr>
              <w:t xml:space="preserve"> with</w:t>
            </w:r>
            <w:r w:rsidRPr="00D40B19">
              <w:rPr>
                <w:rFonts w:ascii="Arial" w:hAnsi="Arial" w:cs="Arial"/>
                <w:color w:val="000000" w:themeColor="text1"/>
                <w:sz w:val="20"/>
                <w:szCs w:val="20"/>
              </w:rPr>
              <w:t xml:space="preserve"> ICD</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137B6D" w14:textId="455332FD" w:rsidR="008A65BD" w:rsidRPr="00D40B19" w:rsidRDefault="008A65BD"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LQTS &gt;450 </w:t>
            </w:r>
            <w:proofErr w:type="spellStart"/>
            <w:r w:rsidRPr="00D40B19">
              <w:rPr>
                <w:rFonts w:ascii="Arial" w:hAnsi="Arial" w:cs="Arial"/>
                <w:color w:val="000000" w:themeColor="text1"/>
                <w:sz w:val="20"/>
                <w:szCs w:val="20"/>
              </w:rPr>
              <w:t>ms</w:t>
            </w:r>
            <w:proofErr w:type="spellEnd"/>
            <w:r w:rsidRPr="00D40B19">
              <w:rPr>
                <w:rFonts w:ascii="Arial" w:hAnsi="Arial" w:cs="Arial"/>
                <w:color w:val="000000" w:themeColor="text1"/>
                <w:sz w:val="20"/>
                <w:szCs w:val="20"/>
              </w:rPr>
              <w:t xml:space="preserve"> QTc or LQTS mutation; &lt;20 </w:t>
            </w:r>
            <w:r w:rsidR="004365BE" w:rsidRPr="00D40B19">
              <w:rPr>
                <w:rFonts w:ascii="Arial" w:hAnsi="Arial" w:cs="Arial"/>
                <w:color w:val="000000" w:themeColor="text1"/>
                <w:sz w:val="20"/>
                <w:szCs w:val="20"/>
              </w:rPr>
              <w:t>years old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72E75B" w14:textId="6FDB5852" w:rsidR="008A65BD" w:rsidRPr="00D40B19" w:rsidRDefault="008A65BD" w:rsidP="00D40B19">
            <w:pPr>
              <w:spacing w:line="240" w:lineRule="auto"/>
              <w:rPr>
                <w:rFonts w:ascii="Arial" w:hAnsi="Arial" w:cs="Arial"/>
                <w:color w:val="000000" w:themeColor="text1"/>
                <w:sz w:val="20"/>
                <w:szCs w:val="20"/>
              </w:rPr>
            </w:pPr>
            <w:r w:rsidRPr="00D40B19">
              <w:rPr>
                <w:rFonts w:ascii="Arial" w:eastAsia="Calibri" w:hAnsi="Arial" w:cs="Arial"/>
                <w:color w:val="000000" w:themeColor="text1"/>
                <w:sz w:val="20"/>
                <w:szCs w:val="20"/>
              </w:rPr>
              <w:t xml:space="preserve">Occurrence of </w:t>
            </w:r>
            <w:r w:rsidR="003A29B1" w:rsidRPr="00D40B19">
              <w:rPr>
                <w:rFonts w:ascii="Arial" w:eastAsia="Calibri" w:hAnsi="Arial" w:cs="Arial"/>
                <w:color w:val="000000" w:themeColor="text1"/>
                <w:sz w:val="20"/>
                <w:szCs w:val="20"/>
              </w:rPr>
              <w:t>second to fourth</w:t>
            </w:r>
            <w:r w:rsidRPr="00D40B19">
              <w:rPr>
                <w:rFonts w:ascii="Arial" w:eastAsia="Calibri" w:hAnsi="Arial" w:cs="Arial"/>
                <w:color w:val="000000" w:themeColor="text1"/>
                <w:sz w:val="20"/>
                <w:szCs w:val="20"/>
              </w:rPr>
              <w:t xml:space="preserve"> events from 1 </w:t>
            </w:r>
            <w:r w:rsidR="004365BE" w:rsidRPr="00D40B19">
              <w:rPr>
                <w:rFonts w:ascii="Arial" w:eastAsia="Calibri" w:hAnsi="Arial" w:cs="Arial"/>
                <w:color w:val="000000" w:themeColor="text1"/>
                <w:sz w:val="20"/>
                <w:szCs w:val="20"/>
              </w:rPr>
              <w:t xml:space="preserve">to </w:t>
            </w:r>
            <w:r w:rsidRPr="00D40B19">
              <w:rPr>
                <w:rFonts w:ascii="Arial" w:eastAsia="Calibri" w:hAnsi="Arial" w:cs="Arial"/>
                <w:color w:val="000000" w:themeColor="text1"/>
                <w:sz w:val="20"/>
                <w:szCs w:val="20"/>
              </w:rPr>
              <w:t xml:space="preserve">20 years  </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50F9" w14:textId="4CD831CE" w:rsidR="008A65BD" w:rsidRPr="00D40B19" w:rsidRDefault="008A65BD" w:rsidP="00D40B19">
            <w:pPr>
              <w:spacing w:line="240" w:lineRule="auto"/>
              <w:ind w:left="151"/>
              <w:rPr>
                <w:rFonts w:ascii="Arial" w:eastAsia="Calibri" w:hAnsi="Arial" w:cs="Arial"/>
                <w:color w:val="000000" w:themeColor="text1"/>
                <w:sz w:val="20"/>
                <w:szCs w:val="20"/>
              </w:rPr>
            </w:pPr>
            <w:r w:rsidRPr="00D40B19">
              <w:rPr>
                <w:rFonts w:ascii="Arial" w:eastAsia="Calibri" w:hAnsi="Arial" w:cs="Arial"/>
                <w:color w:val="000000" w:themeColor="text1"/>
                <w:sz w:val="20"/>
                <w:szCs w:val="20"/>
              </w:rPr>
              <w:t>Recurrent syncope is a predictor of fatal or near fatal events, independent of QTc and age-sex interactions. QTc duration &gt;500</w:t>
            </w:r>
            <w:r w:rsidR="004854CD" w:rsidRPr="00D40B19">
              <w:rPr>
                <w:rFonts w:ascii="Arial" w:eastAsia="Calibri" w:hAnsi="Arial" w:cs="Arial"/>
                <w:color w:val="000000" w:themeColor="text1"/>
                <w:sz w:val="20"/>
                <w:szCs w:val="20"/>
              </w:rPr>
              <w:t xml:space="preserve"> </w:t>
            </w:r>
            <w:proofErr w:type="spellStart"/>
            <w:r w:rsidRPr="00D40B19">
              <w:rPr>
                <w:rFonts w:ascii="Arial" w:eastAsia="Calibri" w:hAnsi="Arial" w:cs="Arial"/>
                <w:color w:val="000000" w:themeColor="text1"/>
                <w:sz w:val="20"/>
                <w:szCs w:val="20"/>
              </w:rPr>
              <w:t>ms</w:t>
            </w:r>
            <w:proofErr w:type="spellEnd"/>
            <w:r w:rsidRPr="00D40B19">
              <w:rPr>
                <w:rFonts w:ascii="Arial" w:eastAsia="Calibri" w:hAnsi="Arial" w:cs="Arial"/>
                <w:color w:val="000000" w:themeColor="text1"/>
                <w:sz w:val="20"/>
                <w:szCs w:val="20"/>
              </w:rPr>
              <w:t xml:space="preserve"> is major predictor of first syncopal episode</w:t>
            </w:r>
            <w:r w:rsidRPr="00D40B19">
              <w:rPr>
                <w:rFonts w:ascii="Arial" w:hAnsi="Arial" w:cs="Arial"/>
                <w:color w:val="000000" w:themeColor="text1"/>
                <w:sz w:val="20"/>
                <w:szCs w:val="20"/>
              </w:rPr>
              <w:t xml:space="preserve">. </w:t>
            </w:r>
          </w:p>
        </w:tc>
      </w:tr>
      <w:tr w:rsidR="009D78BE" w:rsidRPr="009D78BE" w14:paraId="22EA357B"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4265ED" w14:textId="54D6FFEA" w:rsidR="008A65BD" w:rsidRPr="00D40B19" w:rsidRDefault="008A65BD" w:rsidP="00D40B19">
            <w:pPr>
              <w:spacing w:line="240" w:lineRule="auto"/>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Goldenberg</w:t>
            </w:r>
            <w:r w:rsidR="00E81116" w:rsidRPr="00D40B19">
              <w:rPr>
                <w:rFonts w:ascii="Arial" w:hAnsi="Arial" w:cs="Arial"/>
                <w:bCs/>
                <w:color w:val="000000" w:themeColor="text1"/>
                <w:sz w:val="20"/>
                <w:szCs w:val="20"/>
              </w:rPr>
              <w:t xml:space="preserve"> et al</w:t>
            </w:r>
            <w:r w:rsidRPr="00D40B19">
              <w:rPr>
                <w:rFonts w:ascii="Arial" w:eastAsiaTheme="minorEastAsia" w:hAnsi="Arial" w:cs="Arial"/>
                <w:color w:val="000000" w:themeColor="text1"/>
                <w:sz w:val="20"/>
                <w:szCs w:val="20"/>
                <w:vertAlign w:val="superscript"/>
              </w:rPr>
              <w:t>149</w:t>
            </w:r>
          </w:p>
          <w:p w14:paraId="7AFB496A" w14:textId="77777777" w:rsidR="008A65BD" w:rsidRPr="00D40B19" w:rsidRDefault="008A65BD" w:rsidP="00B05A29">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53C6624" w14:textId="284D25DE"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2008</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2725A8" w14:textId="7B746ACA"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LQTS Registry: </w:t>
            </w:r>
            <w:r w:rsidR="00851767" w:rsidRPr="00D40B19">
              <w:rPr>
                <w:rFonts w:ascii="Arial" w:hAnsi="Arial" w:cs="Arial"/>
                <w:color w:val="000000" w:themeColor="text1"/>
                <w:sz w:val="20"/>
                <w:szCs w:val="20"/>
              </w:rPr>
              <w:t>retrospective</w:t>
            </w:r>
            <w:r w:rsidRPr="00D40B19">
              <w:rPr>
                <w:rFonts w:ascii="Arial" w:hAnsi="Arial" w:cs="Arial"/>
                <w:color w:val="000000" w:themeColor="text1"/>
                <w:sz w:val="20"/>
                <w:szCs w:val="20"/>
              </w:rPr>
              <w:t>/</w:t>
            </w:r>
            <w:r w:rsidR="00851767" w:rsidRPr="00D40B19">
              <w:rPr>
                <w:rFonts w:ascii="Arial" w:hAnsi="Arial" w:cs="Arial"/>
                <w:color w:val="000000" w:themeColor="text1"/>
                <w:sz w:val="20"/>
                <w:szCs w:val="20"/>
              </w:rPr>
              <w:t>prospective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C68CE" w14:textId="5B1B608F"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3,015</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ADB1AE" w14:textId="3C31B3A8" w:rsidR="008A65BD" w:rsidRPr="00D40B19" w:rsidRDefault="008A65BD"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LQTS probands; </w:t>
            </w:r>
            <w:r w:rsidR="00FE2F2A" w:rsidRPr="00D40B19">
              <w:rPr>
                <w:rFonts w:ascii="Arial" w:hAnsi="Arial" w:cs="Arial"/>
                <w:color w:val="000000" w:themeColor="text1"/>
                <w:sz w:val="20"/>
                <w:szCs w:val="20"/>
              </w:rPr>
              <w:t>m</w:t>
            </w:r>
            <w:r w:rsidRPr="00D40B19">
              <w:rPr>
                <w:rFonts w:ascii="Arial" w:hAnsi="Arial" w:cs="Arial"/>
                <w:color w:val="000000" w:themeColor="text1"/>
                <w:sz w:val="20"/>
                <w:szCs w:val="20"/>
              </w:rPr>
              <w:t>ean age 7.5 years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1862A04" w14:textId="59C5F9A3" w:rsidR="008A65BD" w:rsidRPr="00D40B19" w:rsidRDefault="008A65B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Define risks for LQTS events ages 1</w:t>
            </w:r>
            <w:r w:rsidR="003A29B1" w:rsidRPr="00D40B19">
              <w:rPr>
                <w:rFonts w:ascii="Arial" w:hAnsi="Arial" w:cs="Arial"/>
                <w:color w:val="000000" w:themeColor="text1"/>
                <w:sz w:val="20"/>
                <w:szCs w:val="20"/>
              </w:rPr>
              <w:t>–</w:t>
            </w:r>
            <w:r w:rsidRPr="00D40B19">
              <w:rPr>
                <w:rFonts w:ascii="Arial" w:hAnsi="Arial" w:cs="Arial"/>
                <w:color w:val="000000" w:themeColor="text1"/>
                <w:sz w:val="20"/>
                <w:szCs w:val="20"/>
              </w:rPr>
              <w:t>12 years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212" w14:textId="1CA3BF75" w:rsidR="008A65BD" w:rsidRPr="00D40B19" w:rsidRDefault="008A65BD" w:rsidP="00D40B19">
            <w:pPr>
              <w:spacing w:line="240" w:lineRule="auto"/>
              <w:ind w:left="151"/>
              <w:rPr>
                <w:rFonts w:ascii="Arial" w:eastAsia="Calibri" w:hAnsi="Arial" w:cs="Arial"/>
                <w:color w:val="000000" w:themeColor="text1"/>
                <w:sz w:val="20"/>
                <w:szCs w:val="20"/>
              </w:rPr>
            </w:pPr>
            <w:r w:rsidRPr="00D40B19">
              <w:rPr>
                <w:rFonts w:ascii="Arial" w:eastAsia="Calibri" w:hAnsi="Arial" w:cs="Arial"/>
                <w:color w:val="000000" w:themeColor="text1"/>
                <w:sz w:val="20"/>
                <w:szCs w:val="20"/>
              </w:rPr>
              <w:t xml:space="preserve">LQTS males </w:t>
            </w:r>
            <w:r w:rsidR="004854CD" w:rsidRPr="00D40B19">
              <w:rPr>
                <w:rFonts w:ascii="Arial" w:eastAsia="Calibri" w:hAnsi="Arial" w:cs="Arial"/>
                <w:color w:val="000000" w:themeColor="text1"/>
                <w:sz w:val="20"/>
                <w:szCs w:val="20"/>
              </w:rPr>
              <w:t>have a higher</w:t>
            </w:r>
            <w:r w:rsidRPr="00D40B19">
              <w:rPr>
                <w:rFonts w:ascii="Arial" w:eastAsia="Calibri" w:hAnsi="Arial" w:cs="Arial"/>
                <w:color w:val="000000" w:themeColor="text1"/>
                <w:sz w:val="20"/>
                <w:szCs w:val="20"/>
              </w:rPr>
              <w:t xml:space="preserve"> rate of fatal/near fatal cardiac events than females. Risks: QTc&gt; 500 and prior history of syncope in males; prior history of syncope alone in female. Beta</w:t>
            </w:r>
            <w:r w:rsidR="004365BE"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blockers reduce risk of LTE. Family history of SCD in first</w:t>
            </w:r>
            <w:r w:rsidR="004365BE"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degree relative was not a childhood predictor of ACA/SCD.</w:t>
            </w:r>
          </w:p>
        </w:tc>
      </w:tr>
      <w:tr w:rsidR="009D78BE" w:rsidRPr="009D78BE" w14:paraId="1F500051" w14:textId="2367A1D9"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307A17" w14:textId="79185540" w:rsidR="003747DA" w:rsidRPr="00D40B19" w:rsidRDefault="003747DA"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Etheridge</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15</w:t>
            </w:r>
            <w:r w:rsidR="00053834" w:rsidRPr="00D40B19">
              <w:rPr>
                <w:rFonts w:ascii="Arial" w:hAnsi="Arial" w:cs="Arial"/>
                <w:color w:val="000000" w:themeColor="text1"/>
                <w:sz w:val="20"/>
                <w:szCs w:val="20"/>
                <w:vertAlign w:val="superscript"/>
              </w:rPr>
              <w:t>4</w:t>
            </w:r>
          </w:p>
          <w:p w14:paraId="57C89B6C" w14:textId="77777777" w:rsidR="003747DA" w:rsidRPr="00D40B19" w:rsidRDefault="003747DA" w:rsidP="00B05A29">
            <w:pPr>
              <w:spacing w:after="0" w:line="240" w:lineRule="auto"/>
              <w:contextualSpacing/>
              <w:rPr>
                <w:rFonts w:ascii="Arial" w:hAnsi="Arial" w:cs="Arial"/>
                <w:color w:val="000000" w:themeColor="text1"/>
                <w:sz w:val="20"/>
                <w:szCs w:val="20"/>
              </w:rPr>
            </w:pPr>
          </w:p>
          <w:p w14:paraId="1F96B0A8" w14:textId="7C748A99" w:rsidR="003747DA" w:rsidRPr="00D40B19" w:rsidRDefault="003747DA"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03EB1B" w14:textId="09DDCB14" w:rsidR="003747DA" w:rsidRPr="00D40B19" w:rsidRDefault="003747DA" w:rsidP="00D40B19">
            <w:pPr>
              <w:spacing w:line="240" w:lineRule="auto"/>
              <w:rPr>
                <w:rFonts w:ascii="Arial" w:eastAsiaTheme="minorEastAsia" w:hAnsi="Arial" w:cs="Arial"/>
                <w:bCs/>
                <w:color w:val="000000" w:themeColor="text1"/>
                <w:sz w:val="20"/>
                <w:szCs w:val="20"/>
              </w:rPr>
            </w:pPr>
            <w:r w:rsidRPr="00D40B19">
              <w:rPr>
                <w:rFonts w:ascii="Arial" w:hAnsi="Arial" w:cs="Arial"/>
                <w:color w:val="000000" w:themeColor="text1"/>
                <w:sz w:val="20"/>
                <w:szCs w:val="20"/>
              </w:rPr>
              <w:t>2007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1AD7" w14:textId="0A4456D4" w:rsidR="003747DA" w:rsidRPr="00D40B19" w:rsidRDefault="003747DA"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Multicenter</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2629B" w14:textId="7BA25D36" w:rsidR="003747DA" w:rsidRPr="00D40B19" w:rsidRDefault="003747DA"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128</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48F868" w14:textId="580760DE" w:rsidR="003747DA" w:rsidRPr="00D40B19" w:rsidRDefault="003747DA"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LQTS &lt;18</w:t>
            </w:r>
            <w:r w:rsidR="004365BE" w:rsidRPr="00D40B19">
              <w:rPr>
                <w:rFonts w:ascii="Arial" w:hAnsi="Arial" w:cs="Arial"/>
                <w:color w:val="000000" w:themeColor="text1"/>
                <w:sz w:val="20"/>
                <w:szCs w:val="20"/>
              </w:rPr>
              <w:t xml:space="preserve"> years old</w:t>
            </w:r>
          </w:p>
          <w:p w14:paraId="68ADC779" w14:textId="2E1BF6FF" w:rsidR="003747DA" w:rsidRPr="00D40B19" w:rsidRDefault="00FE2F2A"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at</w:t>
            </w:r>
            <w:r w:rsidR="003747DA" w:rsidRPr="00D40B19">
              <w:rPr>
                <w:rFonts w:ascii="Arial" w:hAnsi="Arial" w:cs="Arial"/>
                <w:color w:val="000000" w:themeColor="text1"/>
                <w:sz w:val="20"/>
                <w:szCs w:val="20"/>
              </w:rPr>
              <w:t xml:space="preserve"> ICD implant</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B336F4" w14:textId="4860D35B" w:rsidR="003747DA" w:rsidRPr="00D40B19" w:rsidRDefault="003747DA"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 xml:space="preserve">Appropriate or </w:t>
            </w:r>
            <w:r w:rsidR="003A29B1" w:rsidRPr="00D40B19">
              <w:rPr>
                <w:rFonts w:ascii="Arial" w:hAnsi="Arial" w:cs="Arial"/>
                <w:color w:val="000000" w:themeColor="text1"/>
                <w:sz w:val="20"/>
                <w:szCs w:val="20"/>
              </w:rPr>
              <w:t xml:space="preserve">inappropriate </w:t>
            </w:r>
            <w:r w:rsidRPr="00D40B19">
              <w:rPr>
                <w:rFonts w:ascii="Arial" w:hAnsi="Arial" w:cs="Arial"/>
                <w:color w:val="000000" w:themeColor="text1"/>
                <w:sz w:val="20"/>
                <w:szCs w:val="20"/>
              </w:rPr>
              <w:t>ICD shocks or complications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9B8C784" w14:textId="287408C9" w:rsidR="003747DA" w:rsidRPr="00D40B19" w:rsidRDefault="003747DA" w:rsidP="00D40B19">
            <w:pPr>
              <w:spacing w:line="240" w:lineRule="auto"/>
              <w:ind w:left="151"/>
              <w:rPr>
                <w:rFonts w:ascii="Arial" w:eastAsia="Calibri" w:hAnsi="Arial" w:cs="Arial"/>
                <w:color w:val="000000" w:themeColor="text1"/>
                <w:sz w:val="20"/>
                <w:szCs w:val="20"/>
              </w:rPr>
            </w:pPr>
            <w:r w:rsidRPr="00D40B19">
              <w:rPr>
                <w:rFonts w:ascii="Arial" w:eastAsia="Calibri" w:hAnsi="Arial" w:cs="Arial"/>
                <w:color w:val="000000" w:themeColor="text1"/>
                <w:sz w:val="20"/>
                <w:szCs w:val="20"/>
              </w:rPr>
              <w:t>22% received appropriate ICD therapy with mean first shock 18</w:t>
            </w:r>
            <w:r w:rsidR="006A5CB5" w:rsidRPr="00D40B19">
              <w:rPr>
                <w:rFonts w:ascii="Arial" w:eastAsia="Calibri" w:hAnsi="Arial" w:cs="Arial"/>
                <w:color w:val="000000" w:themeColor="text1"/>
                <w:sz w:val="20"/>
                <w:szCs w:val="20"/>
              </w:rPr>
              <w:t xml:space="preserve"> </w:t>
            </w:r>
            <w:r w:rsidR="006A5CB5" w:rsidRPr="00D40B19">
              <w:rPr>
                <w:rFonts w:ascii="Arial" w:eastAsia="Calibri" w:hAnsi="Arial" w:cs="Arial"/>
                <w:color w:val="000000" w:themeColor="text1"/>
                <w:sz w:val="20"/>
                <w:szCs w:val="20"/>
              </w:rPr>
              <w:sym w:font="Symbol" w:char="F0B1"/>
            </w:r>
            <w:r w:rsidR="006A5CB5" w:rsidRPr="00D40B19">
              <w:rPr>
                <w:rFonts w:ascii="Arial" w:eastAsia="Calibri" w:hAnsi="Arial" w:cs="Arial"/>
                <w:color w:val="000000" w:themeColor="text1"/>
                <w:sz w:val="20"/>
                <w:szCs w:val="20"/>
              </w:rPr>
              <w:t xml:space="preserve"> </w:t>
            </w:r>
            <w:r w:rsidRPr="00D40B19">
              <w:rPr>
                <w:rFonts w:ascii="Arial" w:eastAsia="Calibri" w:hAnsi="Arial" w:cs="Arial"/>
                <w:color w:val="000000" w:themeColor="text1"/>
                <w:sz w:val="20"/>
                <w:szCs w:val="20"/>
              </w:rPr>
              <w:t>22 months. 17% had inappropriate ICD therapy (ST or a</w:t>
            </w:r>
            <w:r w:rsidR="00620147">
              <w:rPr>
                <w:rFonts w:ascii="Arial" w:eastAsia="Calibri" w:hAnsi="Arial" w:cs="Arial"/>
                <w:color w:val="000000" w:themeColor="text1"/>
                <w:sz w:val="20"/>
                <w:szCs w:val="20"/>
              </w:rPr>
              <w:t xml:space="preserve">trial </w:t>
            </w:r>
            <w:r w:rsidRPr="00D40B19">
              <w:rPr>
                <w:rFonts w:ascii="Arial" w:eastAsia="Calibri" w:hAnsi="Arial" w:cs="Arial"/>
                <w:color w:val="000000" w:themeColor="text1"/>
                <w:sz w:val="20"/>
                <w:szCs w:val="20"/>
              </w:rPr>
              <w:t>fib</w:t>
            </w:r>
            <w:r w:rsidR="00620147">
              <w:rPr>
                <w:rFonts w:ascii="Arial" w:eastAsia="Calibri" w:hAnsi="Arial" w:cs="Arial"/>
                <w:color w:val="000000" w:themeColor="text1"/>
                <w:sz w:val="20"/>
                <w:szCs w:val="20"/>
              </w:rPr>
              <w:t>rillation</w:t>
            </w:r>
            <w:r w:rsidRPr="00D40B19">
              <w:rPr>
                <w:rFonts w:ascii="Arial" w:eastAsia="Calibri" w:hAnsi="Arial" w:cs="Arial"/>
                <w:color w:val="000000" w:themeColor="text1"/>
                <w:sz w:val="20"/>
                <w:szCs w:val="20"/>
              </w:rPr>
              <w:t>).  Recommended ICD implant for patients with previous cardiac arrest, documented VT/</w:t>
            </w:r>
            <w:proofErr w:type="spellStart"/>
            <w:r w:rsidR="001351BB" w:rsidRPr="001351BB">
              <w:rPr>
                <w:rFonts w:ascii="Arial" w:eastAsia="Calibri" w:hAnsi="Arial" w:cs="Arial"/>
                <w:color w:val="000000" w:themeColor="text1"/>
                <w:sz w:val="20"/>
                <w:szCs w:val="20"/>
              </w:rPr>
              <w:t>torsades</w:t>
            </w:r>
            <w:proofErr w:type="spellEnd"/>
            <w:r w:rsidR="001351BB" w:rsidRPr="001351BB">
              <w:rPr>
                <w:rFonts w:ascii="Arial" w:eastAsia="Calibri" w:hAnsi="Arial" w:cs="Arial"/>
                <w:color w:val="000000" w:themeColor="text1"/>
                <w:sz w:val="20"/>
                <w:szCs w:val="20"/>
              </w:rPr>
              <w:t xml:space="preserve"> de pointes</w:t>
            </w:r>
            <w:r w:rsidRPr="00D40B19">
              <w:rPr>
                <w:rFonts w:ascii="Arial" w:eastAsia="Calibri" w:hAnsi="Arial" w:cs="Arial"/>
                <w:color w:val="000000" w:themeColor="text1"/>
                <w:sz w:val="20"/>
                <w:szCs w:val="20"/>
              </w:rPr>
              <w:t>, syncope on beta</w:t>
            </w:r>
            <w:r w:rsidR="00DA6F92">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blockers. For SCN5A mutation, no consensus</w:t>
            </w:r>
            <w:r w:rsidR="00DA6F92">
              <w:rPr>
                <w:rFonts w:ascii="Arial" w:eastAsia="Calibri" w:hAnsi="Arial" w:cs="Arial"/>
                <w:color w:val="000000" w:themeColor="text1"/>
                <w:sz w:val="20"/>
                <w:szCs w:val="20"/>
              </w:rPr>
              <w:t>.</w:t>
            </w:r>
          </w:p>
        </w:tc>
      </w:tr>
      <w:tr w:rsidR="009D78BE" w:rsidRPr="009D78BE" w14:paraId="5577D202" w14:textId="77777777" w:rsidTr="005A7328">
        <w:trPr>
          <w:trHeight w:val="432"/>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4007CC" w14:textId="56E4A933" w:rsidR="00CE603E" w:rsidRPr="00D40B19" w:rsidRDefault="0050678F" w:rsidP="00D40B19">
            <w:pPr>
              <w:spacing w:line="240" w:lineRule="auto"/>
              <w:rPr>
                <w:rFonts w:ascii="Arial" w:eastAsia="Calibri" w:hAnsi="Arial" w:cs="Arial"/>
                <w:b/>
                <w:color w:val="000000" w:themeColor="text1"/>
                <w:sz w:val="24"/>
                <w:szCs w:val="24"/>
              </w:rPr>
            </w:pPr>
            <w:r w:rsidRPr="0050678F">
              <w:rPr>
                <w:rFonts w:ascii="Arial" w:eastAsia="Calibri" w:hAnsi="Arial" w:cs="Arial"/>
                <w:b/>
                <w:color w:val="000000" w:themeColor="text1"/>
                <w:sz w:val="24"/>
                <w:szCs w:val="24"/>
              </w:rPr>
              <w:t xml:space="preserve">Catecholaminergic </w:t>
            </w:r>
            <w:r w:rsidR="001C2122" w:rsidRPr="0050678F">
              <w:rPr>
                <w:rFonts w:ascii="Arial" w:eastAsia="Calibri" w:hAnsi="Arial" w:cs="Arial"/>
                <w:b/>
                <w:color w:val="000000" w:themeColor="text1"/>
                <w:sz w:val="24"/>
                <w:szCs w:val="24"/>
              </w:rPr>
              <w:t xml:space="preserve">Polymorphic Ventricular </w:t>
            </w:r>
            <w:r w:rsidR="006D10B9" w:rsidRPr="0050678F">
              <w:rPr>
                <w:rFonts w:ascii="Arial" w:eastAsia="Calibri" w:hAnsi="Arial" w:cs="Arial"/>
                <w:b/>
                <w:color w:val="000000" w:themeColor="text1"/>
                <w:sz w:val="24"/>
                <w:szCs w:val="24"/>
              </w:rPr>
              <w:t>Tachycardia</w:t>
            </w:r>
          </w:p>
        </w:tc>
      </w:tr>
      <w:tr w:rsidR="009D78BE" w:rsidRPr="009D78BE" w14:paraId="4B0C2C0E"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A2315E" w14:textId="327CA4A7" w:rsidR="009D128D" w:rsidRPr="00D40B19" w:rsidRDefault="009D128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Study author</w:t>
            </w:r>
            <w:r w:rsidR="001C2122" w:rsidRPr="009D78BE">
              <w:rPr>
                <w:rFonts w:ascii="Arial" w:hAnsi="Arial" w:cs="Arial"/>
                <w:b/>
                <w:color w:val="000000" w:themeColor="text1"/>
              </w:rPr>
              <w:t xml:space="preserve"> </w:t>
            </w:r>
            <w:r w:rsidRPr="00D40B19">
              <w:rPr>
                <w:rFonts w:ascii="Arial" w:hAnsi="Arial" w:cs="Arial"/>
                <w:b/>
                <w:color w:val="000000" w:themeColor="text1"/>
              </w:rPr>
              <w:t>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34CAD08" w14:textId="75ED0460"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96C320" w14:textId="5DCE4D92" w:rsidR="009D128D" w:rsidRPr="00D40B19" w:rsidRDefault="009D128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C89DCE" w14:textId="76D2A531" w:rsidR="009D128D" w:rsidRPr="00D40B19" w:rsidRDefault="009D128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5AD95B" w14:textId="60CBB86A" w:rsidR="009D128D" w:rsidRPr="00D40B19" w:rsidRDefault="009D128D" w:rsidP="00B05A29">
            <w:pPr>
              <w:spacing w:after="0" w:line="240" w:lineRule="auto"/>
              <w:contextualSpacing/>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5132A8" w14:textId="2AC5C503" w:rsidR="009D128D" w:rsidRPr="00D40B19" w:rsidRDefault="009D128D" w:rsidP="00D40B19">
            <w:pPr>
              <w:spacing w:line="240" w:lineRule="auto"/>
              <w:rPr>
                <w:rFonts w:ascii="Arial" w:eastAsia="Calibri"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110C29" w14:textId="4A170C0D" w:rsidR="009D128D" w:rsidRPr="009D78BE" w:rsidRDefault="009D128D" w:rsidP="00D40B19">
            <w:pPr>
              <w:spacing w:line="240" w:lineRule="auto"/>
              <w:ind w:left="151"/>
              <w:rPr>
                <w:rFonts w:ascii="Arial" w:eastAsiaTheme="minorEastAsia"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2D25D455"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B9B437" w14:textId="3DC737DF" w:rsidR="00A02947" w:rsidRPr="00D40B19" w:rsidRDefault="00A02947"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 xml:space="preserve">Van der </w:t>
            </w:r>
            <w:proofErr w:type="spellStart"/>
            <w:r w:rsidRPr="00D40B19">
              <w:rPr>
                <w:rFonts w:ascii="Arial" w:hAnsi="Arial" w:cs="Arial"/>
                <w:color w:val="000000" w:themeColor="text1"/>
                <w:sz w:val="20"/>
                <w:szCs w:val="20"/>
              </w:rPr>
              <w:t>Werf</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126</w:t>
            </w:r>
          </w:p>
          <w:p w14:paraId="07439FCA" w14:textId="77777777" w:rsidR="00A02947" w:rsidRPr="00D40B19" w:rsidRDefault="00A02947" w:rsidP="00B05A29">
            <w:pPr>
              <w:spacing w:after="0" w:line="240" w:lineRule="auto"/>
              <w:contextualSpacing/>
              <w:rPr>
                <w:rFonts w:ascii="Arial" w:hAnsi="Arial" w:cs="Arial"/>
                <w:color w:val="000000" w:themeColor="text1"/>
                <w:sz w:val="20"/>
                <w:szCs w:val="20"/>
              </w:rPr>
            </w:pPr>
          </w:p>
          <w:p w14:paraId="7C5FA96A" w14:textId="77777777" w:rsidR="00A02947" w:rsidRPr="00D40B19" w:rsidRDefault="00A02947" w:rsidP="00B05A29">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CF33340" w14:textId="4855BAF6" w:rsidR="00A02947" w:rsidRPr="00D40B19" w:rsidRDefault="00A02947"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2019</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02263F" w14:textId="1D3BFCB2" w:rsidR="00A02947" w:rsidRPr="00D40B19" w:rsidRDefault="00A02947" w:rsidP="00B05A29">
            <w:pPr>
              <w:spacing w:after="0" w:line="240" w:lineRule="auto"/>
              <w:contextualSpacing/>
              <w:rPr>
                <w:rFonts w:ascii="Arial" w:hAnsi="Arial" w:cs="Arial"/>
                <w:color w:val="000000" w:themeColor="text1"/>
                <w:sz w:val="20"/>
                <w:szCs w:val="20"/>
              </w:rPr>
            </w:pPr>
            <w:r w:rsidRPr="00D40B19">
              <w:rPr>
                <w:rFonts w:ascii="Arial" w:eastAsiaTheme="minorEastAsia" w:hAnsi="Arial" w:cs="Arial"/>
                <w:color w:val="000000" w:themeColor="text1"/>
                <w:sz w:val="20"/>
                <w:szCs w:val="20"/>
              </w:rPr>
              <w:t>CPVT Registry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820C71" w14:textId="32092FD6" w:rsidR="00A02947" w:rsidRPr="00D40B19" w:rsidRDefault="00A02947"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136</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mean age 14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223FE73" w14:textId="7EAF8B21" w:rsidR="00A02947" w:rsidRPr="00D40B19" w:rsidRDefault="00A02947"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CPVT with SCA </w:t>
            </w:r>
            <w:r w:rsidR="00FE2F2A" w:rsidRPr="00D40B19">
              <w:rPr>
                <w:rFonts w:ascii="Arial" w:hAnsi="Arial" w:cs="Arial"/>
                <w:color w:val="000000" w:themeColor="text1"/>
                <w:sz w:val="20"/>
                <w:szCs w:val="20"/>
              </w:rPr>
              <w:t xml:space="preserve">guideline </w:t>
            </w:r>
            <w:r w:rsidR="00620147">
              <w:rPr>
                <w:rFonts w:ascii="Arial" w:hAnsi="Arial" w:cs="Arial"/>
                <w:color w:val="000000" w:themeColor="text1"/>
                <w:sz w:val="20"/>
                <w:szCs w:val="20"/>
              </w:rPr>
              <w:t>directed therapy</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E572D9" w14:textId="66DE18E1" w:rsidR="00A02947" w:rsidRPr="00D40B19" w:rsidRDefault="00A02947"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ICD shocks, cardiac events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BCFC" w14:textId="67AED167" w:rsidR="00A02947" w:rsidRPr="00D40B19" w:rsidRDefault="00A02947" w:rsidP="00D40B19">
            <w:pPr>
              <w:spacing w:line="240" w:lineRule="auto"/>
              <w:ind w:left="151"/>
              <w:rPr>
                <w:rFonts w:ascii="Arial" w:eastAsiaTheme="minorEastAsia" w:hAnsi="Arial" w:cs="Arial"/>
                <w:color w:val="000000" w:themeColor="text1"/>
                <w:sz w:val="20"/>
                <w:szCs w:val="20"/>
              </w:rPr>
            </w:pPr>
            <w:r w:rsidRPr="00D40B19">
              <w:rPr>
                <w:rFonts w:ascii="Arial" w:eastAsia="Calibri" w:hAnsi="Arial" w:cs="Arial"/>
                <w:color w:val="000000" w:themeColor="text1"/>
                <w:sz w:val="20"/>
                <w:szCs w:val="20"/>
              </w:rPr>
              <w:t>79 p</w:t>
            </w:r>
            <w:r w:rsidR="006A5CB5" w:rsidRPr="00D40B19">
              <w:rPr>
                <w:rFonts w:ascii="Arial" w:eastAsia="Calibri" w:hAnsi="Arial" w:cs="Arial"/>
                <w:color w:val="000000" w:themeColor="text1"/>
                <w:sz w:val="20"/>
                <w:szCs w:val="20"/>
              </w:rPr>
              <w:t>a</w:t>
            </w:r>
            <w:r w:rsidRPr="00D40B19">
              <w:rPr>
                <w:rFonts w:ascii="Arial" w:eastAsia="Calibri" w:hAnsi="Arial" w:cs="Arial"/>
                <w:color w:val="000000" w:themeColor="text1"/>
                <w:sz w:val="20"/>
                <w:szCs w:val="20"/>
              </w:rPr>
              <w:t>t</w:t>
            </w:r>
            <w:r w:rsidR="006A5CB5" w:rsidRPr="00D40B19">
              <w:rPr>
                <w:rFonts w:ascii="Arial" w:eastAsia="Calibri" w:hAnsi="Arial" w:cs="Arial"/>
                <w:color w:val="000000" w:themeColor="text1"/>
                <w:sz w:val="20"/>
                <w:szCs w:val="20"/>
              </w:rPr>
              <w:t>ient</w:t>
            </w:r>
            <w:r w:rsidRPr="00D40B19">
              <w:rPr>
                <w:rFonts w:ascii="Arial" w:eastAsia="Calibri" w:hAnsi="Arial" w:cs="Arial"/>
                <w:color w:val="000000" w:themeColor="text1"/>
                <w:sz w:val="20"/>
                <w:szCs w:val="20"/>
              </w:rPr>
              <w:t xml:space="preserve">s with ICD; </w:t>
            </w:r>
            <w:r w:rsidR="006A5CB5" w:rsidRPr="00D40B19">
              <w:rPr>
                <w:rFonts w:ascii="Arial" w:eastAsia="Calibri" w:hAnsi="Arial" w:cs="Arial"/>
                <w:color w:val="000000" w:themeColor="text1"/>
                <w:sz w:val="20"/>
                <w:szCs w:val="20"/>
              </w:rPr>
              <w:t>a</w:t>
            </w:r>
            <w:r w:rsidRPr="00D40B19">
              <w:rPr>
                <w:rFonts w:ascii="Arial" w:eastAsia="Calibri" w:hAnsi="Arial" w:cs="Arial"/>
                <w:color w:val="000000" w:themeColor="text1"/>
                <w:sz w:val="20"/>
                <w:szCs w:val="20"/>
              </w:rPr>
              <w:t>ppropriate ICD therapy in 46%. SCD occurred in 3.8% of patients with an ICD, an</w:t>
            </w:r>
            <w:r w:rsidR="006A5CB5" w:rsidRPr="00D40B19">
              <w:rPr>
                <w:rFonts w:ascii="Arial" w:eastAsia="Calibri" w:hAnsi="Arial" w:cs="Arial"/>
                <w:color w:val="000000" w:themeColor="text1"/>
                <w:sz w:val="20"/>
                <w:szCs w:val="20"/>
              </w:rPr>
              <w:t>d</w:t>
            </w:r>
            <w:r w:rsidRPr="00D40B19">
              <w:rPr>
                <w:rFonts w:ascii="Arial" w:eastAsia="Calibri" w:hAnsi="Arial" w:cs="Arial"/>
                <w:color w:val="000000" w:themeColor="text1"/>
                <w:sz w:val="20"/>
                <w:szCs w:val="20"/>
              </w:rPr>
              <w:t xml:space="preserve"> no patients without ICD; 25% had inappropriate shocks; 29% had device</w:t>
            </w:r>
            <w:r w:rsidR="006A5CB5"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related complications</w:t>
            </w:r>
            <w:r w:rsidR="006A5CB5"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 xml:space="preserve"> 39% of patients w</w:t>
            </w:r>
            <w:r w:rsidR="006A5CB5" w:rsidRPr="00D40B19">
              <w:rPr>
                <w:rFonts w:ascii="Arial" w:eastAsia="Calibri" w:hAnsi="Arial" w:cs="Arial"/>
                <w:color w:val="000000" w:themeColor="text1"/>
                <w:sz w:val="20"/>
                <w:szCs w:val="20"/>
              </w:rPr>
              <w:t>ithout an</w:t>
            </w:r>
            <w:r w:rsidRPr="00D40B19">
              <w:rPr>
                <w:rFonts w:ascii="Arial" w:eastAsia="Calibri" w:hAnsi="Arial" w:cs="Arial"/>
                <w:color w:val="000000" w:themeColor="text1"/>
                <w:sz w:val="20"/>
                <w:szCs w:val="20"/>
              </w:rPr>
              <w:t xml:space="preserve"> ICD had an ICD implanted during follow</w:t>
            </w:r>
            <w:r w:rsidR="004365BE" w:rsidRPr="00D40B19">
              <w:rPr>
                <w:rFonts w:ascii="Arial" w:eastAsia="Calibri" w:hAnsi="Arial" w:cs="Arial"/>
                <w:color w:val="000000" w:themeColor="text1"/>
                <w:sz w:val="20"/>
                <w:szCs w:val="20"/>
              </w:rPr>
              <w:t>-</w:t>
            </w:r>
            <w:r w:rsidRPr="00D40B19">
              <w:rPr>
                <w:rFonts w:ascii="Arial" w:eastAsia="Calibri" w:hAnsi="Arial" w:cs="Arial"/>
                <w:color w:val="000000" w:themeColor="text1"/>
                <w:sz w:val="20"/>
                <w:szCs w:val="20"/>
              </w:rPr>
              <w:t>up</w:t>
            </w:r>
            <w:r w:rsidR="006A5CB5" w:rsidRPr="00D40B19">
              <w:rPr>
                <w:rFonts w:ascii="Arial" w:eastAsia="Calibri" w:hAnsi="Arial" w:cs="Arial"/>
                <w:color w:val="000000" w:themeColor="text1"/>
                <w:sz w:val="20"/>
                <w:szCs w:val="20"/>
              </w:rPr>
              <w:t>.</w:t>
            </w:r>
          </w:p>
        </w:tc>
      </w:tr>
      <w:tr w:rsidR="009D78BE" w:rsidRPr="009D78BE" w14:paraId="440EE1EF"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0DA01A" w14:textId="0D84974D" w:rsidR="00473ED8" w:rsidRPr="00D40B19" w:rsidRDefault="00473ED8" w:rsidP="00B05A29">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Roston</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15</w:t>
            </w:r>
            <w:r w:rsidR="00A02947" w:rsidRPr="00D40B19">
              <w:rPr>
                <w:rFonts w:ascii="Arial" w:hAnsi="Arial" w:cs="Arial"/>
                <w:color w:val="000000" w:themeColor="text1"/>
                <w:sz w:val="20"/>
                <w:szCs w:val="20"/>
                <w:vertAlign w:val="superscript"/>
              </w:rPr>
              <w:t>6</w:t>
            </w:r>
          </w:p>
          <w:p w14:paraId="1FC3CDC1" w14:textId="77777777" w:rsidR="00473ED8" w:rsidRPr="00D40B19" w:rsidRDefault="00473ED8" w:rsidP="00B05A29">
            <w:pPr>
              <w:spacing w:after="0" w:line="240" w:lineRule="auto"/>
              <w:contextualSpacing/>
              <w:rPr>
                <w:rFonts w:ascii="Arial" w:hAnsi="Arial" w:cs="Arial"/>
                <w:color w:val="000000" w:themeColor="text1"/>
                <w:sz w:val="20"/>
                <w:szCs w:val="20"/>
              </w:rPr>
            </w:pPr>
          </w:p>
          <w:p w14:paraId="794DF523" w14:textId="073C532A" w:rsidR="00473ED8" w:rsidRPr="00D40B19" w:rsidRDefault="00473ED8"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EC234AE" w14:textId="38A450A2" w:rsidR="00473ED8" w:rsidRPr="00D40B19" w:rsidRDefault="00473ED8" w:rsidP="00D40B19">
            <w:pPr>
              <w:spacing w:line="240" w:lineRule="auto"/>
              <w:rPr>
                <w:rFonts w:ascii="Arial" w:eastAsiaTheme="minorEastAsia" w:hAnsi="Arial" w:cs="Arial"/>
                <w:bCs/>
                <w:color w:val="000000" w:themeColor="text1"/>
                <w:sz w:val="20"/>
                <w:szCs w:val="20"/>
              </w:rPr>
            </w:pPr>
            <w:r w:rsidRPr="00D40B19">
              <w:rPr>
                <w:rFonts w:ascii="Arial" w:hAnsi="Arial" w:cs="Arial"/>
                <w:color w:val="000000" w:themeColor="text1"/>
                <w:sz w:val="20"/>
                <w:szCs w:val="20"/>
              </w:rPr>
              <w:t>201</w:t>
            </w:r>
            <w:r w:rsidR="000A0220" w:rsidRPr="00D40B19">
              <w:rPr>
                <w:rFonts w:ascii="Arial" w:hAnsi="Arial" w:cs="Arial"/>
                <w:color w:val="000000" w:themeColor="text1"/>
                <w:sz w:val="20"/>
                <w:szCs w:val="20"/>
              </w:rPr>
              <w:t>8</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AF1BF4" w14:textId="77777777" w:rsidR="00473ED8" w:rsidRPr="00D40B19" w:rsidRDefault="00473ED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Meta-analysis</w:t>
            </w:r>
          </w:p>
          <w:p w14:paraId="3B6BBF84" w14:textId="531A9ED5" w:rsidR="00473ED8" w:rsidRPr="00D40B19" w:rsidRDefault="00E6304A" w:rsidP="00D40B19">
            <w:pPr>
              <w:spacing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w:t>
            </w:r>
            <w:r w:rsidR="00473ED8" w:rsidRPr="00D40B19">
              <w:rPr>
                <w:rFonts w:ascii="Arial" w:hAnsi="Arial" w:cs="Arial"/>
                <w:color w:val="000000" w:themeColor="text1"/>
                <w:sz w:val="20"/>
                <w:szCs w:val="20"/>
              </w:rPr>
              <w:t>53 studies</w:t>
            </w:r>
            <w:r w:rsidRPr="00D40B19">
              <w:rPr>
                <w:rFonts w:ascii="Arial" w:hAnsi="Arial" w:cs="Arial"/>
                <w:color w:val="000000" w:themeColor="text1"/>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9F0FA8" w14:textId="151A2244" w:rsidR="00473ED8" w:rsidRPr="00D40B19" w:rsidRDefault="00473ED8" w:rsidP="00D40B19">
            <w:pPr>
              <w:spacing w:after="0" w:line="240" w:lineRule="auto"/>
              <w:contextualSpacing/>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1</w:t>
            </w:r>
            <w:r w:rsidR="000A0220" w:rsidRPr="00D40B19">
              <w:rPr>
                <w:rFonts w:ascii="Arial" w:hAnsi="Arial" w:cs="Arial"/>
                <w:color w:val="000000" w:themeColor="text1"/>
                <w:sz w:val="20"/>
                <w:szCs w:val="20"/>
              </w:rPr>
              <w:t>,</w:t>
            </w:r>
            <w:r w:rsidRPr="00D40B19">
              <w:rPr>
                <w:rFonts w:ascii="Arial" w:hAnsi="Arial" w:cs="Arial"/>
                <w:color w:val="000000" w:themeColor="text1"/>
                <w:sz w:val="20"/>
                <w:szCs w:val="20"/>
              </w:rPr>
              <w:t>429 CPVT p</w:t>
            </w:r>
            <w:r w:rsidR="00F34813"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F34813" w:rsidRPr="00D40B19">
              <w:rPr>
                <w:rFonts w:ascii="Arial" w:hAnsi="Arial" w:cs="Arial"/>
                <w:color w:val="000000" w:themeColor="text1"/>
                <w:sz w:val="20"/>
                <w:szCs w:val="20"/>
              </w:rPr>
              <w:t>ient</w:t>
            </w:r>
            <w:r w:rsidR="000A0220" w:rsidRPr="00D40B19">
              <w:rPr>
                <w:rFonts w:ascii="Arial" w:hAnsi="Arial" w:cs="Arial"/>
                <w:color w:val="000000" w:themeColor="text1"/>
                <w:sz w:val="20"/>
                <w:szCs w:val="20"/>
              </w:rPr>
              <w:t xml:space="preserve">s; </w:t>
            </w:r>
            <w:r w:rsidRPr="00D40B19">
              <w:rPr>
                <w:rFonts w:ascii="Arial" w:hAnsi="Arial" w:cs="Arial"/>
                <w:color w:val="000000" w:themeColor="text1"/>
                <w:sz w:val="20"/>
                <w:szCs w:val="20"/>
              </w:rPr>
              <w:t>503 with ICDs</w:t>
            </w:r>
            <w:r w:rsidR="000A0220"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mean age 15 </w:t>
            </w:r>
            <w:r w:rsidR="00F34813" w:rsidRPr="00D40B19">
              <w:rPr>
                <w:rFonts w:ascii="Arial" w:hAnsi="Arial" w:cs="Arial"/>
                <w:color w:val="000000" w:themeColor="text1"/>
                <w:sz w:val="20"/>
                <w:szCs w:val="20"/>
              </w:rPr>
              <w:t>years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B7DFD0" w14:textId="74435E75" w:rsidR="00473ED8" w:rsidRPr="00D40B19" w:rsidRDefault="00473ED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CPVT with ICD</w:t>
            </w:r>
          </w:p>
          <w:p w14:paraId="04287EAB" w14:textId="77777777" w:rsidR="00473ED8" w:rsidRPr="00D40B19" w:rsidRDefault="00473ED8" w:rsidP="00D40B19">
            <w:pPr>
              <w:spacing w:line="240" w:lineRule="auto"/>
              <w:rPr>
                <w:rFonts w:ascii="Arial" w:eastAsia="Calibri"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902969" w14:textId="50B31CBB" w:rsidR="00473ED8" w:rsidRPr="00D40B19" w:rsidRDefault="00473ED8" w:rsidP="00D40B19">
            <w:pPr>
              <w:spacing w:line="240" w:lineRule="auto"/>
              <w:rPr>
                <w:rFonts w:ascii="Arial" w:eastAsia="Calibri" w:hAnsi="Arial" w:cs="Arial"/>
                <w:bCs/>
                <w:color w:val="000000" w:themeColor="text1"/>
                <w:sz w:val="20"/>
                <w:szCs w:val="20"/>
              </w:rPr>
            </w:pPr>
            <w:r w:rsidRPr="00D40B19">
              <w:rPr>
                <w:rFonts w:ascii="Arial" w:eastAsia="Calibri" w:hAnsi="Arial" w:cs="Arial"/>
                <w:color w:val="000000" w:themeColor="text1"/>
                <w:sz w:val="20"/>
                <w:szCs w:val="20"/>
              </w:rPr>
              <w:t>Use and outcomes of ICDs in patients with CPVT</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59158F7" w14:textId="24C42B10" w:rsidR="00473ED8" w:rsidRPr="00D40B19" w:rsidRDefault="00473ED8" w:rsidP="00D40B19">
            <w:pPr>
              <w:spacing w:line="240" w:lineRule="auto"/>
              <w:ind w:left="151"/>
              <w:rPr>
                <w:rFonts w:ascii="Arial" w:eastAsia="Calibri" w:hAnsi="Arial" w:cs="Arial"/>
                <w:bCs/>
                <w:color w:val="000000" w:themeColor="text1"/>
                <w:sz w:val="20"/>
                <w:szCs w:val="20"/>
              </w:rPr>
            </w:pPr>
            <w:r w:rsidRPr="00D40B19">
              <w:rPr>
                <w:rFonts w:ascii="Arial" w:eastAsiaTheme="minorEastAsia" w:hAnsi="Arial" w:cs="Arial"/>
                <w:color w:val="000000" w:themeColor="text1"/>
                <w:sz w:val="20"/>
                <w:szCs w:val="20"/>
              </w:rPr>
              <w:t>47.3% primary prevention ICD;</w:t>
            </w:r>
            <w:r w:rsidR="00DD48A7"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 xml:space="preserve">40% &gt;1 appropriate shock, 21% &gt;1 inappropriate shock, 20% electrical storm. 1.4% died. Of the 7 that died, 4 </w:t>
            </w:r>
            <w:r w:rsidR="006A5CB5" w:rsidRPr="00D40B19">
              <w:rPr>
                <w:rFonts w:ascii="Arial" w:eastAsiaTheme="minorEastAsia" w:hAnsi="Arial" w:cs="Arial"/>
                <w:color w:val="000000" w:themeColor="text1"/>
                <w:sz w:val="20"/>
                <w:szCs w:val="20"/>
              </w:rPr>
              <w:t xml:space="preserve">deaths </w:t>
            </w:r>
            <w:r w:rsidRPr="00D40B19">
              <w:rPr>
                <w:rFonts w:ascii="Arial" w:eastAsiaTheme="minorEastAsia" w:hAnsi="Arial" w:cs="Arial"/>
                <w:color w:val="000000" w:themeColor="text1"/>
                <w:sz w:val="20"/>
                <w:szCs w:val="20"/>
              </w:rPr>
              <w:t>were secondary to electrical storm</w:t>
            </w:r>
            <w:r w:rsidR="000A0220" w:rsidRPr="00D40B19">
              <w:rPr>
                <w:rFonts w:ascii="Arial" w:eastAsiaTheme="minorEastAsia" w:hAnsi="Arial" w:cs="Arial"/>
                <w:color w:val="000000" w:themeColor="text1"/>
                <w:sz w:val="20"/>
                <w:szCs w:val="20"/>
              </w:rPr>
              <w:t>.</w:t>
            </w:r>
          </w:p>
        </w:tc>
      </w:tr>
      <w:tr w:rsidR="009D78BE" w:rsidRPr="009D78BE" w14:paraId="2E2414F9"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E0C396" w14:textId="2339A844" w:rsidR="00473ED8" w:rsidRPr="00D40B19" w:rsidRDefault="00473ED8" w:rsidP="00B05A29">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Miyake</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15</w:t>
            </w:r>
            <w:r w:rsidR="00A02947" w:rsidRPr="00D40B19">
              <w:rPr>
                <w:rFonts w:ascii="Arial" w:hAnsi="Arial" w:cs="Arial"/>
                <w:color w:val="000000" w:themeColor="text1"/>
                <w:sz w:val="20"/>
                <w:szCs w:val="20"/>
                <w:vertAlign w:val="superscript"/>
              </w:rPr>
              <w:t>7</w:t>
            </w:r>
          </w:p>
          <w:p w14:paraId="03BC11EF" w14:textId="77777777" w:rsidR="00473ED8" w:rsidRPr="00D40B19" w:rsidRDefault="00473ED8" w:rsidP="00B05A29">
            <w:pPr>
              <w:spacing w:after="0" w:line="240" w:lineRule="auto"/>
              <w:contextualSpacing/>
              <w:rPr>
                <w:rFonts w:ascii="Arial" w:hAnsi="Arial" w:cs="Arial"/>
                <w:color w:val="000000" w:themeColor="text1"/>
                <w:sz w:val="20"/>
                <w:szCs w:val="20"/>
              </w:rPr>
            </w:pPr>
          </w:p>
          <w:p w14:paraId="016A33EC" w14:textId="26FC6382" w:rsidR="00473ED8" w:rsidRPr="00D40B19" w:rsidRDefault="00473ED8"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684CD" w14:textId="432763CF" w:rsidR="00473ED8" w:rsidRPr="00D40B19" w:rsidRDefault="00473ED8" w:rsidP="00D40B19">
            <w:pPr>
              <w:spacing w:line="240" w:lineRule="auto"/>
              <w:rPr>
                <w:rFonts w:ascii="Arial" w:eastAsiaTheme="minorEastAsia" w:hAnsi="Arial" w:cs="Arial"/>
                <w:bCs/>
                <w:color w:val="000000" w:themeColor="text1"/>
                <w:sz w:val="20"/>
                <w:szCs w:val="20"/>
              </w:rPr>
            </w:pPr>
            <w:r w:rsidRPr="00D40B19">
              <w:rPr>
                <w:rFonts w:ascii="Arial" w:hAnsi="Arial" w:cs="Arial"/>
                <w:color w:val="000000" w:themeColor="text1"/>
                <w:sz w:val="20"/>
                <w:szCs w:val="20"/>
              </w:rPr>
              <w:t>2013</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E21EE" w14:textId="14B4C3C1" w:rsidR="00473ED8" w:rsidRPr="00D40B19" w:rsidRDefault="00473ED8" w:rsidP="00B05A29">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w:t>
            </w:r>
          </w:p>
          <w:p w14:paraId="2C31A2CA" w14:textId="266E7AC6" w:rsidR="00473ED8" w:rsidRPr="00D40B19" w:rsidRDefault="00851767" w:rsidP="00D40B19">
            <w:pPr>
              <w:spacing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ED70F" w14:textId="75C68CC4" w:rsidR="00473ED8" w:rsidRPr="00D40B19" w:rsidRDefault="00473ED8" w:rsidP="00D40B19">
            <w:pPr>
              <w:spacing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24</w:t>
            </w:r>
            <w:r w:rsidR="004B70C4" w:rsidRPr="00D40B19">
              <w:rPr>
                <w:rFonts w:ascii="Arial" w:hAnsi="Arial" w:cs="Arial"/>
                <w:color w:val="000000" w:themeColor="text1"/>
                <w:sz w:val="20"/>
                <w:szCs w:val="20"/>
              </w:rPr>
              <w:t xml:space="preserve"> patients</w:t>
            </w:r>
            <w:r w:rsidR="002C7C63"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mean age 10 y</w:t>
            </w:r>
            <w:r w:rsidR="00F34813" w:rsidRPr="00D40B19">
              <w:rPr>
                <w:rFonts w:ascii="Arial" w:hAnsi="Arial" w:cs="Arial"/>
                <w:color w:val="000000" w:themeColor="text1"/>
                <w:sz w:val="20"/>
                <w:szCs w:val="20"/>
              </w:rPr>
              <w:t>ears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CD0C5B" w14:textId="73D3EDB9" w:rsidR="00473ED8" w:rsidRPr="00D40B19" w:rsidRDefault="00473ED8"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CPVT with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55FB17D" w14:textId="3EA1F921" w:rsidR="00473ED8" w:rsidRPr="00D40B19" w:rsidRDefault="00473ED8" w:rsidP="00D40B19">
            <w:pPr>
              <w:spacing w:line="240" w:lineRule="auto"/>
              <w:rPr>
                <w:rFonts w:ascii="Arial" w:eastAsia="Calibri" w:hAnsi="Arial" w:cs="Arial"/>
                <w:bCs/>
                <w:color w:val="000000" w:themeColor="text1"/>
                <w:sz w:val="20"/>
                <w:szCs w:val="20"/>
              </w:rPr>
            </w:pPr>
            <w:r w:rsidRPr="00D40B19">
              <w:rPr>
                <w:rFonts w:ascii="Arial" w:hAnsi="Arial" w:cs="Arial"/>
                <w:color w:val="000000" w:themeColor="text1"/>
                <w:sz w:val="20"/>
                <w:szCs w:val="20"/>
              </w:rPr>
              <w:t>ICD shocks and outcome</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C540" w14:textId="53A69F82" w:rsidR="00473ED8" w:rsidRPr="00D40B19" w:rsidRDefault="00473ED8" w:rsidP="00D40B19">
            <w:pPr>
              <w:spacing w:line="240" w:lineRule="auto"/>
              <w:ind w:left="151"/>
              <w:rPr>
                <w:rFonts w:ascii="Arial" w:eastAsia="Calibri" w:hAnsi="Arial" w:cs="Arial"/>
                <w:bCs/>
                <w:color w:val="000000" w:themeColor="text1"/>
                <w:sz w:val="20"/>
                <w:szCs w:val="20"/>
              </w:rPr>
            </w:pPr>
            <w:r w:rsidRPr="00D40B19">
              <w:rPr>
                <w:rFonts w:ascii="Arial" w:hAnsi="Arial" w:cs="Arial"/>
                <w:color w:val="000000" w:themeColor="text1"/>
                <w:sz w:val="20"/>
                <w:szCs w:val="20"/>
              </w:rPr>
              <w:t>14/24 p</w:t>
            </w:r>
            <w:r w:rsidR="006A5CB5"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6A5CB5" w:rsidRPr="00D40B19">
              <w:rPr>
                <w:rFonts w:ascii="Arial" w:hAnsi="Arial" w:cs="Arial"/>
                <w:color w:val="000000" w:themeColor="text1"/>
                <w:sz w:val="20"/>
                <w:szCs w:val="20"/>
              </w:rPr>
              <w:t>ient</w:t>
            </w:r>
            <w:r w:rsidRPr="00D40B19">
              <w:rPr>
                <w:rFonts w:ascii="Arial" w:hAnsi="Arial" w:cs="Arial"/>
                <w:color w:val="000000" w:themeColor="text1"/>
                <w:sz w:val="20"/>
                <w:szCs w:val="20"/>
              </w:rPr>
              <w:t xml:space="preserve">s had ICD shocks; </w:t>
            </w:r>
            <w:r w:rsidRPr="00D40B19">
              <w:rPr>
                <w:rFonts w:ascii="Arial" w:eastAsia="Calibri" w:hAnsi="Arial" w:cs="Arial"/>
                <w:color w:val="000000" w:themeColor="text1"/>
                <w:sz w:val="20"/>
                <w:szCs w:val="20"/>
              </w:rPr>
              <w:t xml:space="preserve">46% inappropriate;   8.5% of total shocks resulted in a more malignant ventricular arrhythmia; VF shocks successful; </w:t>
            </w:r>
            <w:r w:rsidR="006A5CB5" w:rsidRPr="00D40B19">
              <w:rPr>
                <w:rFonts w:ascii="Arial" w:eastAsia="Calibri" w:hAnsi="Arial" w:cs="Arial"/>
                <w:color w:val="000000" w:themeColor="text1"/>
                <w:sz w:val="20"/>
                <w:szCs w:val="20"/>
              </w:rPr>
              <w:t>p</w:t>
            </w:r>
            <w:r w:rsidRPr="00D40B19">
              <w:rPr>
                <w:rFonts w:ascii="Arial" w:eastAsia="Calibri" w:hAnsi="Arial" w:cs="Arial"/>
                <w:color w:val="000000" w:themeColor="text1"/>
                <w:sz w:val="20"/>
                <w:szCs w:val="20"/>
              </w:rPr>
              <w:t>olymorphic VT, bidirectional VT did not demonstrate successful primary termination</w:t>
            </w:r>
            <w:r w:rsidR="006A5CB5" w:rsidRPr="00D40B19">
              <w:rPr>
                <w:rFonts w:ascii="Arial" w:eastAsia="Calibri" w:hAnsi="Arial" w:cs="Arial"/>
                <w:color w:val="000000" w:themeColor="text1"/>
                <w:sz w:val="20"/>
                <w:szCs w:val="20"/>
              </w:rPr>
              <w:t>.</w:t>
            </w:r>
          </w:p>
        </w:tc>
      </w:tr>
      <w:tr w:rsidR="009D78BE" w:rsidRPr="009D78BE" w14:paraId="651A189C"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C1F9B5" w14:textId="68D297C4" w:rsidR="00473ED8" w:rsidRPr="00D40B19" w:rsidRDefault="00473ED8" w:rsidP="006B5FB2">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Roses-</w:t>
            </w:r>
            <w:proofErr w:type="spellStart"/>
            <w:r w:rsidRPr="00D40B19">
              <w:rPr>
                <w:rFonts w:ascii="Arial" w:hAnsi="Arial" w:cs="Arial"/>
                <w:color w:val="000000" w:themeColor="text1"/>
                <w:sz w:val="20"/>
                <w:szCs w:val="20"/>
              </w:rPr>
              <w:t>Noguer</w:t>
            </w:r>
            <w:proofErr w:type="spellEnd"/>
            <w:r w:rsidR="00E81116" w:rsidRPr="00D40B19">
              <w:rPr>
                <w:rFonts w:ascii="Arial" w:hAnsi="Arial" w:cs="Arial"/>
                <w:bCs/>
                <w:color w:val="000000" w:themeColor="text1"/>
                <w:sz w:val="20"/>
                <w:szCs w:val="20"/>
              </w:rPr>
              <w:t xml:space="preserve"> et al</w:t>
            </w:r>
            <w:r w:rsidR="00A02947" w:rsidRPr="00D40B19">
              <w:rPr>
                <w:rFonts w:ascii="Arial" w:hAnsi="Arial" w:cs="Arial"/>
                <w:color w:val="000000" w:themeColor="text1"/>
                <w:sz w:val="20"/>
                <w:szCs w:val="20"/>
                <w:vertAlign w:val="superscript"/>
              </w:rPr>
              <w:t>164</w:t>
            </w:r>
          </w:p>
          <w:p w14:paraId="5E9582AC" w14:textId="77777777" w:rsidR="00473ED8" w:rsidRPr="00D40B19" w:rsidRDefault="00473ED8" w:rsidP="006B5FB2">
            <w:pPr>
              <w:spacing w:after="0" w:line="240" w:lineRule="auto"/>
              <w:contextualSpacing/>
              <w:rPr>
                <w:rFonts w:ascii="Arial" w:hAnsi="Arial" w:cs="Arial"/>
                <w:color w:val="000000" w:themeColor="text1"/>
                <w:sz w:val="20"/>
                <w:szCs w:val="20"/>
              </w:rPr>
            </w:pPr>
          </w:p>
          <w:p w14:paraId="52E4B1F1" w14:textId="239EC3BF" w:rsidR="00473ED8" w:rsidRPr="00D40B19" w:rsidRDefault="00473ED8"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A8B552D" w14:textId="28AB1AE9" w:rsidR="00473ED8" w:rsidRPr="00D40B19" w:rsidRDefault="00473ED8" w:rsidP="00D40B19">
            <w:pPr>
              <w:spacing w:line="240" w:lineRule="auto"/>
              <w:rPr>
                <w:rFonts w:ascii="Arial" w:eastAsiaTheme="minorEastAsia" w:hAnsi="Arial" w:cs="Arial"/>
                <w:bCs/>
                <w:color w:val="000000" w:themeColor="text1"/>
                <w:sz w:val="20"/>
                <w:szCs w:val="20"/>
              </w:rPr>
            </w:pPr>
            <w:r w:rsidRPr="00D40B19">
              <w:rPr>
                <w:rFonts w:ascii="Arial" w:hAnsi="Arial" w:cs="Arial"/>
                <w:color w:val="000000" w:themeColor="text1"/>
                <w:sz w:val="20"/>
                <w:szCs w:val="20"/>
              </w:rPr>
              <w:t>2014</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4F6508" w14:textId="3A422973" w:rsidR="00473ED8" w:rsidRPr="00D40B19" w:rsidRDefault="00473ED8" w:rsidP="00D40B19">
            <w:pPr>
              <w:spacing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w:t>
            </w:r>
            <w:r w:rsidR="000328CB" w:rsidRPr="00D40B19">
              <w:rPr>
                <w:rFonts w:ascii="Arial" w:hAnsi="Arial" w:cs="Arial"/>
                <w:color w:val="000000" w:themeColor="text1"/>
                <w:sz w:val="20"/>
                <w:szCs w:val="20"/>
              </w:rPr>
              <w:t xml:space="preserve"> 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E3BAE7" w14:textId="18FCF5DC" w:rsidR="00473ED8" w:rsidRPr="00D40B19" w:rsidRDefault="00473ED8" w:rsidP="00D40B19">
            <w:pPr>
              <w:spacing w:line="240" w:lineRule="auto"/>
              <w:rPr>
                <w:rFonts w:ascii="Arial" w:eastAsiaTheme="minorEastAsia" w:hAnsi="Arial" w:cs="Arial"/>
                <w:bCs/>
                <w:color w:val="000000" w:themeColor="text1"/>
                <w:sz w:val="20"/>
                <w:szCs w:val="20"/>
                <w:u w:val="single"/>
              </w:rPr>
            </w:pPr>
            <w:r w:rsidRPr="00D40B19">
              <w:rPr>
                <w:rFonts w:ascii="Arial" w:hAnsi="Arial" w:cs="Arial"/>
                <w:color w:val="000000" w:themeColor="text1"/>
                <w:sz w:val="20"/>
                <w:szCs w:val="20"/>
              </w:rPr>
              <w:t>13</w:t>
            </w:r>
            <w:r w:rsidR="004B70C4" w:rsidRPr="00D40B19">
              <w:rPr>
                <w:rFonts w:ascii="Arial" w:hAnsi="Arial" w:cs="Arial"/>
                <w:color w:val="000000" w:themeColor="text1"/>
                <w:sz w:val="20"/>
                <w:szCs w:val="20"/>
              </w:rPr>
              <w:t xml:space="preserve"> patients</w:t>
            </w:r>
            <w:r w:rsidR="002C7C6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mean age 17.5 y</w:t>
            </w:r>
            <w:r w:rsidR="00F34813" w:rsidRPr="00D40B19">
              <w:rPr>
                <w:rFonts w:ascii="Arial" w:hAnsi="Arial" w:cs="Arial"/>
                <w:color w:val="000000" w:themeColor="text1"/>
                <w:sz w:val="20"/>
                <w:szCs w:val="20"/>
              </w:rPr>
              <w:t>ears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85DEF9" w14:textId="40F77E7C" w:rsidR="00473ED8" w:rsidRPr="00D40B19" w:rsidRDefault="00473ED8"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CPVT with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C7D2FE" w14:textId="5B6E23D6" w:rsidR="00473ED8" w:rsidRPr="00D40B19" w:rsidRDefault="00473ED8" w:rsidP="00D40B19">
            <w:pPr>
              <w:spacing w:line="240" w:lineRule="auto"/>
              <w:rPr>
                <w:rFonts w:ascii="Arial" w:eastAsia="Calibri" w:hAnsi="Arial" w:cs="Arial"/>
                <w:bCs/>
                <w:color w:val="000000" w:themeColor="text1"/>
                <w:sz w:val="20"/>
                <w:szCs w:val="20"/>
              </w:rPr>
            </w:pPr>
            <w:r w:rsidRPr="00D40B19">
              <w:rPr>
                <w:rFonts w:ascii="Arial" w:hAnsi="Arial" w:cs="Arial"/>
                <w:color w:val="000000" w:themeColor="text1"/>
                <w:sz w:val="20"/>
                <w:szCs w:val="20"/>
              </w:rPr>
              <w:t>ICD shocks and outcome</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3FF640A0" w14:textId="7B7D2FE2" w:rsidR="00473ED8" w:rsidRPr="00D40B19" w:rsidRDefault="00473ED8" w:rsidP="00D40B19">
            <w:pPr>
              <w:spacing w:line="240" w:lineRule="auto"/>
              <w:ind w:left="151"/>
              <w:rPr>
                <w:rFonts w:ascii="Arial" w:eastAsia="Calibri" w:hAnsi="Arial" w:cs="Arial"/>
                <w:bCs/>
                <w:color w:val="000000" w:themeColor="text1"/>
                <w:sz w:val="20"/>
                <w:szCs w:val="20"/>
              </w:rPr>
            </w:pPr>
            <w:r w:rsidRPr="00D40B19">
              <w:rPr>
                <w:rFonts w:ascii="Arial" w:hAnsi="Arial" w:cs="Arial"/>
                <w:color w:val="000000" w:themeColor="text1"/>
                <w:sz w:val="20"/>
                <w:szCs w:val="20"/>
              </w:rPr>
              <w:t>96 shocks; 70 appropriate; 26 inappropriate. Shocks effective for VF; shocks ineffective for VT</w:t>
            </w:r>
            <w:r w:rsidR="006A5CB5" w:rsidRPr="00D40B19">
              <w:rPr>
                <w:rFonts w:ascii="Arial" w:hAnsi="Arial" w:cs="Arial"/>
                <w:color w:val="000000" w:themeColor="text1"/>
                <w:sz w:val="20"/>
                <w:szCs w:val="20"/>
              </w:rPr>
              <w:t>.</w:t>
            </w:r>
          </w:p>
        </w:tc>
      </w:tr>
      <w:tr w:rsidR="009D78BE" w:rsidRPr="009D78BE" w14:paraId="561BAC21" w14:textId="77777777" w:rsidTr="005A7328">
        <w:trPr>
          <w:trHeight w:val="432"/>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E0048F" w14:textId="64A22E23" w:rsidR="00CE603E" w:rsidRPr="00D40B19" w:rsidRDefault="00CE603E" w:rsidP="00D40B19">
            <w:pPr>
              <w:spacing w:line="240" w:lineRule="auto"/>
              <w:rPr>
                <w:rFonts w:ascii="Arial" w:eastAsia="Calibri" w:hAnsi="Arial" w:cs="Arial"/>
                <w:b/>
                <w:color w:val="000000" w:themeColor="text1"/>
                <w:sz w:val="24"/>
                <w:szCs w:val="24"/>
              </w:rPr>
            </w:pPr>
            <w:proofErr w:type="spellStart"/>
            <w:r w:rsidRPr="00D40B19">
              <w:rPr>
                <w:rFonts w:ascii="Arial" w:eastAsia="Calibri" w:hAnsi="Arial" w:cs="Arial"/>
                <w:b/>
                <w:color w:val="000000" w:themeColor="text1"/>
                <w:sz w:val="24"/>
                <w:szCs w:val="24"/>
              </w:rPr>
              <w:t>Brugada</w:t>
            </w:r>
            <w:proofErr w:type="spellEnd"/>
            <w:r w:rsidRPr="00D40B19">
              <w:rPr>
                <w:rFonts w:ascii="Arial" w:eastAsia="Calibri" w:hAnsi="Arial" w:cs="Arial"/>
                <w:b/>
                <w:color w:val="000000" w:themeColor="text1"/>
                <w:sz w:val="24"/>
                <w:szCs w:val="24"/>
              </w:rPr>
              <w:t xml:space="preserve"> </w:t>
            </w:r>
            <w:r w:rsidR="001C2122" w:rsidRPr="009D78BE">
              <w:rPr>
                <w:rFonts w:ascii="Arial" w:eastAsia="Calibri" w:hAnsi="Arial" w:cs="Arial"/>
                <w:b/>
                <w:color w:val="000000" w:themeColor="text1"/>
                <w:sz w:val="24"/>
                <w:szCs w:val="24"/>
              </w:rPr>
              <w:t>Syndrome</w:t>
            </w:r>
          </w:p>
        </w:tc>
      </w:tr>
      <w:tr w:rsidR="009D78BE" w:rsidRPr="009D78BE" w14:paraId="220FAEC4"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CBFBC7" w14:textId="182419E7" w:rsidR="009D128D" w:rsidRPr="00D40B19" w:rsidRDefault="009D128D" w:rsidP="006B5FB2">
            <w:pPr>
              <w:spacing w:after="0" w:line="240" w:lineRule="auto"/>
              <w:contextualSpacing/>
              <w:rPr>
                <w:rFonts w:ascii="Arial" w:hAnsi="Arial" w:cs="Arial"/>
                <w:color w:val="000000" w:themeColor="text1"/>
              </w:rPr>
            </w:pPr>
            <w:r w:rsidRPr="00D40B19">
              <w:rPr>
                <w:rFonts w:ascii="Arial" w:hAnsi="Arial" w:cs="Arial"/>
                <w:b/>
                <w:color w:val="000000" w:themeColor="text1"/>
              </w:rPr>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1870864" w14:textId="3C027F58"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59AAFC" w14:textId="3450C086"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016A67" w14:textId="28290C90" w:rsidR="009D128D" w:rsidRPr="00D40B19" w:rsidRDefault="009D128D" w:rsidP="006B5FB2">
            <w:pPr>
              <w:spacing w:after="0" w:line="240" w:lineRule="auto"/>
              <w:contextualSpacing/>
              <w:rPr>
                <w:rFonts w:ascii="Arial" w:hAnsi="Arial" w:cs="Arial"/>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5BB7A0" w14:textId="2F8EDF07" w:rsidR="009D128D" w:rsidRPr="00D40B19" w:rsidRDefault="009D128D" w:rsidP="006B5FB2">
            <w:pPr>
              <w:spacing w:after="0" w:line="240" w:lineRule="auto"/>
              <w:contextualSpacing/>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A05689" w14:textId="2BD4B008" w:rsidR="009D128D" w:rsidRPr="00D40B19" w:rsidRDefault="009D128D" w:rsidP="00D40B19">
            <w:pPr>
              <w:spacing w:line="240" w:lineRule="auto"/>
              <w:rPr>
                <w:rFonts w:ascii="Arial" w:eastAsia="Calibri"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247E57" w14:textId="15DDB560" w:rsidR="009D128D" w:rsidRPr="009D78BE" w:rsidRDefault="009D128D" w:rsidP="00D40B19">
            <w:pPr>
              <w:spacing w:line="240" w:lineRule="auto"/>
              <w:ind w:left="151"/>
              <w:rPr>
                <w:rFonts w:ascii="Arial" w:eastAsiaTheme="minorEastAsia"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6C575203"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59AA86" w14:textId="28DC68DB" w:rsidR="002E5A2B" w:rsidRPr="00D40B19" w:rsidRDefault="002E5A2B" w:rsidP="006B5FB2">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 xml:space="preserve">Gonzalez </w:t>
            </w:r>
            <w:proofErr w:type="spellStart"/>
            <w:r w:rsidRPr="00D40B19">
              <w:rPr>
                <w:rFonts w:ascii="Arial" w:hAnsi="Arial" w:cs="Arial"/>
                <w:color w:val="000000" w:themeColor="text1"/>
                <w:sz w:val="20"/>
                <w:szCs w:val="20"/>
              </w:rPr>
              <w:t>Corcia</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166</w:t>
            </w:r>
          </w:p>
          <w:p w14:paraId="4CC83A70" w14:textId="77777777" w:rsidR="002E5A2B" w:rsidRPr="00D40B19" w:rsidRDefault="002E5A2B" w:rsidP="006B5FB2">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76B0EE" w14:textId="47EFB7C9" w:rsidR="002E5A2B" w:rsidRPr="00D40B19" w:rsidRDefault="002E5A2B"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6E76EC" w14:textId="3B70AAF9" w:rsidR="002E5A2B" w:rsidRPr="00D40B19" w:rsidRDefault="002E5A2B"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D51B1D" w14:textId="6C5BF92E" w:rsidR="002E5A2B" w:rsidRPr="00D40B19" w:rsidRDefault="002E5A2B" w:rsidP="006B5FB2">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128</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mean age 15 y</w:t>
            </w:r>
            <w:r w:rsidR="00F34813" w:rsidRPr="00D40B19">
              <w:rPr>
                <w:rFonts w:ascii="Arial" w:hAnsi="Arial" w:cs="Arial"/>
                <w:color w:val="000000" w:themeColor="text1"/>
                <w:sz w:val="20"/>
                <w:szCs w:val="20"/>
              </w:rPr>
              <w:t>ears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E7E3081" w14:textId="794CF9DD" w:rsidR="002E5A2B" w:rsidRPr="00D40B19" w:rsidRDefault="002E5A2B" w:rsidP="006B5FB2">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BrS</w:t>
            </w:r>
            <w:proofErr w:type="spellEnd"/>
            <w:r w:rsidRPr="00D40B19">
              <w:rPr>
                <w:rFonts w:ascii="Arial" w:hAnsi="Arial" w:cs="Arial"/>
                <w:color w:val="000000" w:themeColor="text1"/>
                <w:sz w:val="20"/>
                <w:szCs w:val="20"/>
              </w:rPr>
              <w:t xml:space="preserve"> with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17A034" w14:textId="4C1AB127" w:rsidR="002E5A2B" w:rsidRPr="00D40B19" w:rsidRDefault="002E5A2B"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 xml:space="preserve">Utility of </w:t>
            </w:r>
            <w:r w:rsidR="000328CB" w:rsidRPr="00D40B19">
              <w:rPr>
                <w:rFonts w:ascii="Arial" w:hAnsi="Arial" w:cs="Arial"/>
                <w:color w:val="000000" w:themeColor="text1"/>
                <w:sz w:val="20"/>
                <w:szCs w:val="20"/>
              </w:rPr>
              <w:t>electrophysiolog</w:t>
            </w:r>
            <w:r w:rsidR="00620147">
              <w:rPr>
                <w:rFonts w:ascii="Arial" w:hAnsi="Arial" w:cs="Arial"/>
                <w:color w:val="000000" w:themeColor="text1"/>
                <w:sz w:val="20"/>
                <w:szCs w:val="20"/>
              </w:rPr>
              <w:t xml:space="preserve">y </w:t>
            </w:r>
            <w:r w:rsidR="000328CB" w:rsidRPr="00D40B19">
              <w:rPr>
                <w:rFonts w:ascii="Arial" w:hAnsi="Arial" w:cs="Arial"/>
                <w:color w:val="000000" w:themeColor="text1"/>
                <w:sz w:val="20"/>
                <w:szCs w:val="20"/>
              </w:rPr>
              <w:t>stud</w:t>
            </w:r>
            <w:r w:rsidR="003774DC" w:rsidRPr="00D40B19">
              <w:rPr>
                <w:rFonts w:ascii="Arial" w:hAnsi="Arial" w:cs="Arial"/>
                <w:color w:val="000000" w:themeColor="text1"/>
                <w:sz w:val="20"/>
                <w:szCs w:val="20"/>
              </w:rPr>
              <w:t xml:space="preserve">y </w:t>
            </w:r>
            <w:r w:rsidRPr="00D40B19">
              <w:rPr>
                <w:rFonts w:ascii="Arial" w:hAnsi="Arial" w:cs="Arial"/>
                <w:color w:val="000000" w:themeColor="text1"/>
                <w:sz w:val="20"/>
                <w:szCs w:val="20"/>
              </w:rPr>
              <w:t xml:space="preserve">in pediatric </w:t>
            </w:r>
            <w:proofErr w:type="spellStart"/>
            <w:r w:rsidRPr="00D40B19">
              <w:rPr>
                <w:rFonts w:ascii="Arial" w:hAnsi="Arial" w:cs="Arial"/>
                <w:color w:val="000000" w:themeColor="text1"/>
                <w:sz w:val="20"/>
                <w:szCs w:val="20"/>
              </w:rPr>
              <w:t>BrS</w:t>
            </w:r>
            <w:proofErr w:type="spellEnd"/>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9AE7A" w14:textId="42F31BAD" w:rsidR="002E5A2B" w:rsidRPr="00D40B19" w:rsidRDefault="002E5A2B" w:rsidP="00D40B19">
            <w:pPr>
              <w:spacing w:line="240" w:lineRule="auto"/>
              <w:ind w:left="151"/>
              <w:rPr>
                <w:rFonts w:ascii="Arial" w:eastAsiaTheme="minorEastAsia" w:hAnsi="Arial" w:cs="Arial"/>
                <w:color w:val="000000" w:themeColor="text1"/>
                <w:sz w:val="20"/>
                <w:szCs w:val="20"/>
              </w:rPr>
            </w:pPr>
            <w:r w:rsidRPr="00D40B19">
              <w:rPr>
                <w:rFonts w:ascii="Arial" w:eastAsia="Calibri" w:hAnsi="Arial" w:cs="Arial"/>
                <w:color w:val="000000" w:themeColor="text1"/>
                <w:sz w:val="20"/>
                <w:szCs w:val="20"/>
              </w:rPr>
              <w:t xml:space="preserve">Inducibility of VAs during </w:t>
            </w:r>
            <w:r w:rsidR="000328CB" w:rsidRPr="00D40B19">
              <w:rPr>
                <w:rFonts w:ascii="Helvetica" w:hAnsi="Helvetica" w:cs="Helvetica"/>
                <w:color w:val="505050"/>
                <w:sz w:val="20"/>
                <w:szCs w:val="20"/>
                <w:shd w:val="clear" w:color="auto" w:fill="FFFFFF"/>
              </w:rPr>
              <w:t xml:space="preserve"> </w:t>
            </w:r>
            <w:r w:rsidR="000328CB" w:rsidRPr="00D40B19">
              <w:rPr>
                <w:rFonts w:ascii="Arial" w:eastAsia="Calibri" w:hAnsi="Arial" w:cs="Arial"/>
                <w:color w:val="000000" w:themeColor="text1"/>
                <w:sz w:val="20"/>
                <w:szCs w:val="20"/>
              </w:rPr>
              <w:t>electrophysiologic</w:t>
            </w:r>
            <w:r w:rsidRPr="00D40B19">
              <w:rPr>
                <w:rFonts w:ascii="Arial" w:eastAsia="Calibri" w:hAnsi="Arial" w:cs="Arial"/>
                <w:color w:val="000000" w:themeColor="text1"/>
                <w:sz w:val="20"/>
                <w:szCs w:val="20"/>
              </w:rPr>
              <w:t xml:space="preserve"> study was more frequent in symptomatic patients. 10 arrhythmic events occurred in 9 symptomatic patients (event rate 4.5%</w:t>
            </w:r>
            <w:r w:rsidR="00F34813" w:rsidRPr="00D40B19">
              <w:rPr>
                <w:rFonts w:ascii="Arial" w:eastAsia="Calibri" w:hAnsi="Arial" w:cs="Arial"/>
                <w:color w:val="000000" w:themeColor="text1"/>
                <w:sz w:val="20"/>
                <w:szCs w:val="20"/>
              </w:rPr>
              <w:t xml:space="preserve"> per year</w:t>
            </w:r>
            <w:r w:rsidRPr="00D40B19">
              <w:rPr>
                <w:rFonts w:ascii="Arial" w:eastAsia="Calibri" w:hAnsi="Arial" w:cs="Arial"/>
                <w:color w:val="000000" w:themeColor="text1"/>
                <w:sz w:val="20"/>
                <w:szCs w:val="20"/>
              </w:rPr>
              <w:t>). No events in asymptomatic group</w:t>
            </w:r>
            <w:r w:rsidR="006A5CB5" w:rsidRPr="00D40B19">
              <w:rPr>
                <w:rFonts w:ascii="Arial" w:eastAsia="Calibri" w:hAnsi="Arial" w:cs="Arial"/>
                <w:color w:val="000000" w:themeColor="text1"/>
                <w:sz w:val="20"/>
                <w:szCs w:val="20"/>
              </w:rPr>
              <w:t>.</w:t>
            </w:r>
          </w:p>
        </w:tc>
      </w:tr>
      <w:tr w:rsidR="009D78BE" w:rsidRPr="009D78BE" w14:paraId="02DD8CB4"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C4E937" w14:textId="66B65C05" w:rsidR="002E5A2B" w:rsidRPr="00D40B19" w:rsidRDefault="002E5A2B" w:rsidP="006B5FB2">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 xml:space="preserve">Gonzalez </w:t>
            </w:r>
            <w:proofErr w:type="spellStart"/>
            <w:r w:rsidRPr="00D40B19">
              <w:rPr>
                <w:rFonts w:ascii="Arial" w:hAnsi="Arial" w:cs="Arial"/>
                <w:color w:val="000000" w:themeColor="text1"/>
                <w:sz w:val="20"/>
                <w:szCs w:val="20"/>
              </w:rPr>
              <w:t>Corcia</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167</w:t>
            </w:r>
          </w:p>
          <w:p w14:paraId="6C55D796" w14:textId="77777777" w:rsidR="002E5A2B" w:rsidRPr="00D40B19" w:rsidRDefault="002E5A2B" w:rsidP="006B5FB2">
            <w:pPr>
              <w:spacing w:after="0" w:line="240" w:lineRule="auto"/>
              <w:contextualSpacing/>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C9732" w14:textId="0A33CDD5" w:rsidR="002E5A2B" w:rsidRPr="00D40B19" w:rsidRDefault="002E5A2B"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811CD4" w14:textId="0379A4FA" w:rsidR="002E5A2B" w:rsidRPr="00D40B19" w:rsidRDefault="002E5A2B"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3BA550" w14:textId="523A65C1" w:rsidR="002E5A2B" w:rsidRPr="00D40B19" w:rsidRDefault="002E5A2B" w:rsidP="006B5FB2">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95</w:t>
            </w:r>
            <w:r w:rsidR="004B70C4"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mean age 12.9 y</w:t>
            </w:r>
            <w:r w:rsidR="00F34813" w:rsidRPr="00D40B19">
              <w:rPr>
                <w:rFonts w:ascii="Arial" w:hAnsi="Arial" w:cs="Arial"/>
                <w:color w:val="000000" w:themeColor="text1"/>
                <w:sz w:val="20"/>
                <w:szCs w:val="20"/>
              </w:rPr>
              <w:t>ears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41E606" w14:textId="5A7519BB" w:rsidR="002E5A2B" w:rsidRPr="00D40B19" w:rsidRDefault="002E5A2B" w:rsidP="006B5FB2">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BrS</w:t>
            </w:r>
            <w:proofErr w:type="spellEnd"/>
            <w:r w:rsidRPr="00D40B19">
              <w:rPr>
                <w:rFonts w:ascii="Arial" w:hAnsi="Arial" w:cs="Arial"/>
                <w:color w:val="000000" w:themeColor="text1"/>
                <w:sz w:val="20"/>
                <w:szCs w:val="20"/>
              </w:rPr>
              <w:t xml:space="preserve"> with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24699" w14:textId="5968F85E" w:rsidR="002E5A2B" w:rsidRPr="00D40B19" w:rsidRDefault="002E5A2B"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Variables associated with presentation as SCA or syncope</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FB544A" w14:textId="2B0D1B65" w:rsidR="002E5A2B" w:rsidRPr="00D40B19" w:rsidRDefault="002E5A2B" w:rsidP="00D40B19">
            <w:pPr>
              <w:spacing w:line="240" w:lineRule="auto"/>
              <w:ind w:left="151"/>
              <w:rPr>
                <w:rFonts w:ascii="Arial" w:eastAsiaTheme="minorEastAsia" w:hAnsi="Arial" w:cs="Arial"/>
                <w:color w:val="000000" w:themeColor="text1"/>
                <w:sz w:val="20"/>
                <w:szCs w:val="20"/>
              </w:rPr>
            </w:pPr>
            <w:r w:rsidRPr="00D40B19">
              <w:rPr>
                <w:rFonts w:ascii="Arial" w:eastAsia="Calibri" w:hAnsi="Arial" w:cs="Arial"/>
                <w:color w:val="000000" w:themeColor="text1"/>
                <w:sz w:val="20"/>
                <w:szCs w:val="20"/>
              </w:rPr>
              <w:t xml:space="preserve">Main clinical variables for SCD; spontaneous type I ECG; SND and/or AT; conduction abnormality induction of VAs during programmed stimulation.  </w:t>
            </w:r>
          </w:p>
        </w:tc>
      </w:tr>
      <w:tr w:rsidR="009D78BE" w:rsidRPr="009D78BE" w14:paraId="4CA6A8AA"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539748A" w14:textId="5BF7CA7D" w:rsidR="00473ED8" w:rsidRPr="00D40B19" w:rsidRDefault="00473ED8" w:rsidP="006B5FB2">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 xml:space="preserve">Gonzalez </w:t>
            </w:r>
            <w:proofErr w:type="spellStart"/>
            <w:r w:rsidRPr="00D40B19">
              <w:rPr>
                <w:rFonts w:ascii="Arial" w:hAnsi="Arial" w:cs="Arial"/>
                <w:color w:val="000000" w:themeColor="text1"/>
                <w:sz w:val="20"/>
                <w:szCs w:val="20"/>
              </w:rPr>
              <w:t>Corcia</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w:t>
            </w:r>
            <w:r w:rsidR="00A843E1" w:rsidRPr="00D40B19">
              <w:rPr>
                <w:rFonts w:ascii="Arial" w:hAnsi="Arial" w:cs="Arial"/>
                <w:color w:val="000000" w:themeColor="text1"/>
                <w:sz w:val="20"/>
                <w:szCs w:val="20"/>
                <w:vertAlign w:val="superscript"/>
              </w:rPr>
              <w:t>0</w:t>
            </w:r>
          </w:p>
          <w:p w14:paraId="11C8413F" w14:textId="1F06F9D7" w:rsidR="00473ED8" w:rsidRPr="00D40B19" w:rsidRDefault="00473ED8" w:rsidP="00D40B19">
            <w:pPr>
              <w:spacing w:line="240" w:lineRule="auto"/>
              <w:rPr>
                <w:rFonts w:ascii="Arial" w:eastAsia="Calibri"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BD7D7" w14:textId="43E98FF8" w:rsidR="00473ED8" w:rsidRPr="00D40B19" w:rsidRDefault="00473ED8"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2018</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1437AA" w14:textId="255E917B" w:rsidR="00473ED8" w:rsidRPr="00D40B19" w:rsidRDefault="00473ED8"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DE730F" w14:textId="37FFD288" w:rsidR="00473ED8" w:rsidRPr="00D40B19" w:rsidRDefault="00473ED8" w:rsidP="006B5FB2">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35</w:t>
            </w:r>
            <w:r w:rsidR="004B70C4" w:rsidRPr="00D40B19">
              <w:rPr>
                <w:rFonts w:ascii="Arial" w:hAnsi="Arial" w:cs="Arial"/>
                <w:color w:val="000000" w:themeColor="text1"/>
                <w:sz w:val="20"/>
                <w:szCs w:val="20"/>
              </w:rPr>
              <w:t xml:space="preserve"> patients</w:t>
            </w:r>
            <w:r w:rsidR="004B70C4" w:rsidRPr="00D40B19" w:rsidDel="00F34813">
              <w:rPr>
                <w:rFonts w:ascii="Arial" w:hAnsi="Arial" w:cs="Arial"/>
                <w:color w:val="000000" w:themeColor="text1"/>
                <w:sz w:val="20"/>
                <w:szCs w:val="20"/>
              </w:rPr>
              <w:t xml:space="preserve"> </w:t>
            </w:r>
            <w:r w:rsidR="002C7C63"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mean age 13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p w14:paraId="7EA81F17" w14:textId="5AF0EFDF" w:rsidR="00473ED8" w:rsidRPr="00D40B19" w:rsidRDefault="00473ED8"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2F2DBA" w14:textId="77777777" w:rsidR="00473ED8" w:rsidRPr="00D40B19" w:rsidRDefault="00473ED8" w:rsidP="006B5FB2">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BrS</w:t>
            </w:r>
            <w:proofErr w:type="spellEnd"/>
            <w:r w:rsidRPr="00D40B19">
              <w:rPr>
                <w:rFonts w:ascii="Arial" w:hAnsi="Arial" w:cs="Arial"/>
                <w:color w:val="000000" w:themeColor="text1"/>
                <w:sz w:val="20"/>
                <w:szCs w:val="20"/>
              </w:rPr>
              <w:t xml:space="preserve"> with ICDs</w:t>
            </w:r>
          </w:p>
          <w:p w14:paraId="74FA321A" w14:textId="68971625" w:rsidR="00473ED8" w:rsidRPr="00D40B19" w:rsidRDefault="00473ED8" w:rsidP="006B5FB2">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 &lt;20 </w:t>
            </w:r>
            <w:r w:rsidR="00F34813" w:rsidRPr="00D40B19">
              <w:rPr>
                <w:rFonts w:ascii="Arial" w:hAnsi="Arial" w:cs="Arial"/>
                <w:color w:val="000000" w:themeColor="text1"/>
                <w:sz w:val="20"/>
                <w:szCs w:val="20"/>
              </w:rPr>
              <w:t>years old</w:t>
            </w:r>
          </w:p>
          <w:p w14:paraId="12BDA740" w14:textId="77777777" w:rsidR="00473ED8" w:rsidRPr="00D40B19" w:rsidRDefault="00473ED8" w:rsidP="00D40B19">
            <w:pPr>
              <w:spacing w:line="240" w:lineRule="auto"/>
              <w:rPr>
                <w:rFonts w:ascii="Arial" w:eastAsia="Calibri"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C5F953" w14:textId="4D747E24" w:rsidR="00473ED8" w:rsidRPr="00D40B19" w:rsidRDefault="00473ED8" w:rsidP="00D40B19">
            <w:pPr>
              <w:spacing w:line="240" w:lineRule="auto"/>
              <w:rPr>
                <w:rFonts w:ascii="Arial" w:eastAsia="Calibri" w:hAnsi="Arial" w:cs="Arial"/>
                <w:color w:val="000000" w:themeColor="text1"/>
                <w:sz w:val="20"/>
                <w:szCs w:val="20"/>
              </w:rPr>
            </w:pPr>
            <w:r w:rsidRPr="00D40B19">
              <w:rPr>
                <w:rFonts w:ascii="Arial" w:eastAsia="Calibri" w:hAnsi="Arial" w:cs="Arial"/>
                <w:color w:val="000000" w:themeColor="text1"/>
                <w:sz w:val="20"/>
                <w:szCs w:val="20"/>
              </w:rPr>
              <w:t xml:space="preserve">Predictors and outcomes of ICD in </w:t>
            </w:r>
            <w:proofErr w:type="spellStart"/>
            <w:r w:rsidRPr="00D40B19">
              <w:rPr>
                <w:rFonts w:ascii="Arial" w:eastAsia="Calibri" w:hAnsi="Arial" w:cs="Arial"/>
                <w:color w:val="000000" w:themeColor="text1"/>
                <w:sz w:val="20"/>
                <w:szCs w:val="20"/>
              </w:rPr>
              <w:t>BrS</w:t>
            </w:r>
            <w:proofErr w:type="spellEnd"/>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15FAAC0A" w14:textId="073968AE" w:rsidR="00473ED8" w:rsidRPr="00D40B19" w:rsidRDefault="00473ED8" w:rsidP="00D40B19">
            <w:pPr>
              <w:spacing w:line="240" w:lineRule="auto"/>
              <w:ind w:left="151"/>
              <w:rPr>
                <w:rFonts w:ascii="Arial" w:eastAsia="Calibri" w:hAnsi="Arial" w:cs="Arial"/>
                <w:color w:val="000000" w:themeColor="text1"/>
                <w:sz w:val="20"/>
                <w:szCs w:val="20"/>
              </w:rPr>
            </w:pPr>
            <w:r w:rsidRPr="00D40B19">
              <w:rPr>
                <w:rFonts w:ascii="Arial" w:eastAsiaTheme="minorEastAsia" w:hAnsi="Arial" w:cs="Arial"/>
                <w:color w:val="000000" w:themeColor="text1"/>
                <w:sz w:val="20"/>
                <w:szCs w:val="20"/>
              </w:rPr>
              <w:t>9/36 patients ICD for VT/VF. 3 p</w:t>
            </w:r>
            <w:r w:rsidR="006A5CB5" w:rsidRPr="00D40B19">
              <w:rPr>
                <w:rFonts w:ascii="Arial" w:eastAsiaTheme="minorEastAsia" w:hAnsi="Arial" w:cs="Arial"/>
                <w:color w:val="000000" w:themeColor="text1"/>
                <w:sz w:val="20"/>
                <w:szCs w:val="20"/>
              </w:rPr>
              <w:t>a</w:t>
            </w:r>
            <w:r w:rsidRPr="00D40B19">
              <w:rPr>
                <w:rFonts w:ascii="Arial" w:eastAsiaTheme="minorEastAsia" w:hAnsi="Arial" w:cs="Arial"/>
                <w:color w:val="000000" w:themeColor="text1"/>
                <w:sz w:val="20"/>
                <w:szCs w:val="20"/>
              </w:rPr>
              <w:t>t</w:t>
            </w:r>
            <w:r w:rsidR="006A5CB5" w:rsidRPr="00D40B19">
              <w:rPr>
                <w:rFonts w:ascii="Arial" w:eastAsiaTheme="minorEastAsia" w:hAnsi="Arial" w:cs="Arial"/>
                <w:color w:val="000000" w:themeColor="text1"/>
                <w:sz w:val="20"/>
                <w:szCs w:val="20"/>
              </w:rPr>
              <w:t>ient</w:t>
            </w:r>
            <w:r w:rsidRPr="00D40B19">
              <w:rPr>
                <w:rFonts w:ascii="Arial" w:eastAsiaTheme="minorEastAsia" w:hAnsi="Arial" w:cs="Arial"/>
                <w:color w:val="000000" w:themeColor="text1"/>
                <w:sz w:val="20"/>
                <w:szCs w:val="20"/>
              </w:rPr>
              <w:t>s expired in VF storm despite ICD therapy. Aborted SCD and type</w:t>
            </w:r>
            <w:r w:rsidR="006A5CB5"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1 ECG independent predictors of ICD therapy</w:t>
            </w:r>
          </w:p>
        </w:tc>
      </w:tr>
      <w:tr w:rsidR="009D78BE" w:rsidRPr="009D78BE" w14:paraId="1676B6FC"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80508F" w14:textId="404E53AE" w:rsidR="00473ED8" w:rsidRPr="00D40B19" w:rsidRDefault="00473ED8" w:rsidP="00D40B19">
            <w:pPr>
              <w:spacing w:line="240" w:lineRule="auto"/>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Andorin</w:t>
            </w:r>
            <w:proofErr w:type="spellEnd"/>
            <w:r w:rsidR="00E81116" w:rsidRPr="00D40B19">
              <w:rPr>
                <w:rFonts w:ascii="Arial" w:hAnsi="Arial" w:cs="Arial"/>
                <w:bCs/>
                <w:color w:val="000000" w:themeColor="text1"/>
                <w:sz w:val="20"/>
                <w:szCs w:val="20"/>
              </w:rPr>
              <w:t xml:space="preserve"> et al</w:t>
            </w:r>
            <w:r w:rsidR="00F04A2D" w:rsidRPr="00D40B19">
              <w:rPr>
                <w:rFonts w:ascii="Arial" w:hAnsi="Arial" w:cs="Arial"/>
                <w:color w:val="000000" w:themeColor="text1"/>
                <w:sz w:val="20"/>
                <w:szCs w:val="20"/>
                <w:vertAlign w:val="superscript"/>
              </w:rPr>
              <w:t>171</w:t>
            </w:r>
          </w:p>
          <w:p w14:paraId="5C25526B" w14:textId="3CED5A83" w:rsidR="00E46824" w:rsidRPr="00D40B19" w:rsidRDefault="00E46824" w:rsidP="00D40B19">
            <w:pPr>
              <w:spacing w:line="240" w:lineRule="auto"/>
              <w:rPr>
                <w:rFonts w:ascii="Arial" w:eastAsia="Calibri"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C477" w14:textId="5FB9A08A" w:rsidR="00473ED8" w:rsidRPr="00D40B19" w:rsidRDefault="00473ED8"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2016</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98CACB" w14:textId="40718984" w:rsidR="00473ED8" w:rsidRPr="00D40B19" w:rsidRDefault="00473ED8"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Multicenter retrospective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A8A51D" w14:textId="47630A97" w:rsidR="00473ED8" w:rsidRPr="00D40B19" w:rsidRDefault="00473ED8"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106</w:t>
            </w:r>
            <w:r w:rsidR="004B70C4" w:rsidRPr="00D40B19">
              <w:rPr>
                <w:rFonts w:ascii="Arial" w:hAnsi="Arial" w:cs="Arial"/>
                <w:color w:val="000000" w:themeColor="text1"/>
                <w:sz w:val="20"/>
                <w:szCs w:val="20"/>
              </w:rPr>
              <w:t xml:space="preserve"> patients</w:t>
            </w:r>
            <w:r w:rsidR="002C7C6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mean age 11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F96C47" w14:textId="71AAFA9A" w:rsidR="00473ED8" w:rsidRPr="00D40B19" w:rsidRDefault="00473ED8" w:rsidP="006B5FB2">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&lt;19 </w:t>
            </w:r>
            <w:r w:rsidR="00F34813" w:rsidRPr="00D40B19">
              <w:rPr>
                <w:rFonts w:ascii="Arial" w:hAnsi="Arial" w:cs="Arial"/>
                <w:color w:val="000000" w:themeColor="text1"/>
                <w:sz w:val="20"/>
                <w:szCs w:val="20"/>
              </w:rPr>
              <w:t xml:space="preserve">years old </w:t>
            </w:r>
            <w:r w:rsidRPr="00D40B19">
              <w:rPr>
                <w:rFonts w:ascii="Arial" w:hAnsi="Arial" w:cs="Arial"/>
                <w:color w:val="000000" w:themeColor="text1"/>
                <w:sz w:val="20"/>
                <w:szCs w:val="20"/>
              </w:rPr>
              <w:t xml:space="preserve">with </w:t>
            </w:r>
            <w:proofErr w:type="spellStart"/>
            <w:r w:rsidRPr="00D40B19">
              <w:rPr>
                <w:rFonts w:ascii="Arial" w:hAnsi="Arial" w:cs="Arial"/>
                <w:color w:val="000000" w:themeColor="text1"/>
                <w:sz w:val="20"/>
                <w:szCs w:val="20"/>
              </w:rPr>
              <w:t>BrS</w:t>
            </w:r>
            <w:proofErr w:type="spellEnd"/>
          </w:p>
          <w:p w14:paraId="66D31B6E" w14:textId="475CE70C" w:rsidR="00473ED8" w:rsidRPr="00D40B19" w:rsidRDefault="00F34813"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w</w:t>
            </w:r>
            <w:r w:rsidR="00473ED8" w:rsidRPr="00D40B19">
              <w:rPr>
                <w:rFonts w:ascii="Arial" w:hAnsi="Arial" w:cs="Arial"/>
                <w:color w:val="000000" w:themeColor="text1"/>
                <w:sz w:val="20"/>
                <w:szCs w:val="20"/>
              </w:rPr>
              <w:t>ith or without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D03941" w14:textId="52189000" w:rsidR="00473ED8" w:rsidRPr="00D40B19" w:rsidRDefault="00473ED8"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 xml:space="preserve">Predictors of cardiac events in </w:t>
            </w:r>
            <w:proofErr w:type="spellStart"/>
            <w:r w:rsidRPr="00D40B19">
              <w:rPr>
                <w:rFonts w:ascii="Arial" w:hAnsi="Arial" w:cs="Arial"/>
                <w:color w:val="000000" w:themeColor="text1"/>
                <w:sz w:val="20"/>
                <w:szCs w:val="20"/>
              </w:rPr>
              <w:t>BrS</w:t>
            </w:r>
            <w:proofErr w:type="spellEnd"/>
            <w:r w:rsidRPr="00D40B19">
              <w:rPr>
                <w:rFonts w:ascii="Arial" w:hAnsi="Arial" w:cs="Arial"/>
                <w:color w:val="000000" w:themeColor="text1"/>
                <w:sz w:val="20"/>
                <w:szCs w:val="20"/>
              </w:rPr>
              <w:t xml:space="preserve"> patients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E315AD8" w14:textId="7E5BE659" w:rsidR="00473ED8" w:rsidRPr="00D40B19" w:rsidRDefault="00473ED8" w:rsidP="00D40B19">
            <w:pPr>
              <w:spacing w:line="240" w:lineRule="auto"/>
              <w:ind w:left="151"/>
              <w:rPr>
                <w:rFonts w:ascii="Arial" w:eastAsia="Calibri" w:hAnsi="Arial" w:cs="Arial"/>
                <w:color w:val="000000" w:themeColor="text1"/>
                <w:sz w:val="20"/>
                <w:szCs w:val="20"/>
              </w:rPr>
            </w:pPr>
            <w:r w:rsidRPr="00D40B19">
              <w:rPr>
                <w:rFonts w:ascii="Arial" w:eastAsiaTheme="minorEastAsia" w:hAnsi="Arial" w:cs="Arial"/>
                <w:color w:val="000000" w:themeColor="text1"/>
                <w:sz w:val="20"/>
                <w:szCs w:val="20"/>
              </w:rPr>
              <w:t>75% asymptomatic, symptoms: 14% syncope, 6% aborted SCD or sustained VT, 5% other. During follow-up 9% life</w:t>
            </w:r>
            <w:r w:rsidR="006A5CB5" w:rsidRPr="00D40B19">
              <w:rPr>
                <w:rFonts w:ascii="Arial" w:eastAsiaTheme="minorEastAsia" w:hAnsi="Arial" w:cs="Arial"/>
                <w:color w:val="000000" w:themeColor="text1"/>
                <w:sz w:val="20"/>
                <w:szCs w:val="20"/>
              </w:rPr>
              <w:t>-</w:t>
            </w:r>
            <w:r w:rsidRPr="00D40B19">
              <w:rPr>
                <w:rFonts w:ascii="Arial" w:eastAsiaTheme="minorEastAsia" w:hAnsi="Arial" w:cs="Arial"/>
                <w:color w:val="000000" w:themeColor="text1"/>
                <w:sz w:val="20"/>
                <w:szCs w:val="20"/>
              </w:rPr>
              <w:t>threatening arrhythmias and 3 deaths (all on quinidine w</w:t>
            </w:r>
            <w:r w:rsidR="006A5CB5" w:rsidRPr="00D40B19">
              <w:rPr>
                <w:rFonts w:ascii="Arial" w:eastAsiaTheme="minorEastAsia" w:hAnsi="Arial" w:cs="Arial"/>
                <w:color w:val="000000" w:themeColor="text1"/>
                <w:sz w:val="20"/>
                <w:szCs w:val="20"/>
              </w:rPr>
              <w:t>ithout</w:t>
            </w:r>
            <w:r w:rsidRPr="00D40B19">
              <w:rPr>
                <w:rFonts w:ascii="Arial" w:eastAsiaTheme="minorEastAsia" w:hAnsi="Arial" w:cs="Arial"/>
                <w:color w:val="000000" w:themeColor="text1"/>
                <w:sz w:val="20"/>
                <w:szCs w:val="20"/>
              </w:rPr>
              <w:t xml:space="preserve"> ICD).  Fever trigged 27% of life-threatening events</w:t>
            </w:r>
            <w:r w:rsidR="006A5CB5" w:rsidRPr="00D40B19">
              <w:rPr>
                <w:rFonts w:ascii="Arial" w:eastAsiaTheme="minorEastAsia" w:hAnsi="Arial" w:cs="Arial"/>
                <w:color w:val="000000" w:themeColor="text1"/>
                <w:sz w:val="20"/>
                <w:szCs w:val="20"/>
              </w:rPr>
              <w:t>.</w:t>
            </w:r>
          </w:p>
        </w:tc>
      </w:tr>
      <w:tr w:rsidR="009D78BE" w:rsidRPr="009D78BE" w14:paraId="040528DD" w14:textId="77777777" w:rsidTr="005A7328">
        <w:trPr>
          <w:trHeight w:val="576"/>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8F0D7C" w14:textId="5AE689EC" w:rsidR="001E4C36" w:rsidRPr="00D40B19" w:rsidRDefault="006D10B9" w:rsidP="00D40B19">
            <w:pPr>
              <w:spacing w:line="240" w:lineRule="auto"/>
              <w:rPr>
                <w:rFonts w:ascii="Arial" w:hAnsi="Arial" w:cs="Arial"/>
                <w:color w:val="000000" w:themeColor="text1"/>
                <w:sz w:val="20"/>
                <w:szCs w:val="20"/>
              </w:rPr>
            </w:pPr>
            <w:r w:rsidRPr="009D78BE">
              <w:rPr>
                <w:rFonts w:ascii="Arial" w:hAnsi="Arial" w:cs="Arial"/>
                <w:b/>
                <w:color w:val="000000" w:themeColor="text1"/>
                <w:sz w:val="24"/>
                <w:szCs w:val="24"/>
              </w:rPr>
              <w:t>Cardiomyopathies</w:t>
            </w:r>
          </w:p>
        </w:tc>
      </w:tr>
      <w:tr w:rsidR="009D78BE" w:rsidRPr="009D78BE" w14:paraId="3ED6E0C6" w14:textId="77777777" w:rsidTr="005A7328">
        <w:trPr>
          <w:trHeight w:val="576"/>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802F9" w14:textId="6C172F29" w:rsidR="001E4C36" w:rsidRPr="00D40B19" w:rsidRDefault="001E4C36" w:rsidP="00D40B19">
            <w:pPr>
              <w:spacing w:line="240" w:lineRule="auto"/>
              <w:rPr>
                <w:rFonts w:ascii="Arial" w:hAnsi="Arial" w:cs="Arial"/>
                <w:b/>
                <w:color w:val="000000" w:themeColor="text1"/>
                <w:sz w:val="24"/>
                <w:szCs w:val="24"/>
              </w:rPr>
            </w:pPr>
            <w:r w:rsidRPr="00D40B19">
              <w:rPr>
                <w:rFonts w:ascii="Arial" w:hAnsi="Arial" w:cs="Arial"/>
                <w:b/>
                <w:color w:val="000000" w:themeColor="text1"/>
                <w:sz w:val="24"/>
                <w:szCs w:val="24"/>
              </w:rPr>
              <w:t xml:space="preserve">Hypertrophic </w:t>
            </w:r>
            <w:r w:rsidR="006D10B9" w:rsidRPr="009D78BE">
              <w:rPr>
                <w:rFonts w:ascii="Arial" w:hAnsi="Arial" w:cs="Arial"/>
                <w:b/>
                <w:color w:val="000000" w:themeColor="text1"/>
                <w:sz w:val="24"/>
                <w:szCs w:val="24"/>
              </w:rPr>
              <w:t>Cardiomyopathy</w:t>
            </w:r>
          </w:p>
        </w:tc>
      </w:tr>
      <w:tr w:rsidR="009D78BE" w:rsidRPr="009D78BE" w14:paraId="1BFA309C"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BE5730" w14:textId="4F8A95A1"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lastRenderedPageBreak/>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23B0B2" w14:textId="129B21C6"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E51A3" w14:textId="13FA5BC7" w:rsidR="009D128D" w:rsidRPr="00D40B19" w:rsidRDefault="009D128D" w:rsidP="006B5FB2">
            <w:pPr>
              <w:spacing w:line="240" w:lineRule="auto"/>
              <w:rPr>
                <w:rFonts w:ascii="Arial"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CEC42A" w14:textId="4B74AF2C"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48531A" w14:textId="01E3C8E3"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A8F01A" w14:textId="677CC402"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200FDF67" w14:textId="6EC9B316" w:rsidR="009D128D" w:rsidRPr="00D40B19" w:rsidRDefault="009D128D" w:rsidP="00D40B19">
            <w:pPr>
              <w:spacing w:line="240" w:lineRule="auto"/>
              <w:ind w:left="151"/>
              <w:rPr>
                <w:rFonts w:ascii="Arial"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5201BD6A"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A84092" w14:textId="275E8217" w:rsidR="00A843E1" w:rsidRPr="00D40B19" w:rsidRDefault="00A843E1" w:rsidP="00D40B19">
            <w:pPr>
              <w:spacing w:line="240" w:lineRule="auto"/>
              <w:rPr>
                <w:rFonts w:ascii="Arial" w:eastAsiaTheme="minorHAnsi" w:hAnsi="Arial" w:cs="Arial"/>
                <w:color w:val="000000" w:themeColor="text1"/>
                <w:sz w:val="20"/>
                <w:szCs w:val="20"/>
                <w:vertAlign w:val="superscript"/>
              </w:rPr>
            </w:pPr>
            <w:proofErr w:type="spellStart"/>
            <w:r w:rsidRPr="00D40B19">
              <w:rPr>
                <w:rFonts w:ascii="Arial" w:hAnsi="Arial" w:cs="Arial"/>
                <w:color w:val="000000" w:themeColor="text1"/>
                <w:sz w:val="20"/>
                <w:szCs w:val="20"/>
              </w:rPr>
              <w:t>Maron</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172</w:t>
            </w:r>
          </w:p>
          <w:p w14:paraId="77BE39EB" w14:textId="77777777" w:rsidR="00A843E1" w:rsidRPr="00D40B19" w:rsidRDefault="00A843E1"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57C0E0E2" w14:textId="5CC1CA79"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2016</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D802954" w14:textId="26A0E86F" w:rsidR="00A843E1" w:rsidRPr="00D40B19" w:rsidRDefault="00A843E1" w:rsidP="006B5FB2">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Multicenter retrospective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BE2C38" w14:textId="086883A1"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474 </w:t>
            </w:r>
            <w:r w:rsidR="004B70C4" w:rsidRPr="00D40B19">
              <w:rPr>
                <w:rFonts w:ascii="Arial" w:hAnsi="Arial" w:cs="Arial"/>
                <w:color w:val="000000" w:themeColor="text1"/>
                <w:sz w:val="20"/>
                <w:szCs w:val="20"/>
              </w:rPr>
              <w:t xml:space="preserve"> patients; </w:t>
            </w:r>
            <w:r w:rsidRPr="00D40B19">
              <w:rPr>
                <w:rFonts w:ascii="Arial" w:hAnsi="Arial" w:cs="Arial"/>
                <w:color w:val="000000" w:themeColor="text1"/>
                <w:sz w:val="20"/>
                <w:szCs w:val="20"/>
              </w:rPr>
              <w:t>231 with ICDs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632F05" w14:textId="6F3A10EF"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&lt;30 y</w:t>
            </w:r>
            <w:r w:rsidR="00F34813" w:rsidRPr="00D40B19">
              <w:rPr>
                <w:rFonts w:ascii="Arial" w:hAnsi="Arial" w:cs="Arial"/>
                <w:color w:val="000000" w:themeColor="text1"/>
                <w:sz w:val="20"/>
                <w:szCs w:val="20"/>
              </w:rPr>
              <w:t xml:space="preserve">ears </w:t>
            </w:r>
            <w:r w:rsidRPr="00D40B19">
              <w:rPr>
                <w:rFonts w:ascii="Arial" w:hAnsi="Arial" w:cs="Arial"/>
                <w:color w:val="000000" w:themeColor="text1"/>
                <w:sz w:val="20"/>
                <w:szCs w:val="20"/>
              </w:rPr>
              <w:t>o</w:t>
            </w:r>
            <w:r w:rsidR="00F34813" w:rsidRPr="00D40B19">
              <w:rPr>
                <w:rFonts w:ascii="Arial" w:hAnsi="Arial" w:cs="Arial"/>
                <w:color w:val="000000" w:themeColor="text1"/>
                <w:sz w:val="20"/>
                <w:szCs w:val="20"/>
              </w:rPr>
              <w:t>ld</w:t>
            </w:r>
            <w:r w:rsidRPr="00D40B19">
              <w:rPr>
                <w:rFonts w:ascii="Arial" w:hAnsi="Arial" w:cs="Arial"/>
                <w:color w:val="000000" w:themeColor="text1"/>
                <w:sz w:val="20"/>
                <w:szCs w:val="20"/>
              </w:rPr>
              <w:t xml:space="preserve"> with HCM from 2 centers; </w:t>
            </w:r>
            <w:r w:rsidR="00F34813" w:rsidRPr="00D40B19">
              <w:rPr>
                <w:rFonts w:ascii="Arial" w:hAnsi="Arial" w:cs="Arial"/>
                <w:bCs/>
                <w:color w:val="000000" w:themeColor="text1"/>
                <w:sz w:val="20"/>
                <w:szCs w:val="20"/>
              </w:rPr>
              <w:t>m</w:t>
            </w:r>
            <w:r w:rsidRPr="00D40B19">
              <w:rPr>
                <w:rFonts w:ascii="Arial" w:hAnsi="Arial" w:cs="Arial"/>
                <w:bCs/>
                <w:color w:val="000000" w:themeColor="text1"/>
                <w:sz w:val="20"/>
                <w:szCs w:val="20"/>
              </w:rPr>
              <w:t xml:space="preserve">ean age </w:t>
            </w:r>
            <w:r w:rsidRPr="00D40B19">
              <w:rPr>
                <w:rFonts w:ascii="Arial" w:hAnsi="Arial" w:cs="Arial"/>
                <w:color w:val="000000" w:themeColor="text1"/>
                <w:sz w:val="20"/>
                <w:szCs w:val="20"/>
              </w:rPr>
              <w:t>17</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p w14:paraId="12B33CBC" w14:textId="77777777" w:rsidR="00A843E1" w:rsidRPr="00D40B19" w:rsidRDefault="00A843E1"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2DAA5A" w14:textId="250F9DBF"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Events and ICD intervention rates in those with ICDs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236D489" w14:textId="21A89258" w:rsidR="00A843E1" w:rsidRPr="00D40B19" w:rsidRDefault="00A843E1" w:rsidP="00D40B19">
            <w:pPr>
              <w:spacing w:line="240" w:lineRule="auto"/>
              <w:ind w:left="151" w:right="91"/>
              <w:rPr>
                <w:rFonts w:ascii="Arial" w:hAnsi="Arial" w:cs="Arial"/>
                <w:color w:val="000000" w:themeColor="text1"/>
                <w:sz w:val="20"/>
                <w:szCs w:val="20"/>
              </w:rPr>
            </w:pPr>
            <w:r w:rsidRPr="00D40B19">
              <w:rPr>
                <w:rFonts w:ascii="Arial" w:hAnsi="Arial" w:cs="Arial"/>
                <w:color w:val="000000" w:themeColor="text1"/>
                <w:sz w:val="20"/>
                <w:szCs w:val="20"/>
              </w:rPr>
              <w:t>Of those with ICDs, 18% had appropriate ICD discharges (58% of secondary prevention v</w:t>
            </w:r>
            <w:r w:rsidR="006A5CB5" w:rsidRPr="00D40B19">
              <w:rPr>
                <w:rFonts w:ascii="Arial" w:hAnsi="Arial" w:cs="Arial"/>
                <w:color w:val="000000" w:themeColor="text1"/>
                <w:sz w:val="20"/>
                <w:szCs w:val="20"/>
              </w:rPr>
              <w:t>s.</w:t>
            </w:r>
            <w:r w:rsidRPr="00D40B19">
              <w:rPr>
                <w:rFonts w:ascii="Arial" w:hAnsi="Arial" w:cs="Arial"/>
                <w:color w:val="000000" w:themeColor="text1"/>
                <w:sz w:val="20"/>
                <w:szCs w:val="20"/>
              </w:rPr>
              <w:t xml:space="preserve"> 15% of primary prevention)</w:t>
            </w:r>
            <w:r w:rsidR="006A5CB5"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26% had ICD related complications</w:t>
            </w:r>
          </w:p>
          <w:p w14:paraId="4FECFF0F" w14:textId="77777777" w:rsidR="00A843E1" w:rsidRPr="00D40B19" w:rsidRDefault="00A843E1" w:rsidP="00D40B19">
            <w:pPr>
              <w:spacing w:line="240" w:lineRule="auto"/>
              <w:ind w:left="151" w:right="91"/>
              <w:rPr>
                <w:rFonts w:ascii="Arial" w:hAnsi="Arial" w:cs="Arial"/>
                <w:color w:val="000000" w:themeColor="text1"/>
                <w:sz w:val="20"/>
                <w:szCs w:val="20"/>
              </w:rPr>
            </w:pPr>
          </w:p>
        </w:tc>
      </w:tr>
      <w:tr w:rsidR="009D78BE" w:rsidRPr="009D78BE" w14:paraId="5D398117"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8D2E45" w14:textId="72E92FC7" w:rsidR="00E46824" w:rsidRPr="00D40B19" w:rsidRDefault="00E46824" w:rsidP="00D40B19">
            <w:pPr>
              <w:spacing w:line="240" w:lineRule="auto"/>
              <w:rPr>
                <w:rFonts w:ascii="Arial" w:eastAsiaTheme="minorHAnsi" w:hAnsi="Arial" w:cs="Arial"/>
                <w:color w:val="000000" w:themeColor="text1"/>
                <w:sz w:val="20"/>
                <w:szCs w:val="20"/>
                <w:vertAlign w:val="superscript"/>
              </w:rPr>
            </w:pPr>
            <w:proofErr w:type="spellStart"/>
            <w:r w:rsidRPr="00D40B19">
              <w:rPr>
                <w:rFonts w:ascii="Arial" w:hAnsi="Arial" w:cs="Arial"/>
                <w:color w:val="000000" w:themeColor="text1"/>
                <w:sz w:val="20"/>
                <w:szCs w:val="20"/>
              </w:rPr>
              <w:t>Maron</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173</w:t>
            </w:r>
          </w:p>
          <w:p w14:paraId="7F907DC9" w14:textId="4B878C28" w:rsidR="00E46824" w:rsidRPr="00D40B19" w:rsidRDefault="00E46824"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5368453" w14:textId="79372F13" w:rsidR="00E46824" w:rsidRPr="00D40B19" w:rsidRDefault="00E46824"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2013</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952658" w14:textId="27D59BFE" w:rsidR="00E46824" w:rsidRPr="00D40B19" w:rsidRDefault="00E46824" w:rsidP="006B5FB2">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Multicenter </w:t>
            </w:r>
            <w:r w:rsidR="002C064F" w:rsidRPr="00D40B19">
              <w:rPr>
                <w:rFonts w:ascii="Arial" w:hAnsi="Arial" w:cs="Arial"/>
                <w:color w:val="000000" w:themeColor="text1"/>
                <w:sz w:val="20"/>
                <w:szCs w:val="20"/>
              </w:rPr>
              <w:t>r</w:t>
            </w:r>
            <w:r w:rsidRPr="00D40B19">
              <w:rPr>
                <w:rFonts w:ascii="Arial" w:hAnsi="Arial" w:cs="Arial"/>
                <w:color w:val="000000" w:themeColor="text1"/>
                <w:sz w:val="20"/>
                <w:szCs w:val="20"/>
              </w:rPr>
              <w:t>etrospectiv</w:t>
            </w:r>
            <w:r w:rsidR="002C064F" w:rsidRPr="00D40B19">
              <w:rPr>
                <w:rFonts w:ascii="Arial" w:hAnsi="Arial" w:cs="Arial"/>
                <w:color w:val="000000" w:themeColor="text1"/>
                <w:sz w:val="20"/>
                <w:szCs w:val="20"/>
              </w:rPr>
              <w:t>e</w:t>
            </w:r>
            <w:r w:rsidR="00E6304A" w:rsidRPr="00D40B19">
              <w:rPr>
                <w:rFonts w:ascii="Arial" w:hAnsi="Arial" w:cs="Arial"/>
                <w:color w:val="000000" w:themeColor="text1"/>
                <w:sz w:val="20"/>
                <w:szCs w:val="20"/>
              </w:rPr>
              <w:t xml:space="preserve"> study</w:t>
            </w:r>
            <w:r w:rsidR="002C064F" w:rsidRPr="00D40B19">
              <w:rPr>
                <w:rFonts w:ascii="Arial" w:hAnsi="Arial" w:cs="Arial"/>
                <w:color w:val="000000" w:themeColor="text1"/>
                <w:sz w:val="20"/>
                <w:szCs w:val="20"/>
              </w:rPr>
              <w:t>,</w:t>
            </w:r>
            <w:r w:rsidR="00851767" w:rsidRPr="00D40B19">
              <w:rPr>
                <w:rFonts w:ascii="Arial" w:hAnsi="Arial" w:cs="Arial"/>
                <w:color w:val="000000" w:themeColor="text1"/>
                <w:sz w:val="20"/>
                <w:szCs w:val="20"/>
              </w:rPr>
              <w:t xml:space="preserve"> </w:t>
            </w:r>
            <w:r w:rsidR="002C064F" w:rsidRPr="00D40B19">
              <w:rPr>
                <w:rFonts w:ascii="Arial" w:hAnsi="Arial" w:cs="Arial"/>
                <w:color w:val="000000" w:themeColor="text1"/>
                <w:sz w:val="20"/>
                <w:szCs w:val="20"/>
              </w:rPr>
              <w:t>r</w:t>
            </w:r>
            <w:r w:rsidRPr="00D40B19">
              <w:rPr>
                <w:rFonts w:ascii="Arial" w:hAnsi="Arial" w:cs="Arial"/>
                <w:color w:val="000000" w:themeColor="text1"/>
                <w:sz w:val="20"/>
                <w:szCs w:val="20"/>
              </w:rPr>
              <w:t>egistry data</w:t>
            </w:r>
          </w:p>
          <w:p w14:paraId="777F4B2D" w14:textId="5515F791" w:rsidR="00E46824" w:rsidRPr="00D40B19" w:rsidRDefault="00E46824" w:rsidP="006B5FB2">
            <w:pPr>
              <w:spacing w:line="240" w:lineRule="auto"/>
              <w:rPr>
                <w:rFonts w:ascii="Arial" w:eastAsiaTheme="minorEastAsia"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73F42F" w14:textId="5B02F4A3" w:rsidR="00E46824" w:rsidRPr="00D40B19" w:rsidRDefault="00E46824"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 xml:space="preserve">224 </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6B8C36" w14:textId="3051024B" w:rsidR="00E46824" w:rsidRPr="00D40B19" w:rsidRDefault="00E46824"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&lt;20 y</w:t>
            </w:r>
            <w:r w:rsidR="00F34813" w:rsidRPr="00D40B19">
              <w:rPr>
                <w:rFonts w:ascii="Arial" w:hAnsi="Arial" w:cs="Arial"/>
                <w:color w:val="000000" w:themeColor="text1"/>
                <w:sz w:val="20"/>
                <w:szCs w:val="20"/>
              </w:rPr>
              <w:t>ears old</w:t>
            </w:r>
            <w:r w:rsidRPr="00D40B19">
              <w:rPr>
                <w:rFonts w:ascii="Arial" w:hAnsi="Arial" w:cs="Arial"/>
                <w:color w:val="000000" w:themeColor="text1"/>
                <w:sz w:val="20"/>
                <w:szCs w:val="20"/>
              </w:rPr>
              <w:t xml:space="preserve"> with HCM from 22 centers</w:t>
            </w:r>
            <w:r w:rsidR="00D12699" w:rsidRPr="00D40B19">
              <w:rPr>
                <w:rFonts w:ascii="Arial" w:hAnsi="Arial" w:cs="Arial"/>
                <w:color w:val="000000" w:themeColor="text1"/>
                <w:sz w:val="20"/>
                <w:szCs w:val="20"/>
              </w:rPr>
              <w:t xml:space="preserve">; </w:t>
            </w:r>
            <w:r w:rsidR="00F34813" w:rsidRPr="00D40B19">
              <w:rPr>
                <w:rFonts w:ascii="Arial" w:hAnsi="Arial" w:cs="Arial"/>
                <w:bCs/>
                <w:color w:val="000000" w:themeColor="text1"/>
                <w:sz w:val="20"/>
                <w:szCs w:val="20"/>
              </w:rPr>
              <w:t>m</w:t>
            </w:r>
            <w:r w:rsidRPr="00D40B19">
              <w:rPr>
                <w:rFonts w:ascii="Arial" w:hAnsi="Arial" w:cs="Arial"/>
                <w:bCs/>
                <w:color w:val="000000" w:themeColor="text1"/>
                <w:sz w:val="20"/>
                <w:szCs w:val="20"/>
              </w:rPr>
              <w:t xml:space="preserve">ean age </w:t>
            </w:r>
            <w:r w:rsidRPr="00D40B19">
              <w:rPr>
                <w:rFonts w:ascii="Arial" w:hAnsi="Arial" w:cs="Arial"/>
                <w:color w:val="000000" w:themeColor="text1"/>
                <w:sz w:val="20"/>
                <w:szCs w:val="20"/>
              </w:rPr>
              <w:t>14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EEC4FD" w14:textId="6C152ACC" w:rsidR="00E46824" w:rsidRPr="00D40B19" w:rsidRDefault="00E46824"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ICD intervention rates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01CA" w14:textId="252B4530" w:rsidR="00E46824" w:rsidRPr="00D40B19" w:rsidRDefault="006A5CB5" w:rsidP="00D40B19">
            <w:pPr>
              <w:spacing w:line="240" w:lineRule="auto"/>
              <w:ind w:left="151" w:right="91"/>
              <w:rPr>
                <w:rFonts w:ascii="Arial" w:hAnsi="Arial" w:cs="Arial"/>
                <w:color w:val="000000" w:themeColor="text1"/>
                <w:sz w:val="20"/>
                <w:szCs w:val="20"/>
              </w:rPr>
            </w:pPr>
            <w:r w:rsidRPr="00D40B19">
              <w:rPr>
                <w:rFonts w:ascii="Arial" w:hAnsi="Arial" w:cs="Arial"/>
                <w:color w:val="000000" w:themeColor="text1"/>
                <w:sz w:val="20"/>
                <w:szCs w:val="20"/>
              </w:rPr>
              <w:t xml:space="preserve">Secondary </w:t>
            </w:r>
            <w:r w:rsidR="00E46824" w:rsidRPr="00D40B19">
              <w:rPr>
                <w:rFonts w:ascii="Arial" w:hAnsi="Arial" w:cs="Arial"/>
                <w:color w:val="000000" w:themeColor="text1"/>
                <w:sz w:val="20"/>
                <w:szCs w:val="20"/>
              </w:rPr>
              <w:t>prevention: 5%</w:t>
            </w:r>
            <w:r w:rsidRPr="00D40B19">
              <w:rPr>
                <w:rFonts w:ascii="Arial" w:hAnsi="Arial" w:cs="Arial"/>
                <w:color w:val="000000" w:themeColor="text1"/>
                <w:sz w:val="20"/>
                <w:szCs w:val="20"/>
              </w:rPr>
              <w:t xml:space="preserve"> per </w:t>
            </w:r>
            <w:r w:rsidR="00E46824" w:rsidRPr="00D40B19">
              <w:rPr>
                <w:rFonts w:ascii="Arial" w:hAnsi="Arial" w:cs="Arial"/>
                <w:color w:val="000000" w:themeColor="text1"/>
                <w:sz w:val="20"/>
                <w:szCs w:val="20"/>
              </w:rPr>
              <w:t>y</w:t>
            </w:r>
            <w:r w:rsidRPr="00D40B19">
              <w:rPr>
                <w:rFonts w:ascii="Arial" w:hAnsi="Arial" w:cs="Arial"/>
                <w:color w:val="000000" w:themeColor="text1"/>
                <w:sz w:val="20"/>
                <w:szCs w:val="20"/>
              </w:rPr>
              <w:t>ear</w:t>
            </w:r>
            <w:r w:rsidR="00E46824" w:rsidRPr="00D40B19">
              <w:rPr>
                <w:rFonts w:ascii="Arial" w:hAnsi="Arial" w:cs="Arial"/>
                <w:color w:val="000000" w:themeColor="text1"/>
                <w:sz w:val="20"/>
                <w:szCs w:val="20"/>
              </w:rPr>
              <w:t xml:space="preserve"> primary prevention: 3%</w:t>
            </w:r>
            <w:r w:rsidRPr="00D40B19">
              <w:rPr>
                <w:rFonts w:ascii="Arial" w:hAnsi="Arial" w:cs="Arial"/>
                <w:color w:val="000000" w:themeColor="text1"/>
                <w:sz w:val="20"/>
                <w:szCs w:val="20"/>
              </w:rPr>
              <w:t xml:space="preserve"> per year</w:t>
            </w:r>
            <w:r w:rsidR="00E46824" w:rsidRPr="00D40B19">
              <w:rPr>
                <w:rFonts w:ascii="Arial" w:hAnsi="Arial" w:cs="Arial"/>
                <w:color w:val="000000" w:themeColor="text1"/>
                <w:sz w:val="20"/>
                <w:szCs w:val="20"/>
              </w:rPr>
              <w:t xml:space="preserve"> 5-y</w:t>
            </w:r>
            <w:r w:rsidRPr="00D40B19">
              <w:rPr>
                <w:rFonts w:ascii="Arial" w:hAnsi="Arial" w:cs="Arial"/>
                <w:color w:val="000000" w:themeColor="text1"/>
                <w:sz w:val="20"/>
                <w:szCs w:val="20"/>
              </w:rPr>
              <w:t>ea</w:t>
            </w:r>
            <w:r w:rsidR="00E46824" w:rsidRPr="00D40B19">
              <w:rPr>
                <w:rFonts w:ascii="Arial" w:hAnsi="Arial" w:cs="Arial"/>
                <w:color w:val="000000" w:themeColor="text1"/>
                <w:sz w:val="20"/>
                <w:szCs w:val="20"/>
              </w:rPr>
              <w:t>r cumulative probability of ICD shock 17%</w:t>
            </w:r>
            <w:r w:rsidR="002C064F" w:rsidRPr="00D40B19">
              <w:rPr>
                <w:rFonts w:ascii="Arial" w:hAnsi="Arial" w:cs="Arial"/>
                <w:color w:val="000000" w:themeColor="text1"/>
                <w:sz w:val="20"/>
                <w:szCs w:val="20"/>
              </w:rPr>
              <w:t>, r</w:t>
            </w:r>
            <w:r w:rsidR="00E46824" w:rsidRPr="00D40B19">
              <w:rPr>
                <w:rFonts w:ascii="Arial" w:hAnsi="Arial" w:cs="Arial"/>
                <w:color w:val="000000" w:themeColor="text1"/>
                <w:sz w:val="20"/>
                <w:szCs w:val="20"/>
              </w:rPr>
              <w:t xml:space="preserve">ate of appropriate discharge in primary prevention was the same regardless of </w:t>
            </w:r>
            <w:r w:rsidRPr="00D40B19">
              <w:rPr>
                <w:rFonts w:ascii="Arial" w:hAnsi="Arial" w:cs="Arial"/>
                <w:color w:val="000000" w:themeColor="text1"/>
                <w:sz w:val="20"/>
                <w:szCs w:val="20"/>
              </w:rPr>
              <w:t xml:space="preserve">no. of </w:t>
            </w:r>
            <w:r w:rsidR="00E46824" w:rsidRPr="00D40B19">
              <w:rPr>
                <w:rFonts w:ascii="Arial" w:hAnsi="Arial" w:cs="Arial"/>
                <w:color w:val="000000" w:themeColor="text1"/>
                <w:sz w:val="20"/>
                <w:szCs w:val="20"/>
              </w:rPr>
              <w:t>risk factors</w:t>
            </w:r>
          </w:p>
        </w:tc>
      </w:tr>
      <w:tr w:rsidR="009D78BE" w:rsidRPr="009D78BE" w14:paraId="18C1CB1E"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D51842" w14:textId="297F5E9A" w:rsidR="00A843E1" w:rsidRPr="00D40B19" w:rsidRDefault="00A843E1" w:rsidP="00D40B19">
            <w:pPr>
              <w:spacing w:line="240" w:lineRule="auto"/>
              <w:rPr>
                <w:rFonts w:ascii="Arial" w:eastAsiaTheme="minorHAnsi" w:hAnsi="Arial" w:cs="Arial"/>
                <w:color w:val="000000" w:themeColor="text1"/>
                <w:sz w:val="20"/>
                <w:szCs w:val="20"/>
                <w:vertAlign w:val="superscript"/>
              </w:rPr>
            </w:pPr>
            <w:proofErr w:type="spellStart"/>
            <w:r w:rsidRPr="00D40B19">
              <w:rPr>
                <w:rFonts w:ascii="Arial" w:hAnsi="Arial" w:cs="Arial"/>
                <w:color w:val="000000" w:themeColor="text1"/>
                <w:sz w:val="20"/>
                <w:szCs w:val="20"/>
              </w:rPr>
              <w:t>Miron</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174</w:t>
            </w:r>
          </w:p>
          <w:p w14:paraId="5CA72562" w14:textId="77777777" w:rsidR="00A843E1" w:rsidRPr="00D40B19" w:rsidRDefault="00A843E1"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208FB" w14:textId="0809F95D"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w:t>
            </w:r>
            <w:r w:rsidR="003E03D0" w:rsidRPr="00D40B19">
              <w:rPr>
                <w:rFonts w:ascii="Arial" w:hAnsi="Arial" w:cs="Arial"/>
                <w:color w:val="000000" w:themeColor="text1"/>
                <w:sz w:val="20"/>
                <w:szCs w:val="20"/>
              </w:rPr>
              <w:t>20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2F39A2" w14:textId="11F51E83" w:rsidR="00A843E1" w:rsidRPr="00D40B19" w:rsidRDefault="00A843E1" w:rsidP="006B5FB2">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Multicenter retrospective</w:t>
            </w:r>
            <w:r w:rsidR="00E6304A" w:rsidRPr="00D40B19">
              <w:rPr>
                <w:rFonts w:ascii="Arial" w:hAnsi="Arial" w:cs="Arial"/>
                <w:color w:val="000000" w:themeColor="text1"/>
                <w:sz w:val="20"/>
                <w:szCs w:val="20"/>
              </w:rPr>
              <w:t xml:space="preserve"> study</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registry data</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2DB63" w14:textId="0D8ADB7F"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572</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672F24" w14:textId="06124281"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&lt;18 y</w:t>
            </w:r>
            <w:r w:rsidR="00F34813" w:rsidRPr="00D40B19">
              <w:rPr>
                <w:rFonts w:ascii="Arial" w:hAnsi="Arial" w:cs="Arial"/>
                <w:color w:val="000000" w:themeColor="text1"/>
                <w:sz w:val="20"/>
                <w:szCs w:val="20"/>
              </w:rPr>
              <w:t xml:space="preserve">ears </w:t>
            </w:r>
            <w:r w:rsidR="003E03D0" w:rsidRPr="00D40B19">
              <w:rPr>
                <w:rFonts w:ascii="Arial" w:hAnsi="Arial" w:cs="Arial"/>
                <w:color w:val="000000" w:themeColor="text1"/>
                <w:sz w:val="20"/>
                <w:szCs w:val="20"/>
              </w:rPr>
              <w:t>of age</w:t>
            </w:r>
            <w:r w:rsidRPr="00D40B19">
              <w:rPr>
                <w:rFonts w:ascii="Arial" w:hAnsi="Arial" w:cs="Arial"/>
                <w:color w:val="000000" w:themeColor="text1"/>
                <w:sz w:val="20"/>
                <w:szCs w:val="20"/>
              </w:rPr>
              <w:t xml:space="preserve"> with HCM from 11 centers; </w:t>
            </w:r>
            <w:r w:rsidR="00F34813" w:rsidRPr="00D40B19">
              <w:rPr>
                <w:rFonts w:ascii="Arial" w:hAnsi="Arial" w:cs="Arial"/>
                <w:bCs/>
                <w:color w:val="000000" w:themeColor="text1"/>
                <w:sz w:val="20"/>
                <w:szCs w:val="20"/>
              </w:rPr>
              <w:t>m</w:t>
            </w:r>
            <w:r w:rsidRPr="00D40B19">
              <w:rPr>
                <w:rFonts w:ascii="Arial" w:hAnsi="Arial" w:cs="Arial"/>
                <w:bCs/>
                <w:color w:val="000000" w:themeColor="text1"/>
                <w:sz w:val="20"/>
                <w:szCs w:val="20"/>
              </w:rPr>
              <w:t xml:space="preserve">edian age </w:t>
            </w:r>
            <w:r w:rsidRPr="00D40B19">
              <w:rPr>
                <w:rFonts w:ascii="Arial" w:hAnsi="Arial" w:cs="Arial"/>
                <w:color w:val="000000" w:themeColor="text1"/>
                <w:sz w:val="20"/>
                <w:szCs w:val="20"/>
              </w:rPr>
              <w:t>9.8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88718A" w14:textId="058E02B8"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5-year cumulative proportion of SCD events was 9%  </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87F8B" w14:textId="48C3928D" w:rsidR="00A843E1" w:rsidRPr="00D40B19" w:rsidRDefault="00A843E1" w:rsidP="00D40B19">
            <w:pPr>
              <w:spacing w:line="240" w:lineRule="auto"/>
              <w:ind w:left="151" w:right="91"/>
              <w:rPr>
                <w:rStyle w:val="normaltextrun"/>
                <w:rFonts w:ascii="Arial" w:hAnsi="Arial" w:cs="Arial"/>
                <w:color w:val="000000" w:themeColor="text1"/>
                <w:sz w:val="20"/>
                <w:szCs w:val="20"/>
              </w:rPr>
            </w:pPr>
            <w:r w:rsidRPr="00D40B19">
              <w:rPr>
                <w:rFonts w:ascii="Arial" w:hAnsi="Arial" w:cs="Arial"/>
                <w:color w:val="000000" w:themeColor="text1"/>
                <w:sz w:val="20"/>
                <w:szCs w:val="20"/>
              </w:rPr>
              <w:t>Model for SCD risk prediction in pediatric HCM with &gt;70% accuracy. Highlights difference in risk factors between pediatric and adult HCM patients. R</w:t>
            </w:r>
            <w:r w:rsidR="006A5CB5" w:rsidRPr="00D40B19">
              <w:rPr>
                <w:rFonts w:ascii="Arial" w:hAnsi="Arial" w:cs="Arial"/>
                <w:color w:val="000000" w:themeColor="text1"/>
                <w:sz w:val="20"/>
                <w:szCs w:val="20"/>
              </w:rPr>
              <w:t>isk factors</w:t>
            </w:r>
            <w:r w:rsidRPr="00D40B19">
              <w:rPr>
                <w:rFonts w:ascii="Arial" w:hAnsi="Arial" w:cs="Arial"/>
                <w:color w:val="000000" w:themeColor="text1"/>
                <w:sz w:val="20"/>
                <w:szCs w:val="20"/>
              </w:rPr>
              <w:t xml:space="preserve"> evaluated included age at d</w:t>
            </w:r>
            <w:r w:rsidR="006A5CB5" w:rsidRPr="00D40B19">
              <w:rPr>
                <w:rFonts w:ascii="Arial" w:hAnsi="Arial" w:cs="Arial"/>
                <w:color w:val="000000" w:themeColor="text1"/>
                <w:sz w:val="20"/>
                <w:szCs w:val="20"/>
              </w:rPr>
              <w:t>ia</w:t>
            </w:r>
            <w:r w:rsidR="003E03D0" w:rsidRPr="00D40B19">
              <w:rPr>
                <w:rFonts w:ascii="Arial" w:hAnsi="Arial" w:cs="Arial"/>
                <w:color w:val="000000" w:themeColor="text1"/>
                <w:sz w:val="20"/>
                <w:szCs w:val="20"/>
              </w:rPr>
              <w:t>gnosis</w:t>
            </w:r>
            <w:r w:rsidRPr="00D40B19">
              <w:rPr>
                <w:rFonts w:ascii="Arial" w:hAnsi="Arial" w:cs="Arial"/>
                <w:color w:val="000000" w:themeColor="text1"/>
                <w:sz w:val="20"/>
                <w:szCs w:val="20"/>
              </w:rPr>
              <w:t xml:space="preserve">, FH of SCD, unexplained syncope </w:t>
            </w:r>
            <w:r w:rsidR="003E03D0" w:rsidRPr="00D40B19">
              <w:rPr>
                <w:rFonts w:ascii="Arial" w:hAnsi="Arial" w:cs="Arial"/>
                <w:color w:val="000000" w:themeColor="text1"/>
                <w:sz w:val="20"/>
                <w:szCs w:val="20"/>
              </w:rPr>
              <w:t>within</w:t>
            </w:r>
            <w:r w:rsidRPr="00D40B19">
              <w:rPr>
                <w:rFonts w:ascii="Arial" w:hAnsi="Arial" w:cs="Arial"/>
                <w:color w:val="000000" w:themeColor="text1"/>
                <w:sz w:val="20"/>
                <w:szCs w:val="20"/>
              </w:rPr>
              <w:t xml:space="preserve"> 6</w:t>
            </w:r>
            <w:r w:rsidR="003E03D0"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mo</w:t>
            </w:r>
            <w:r w:rsidR="003E03D0" w:rsidRPr="00D40B19">
              <w:rPr>
                <w:rFonts w:ascii="Arial" w:hAnsi="Arial" w:cs="Arial"/>
                <w:color w:val="000000" w:themeColor="text1"/>
                <w:sz w:val="20"/>
                <w:szCs w:val="20"/>
              </w:rPr>
              <w:t>nths</w:t>
            </w:r>
            <w:r w:rsidRPr="00D40B19">
              <w:rPr>
                <w:rFonts w:ascii="Arial" w:hAnsi="Arial" w:cs="Arial"/>
                <w:color w:val="000000" w:themeColor="text1"/>
                <w:sz w:val="20"/>
                <w:szCs w:val="20"/>
              </w:rPr>
              <w:t xml:space="preserve"> of </w:t>
            </w:r>
            <w:r w:rsidR="003E03D0" w:rsidRPr="00D40B19">
              <w:rPr>
                <w:rFonts w:ascii="Arial" w:hAnsi="Arial" w:cs="Arial"/>
                <w:color w:val="000000" w:themeColor="text1"/>
                <w:sz w:val="20"/>
                <w:szCs w:val="20"/>
              </w:rPr>
              <w:t>diagnosis</w:t>
            </w:r>
            <w:r w:rsidRPr="00D40B19">
              <w:rPr>
                <w:rFonts w:ascii="Arial" w:hAnsi="Arial" w:cs="Arial"/>
                <w:color w:val="000000" w:themeColor="text1"/>
                <w:sz w:val="20"/>
                <w:szCs w:val="20"/>
              </w:rPr>
              <w:t xml:space="preserve">, NSVT, IVSD </w:t>
            </w:r>
            <w:r w:rsidRPr="00D40B19">
              <w:rPr>
                <w:rFonts w:ascii="Arial" w:hAnsi="Arial" w:cs="Arial"/>
                <w:i/>
                <w:iCs/>
                <w:color w:val="000000" w:themeColor="text1"/>
                <w:sz w:val="20"/>
                <w:szCs w:val="20"/>
              </w:rPr>
              <w:t>z</w:t>
            </w:r>
            <w:r w:rsidR="00EE2737"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score, LVPWD </w:t>
            </w:r>
            <w:r w:rsidRPr="00D40B19">
              <w:rPr>
                <w:rFonts w:ascii="Arial" w:hAnsi="Arial" w:cs="Arial"/>
                <w:i/>
                <w:iCs/>
                <w:color w:val="000000" w:themeColor="text1"/>
                <w:sz w:val="20"/>
                <w:szCs w:val="20"/>
              </w:rPr>
              <w:t>z</w:t>
            </w:r>
            <w:r w:rsidR="00EE2737"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score, LA diameter </w:t>
            </w:r>
            <w:r w:rsidRPr="00D40B19">
              <w:rPr>
                <w:rFonts w:ascii="Arial" w:hAnsi="Arial" w:cs="Arial"/>
                <w:i/>
                <w:iCs/>
                <w:color w:val="000000" w:themeColor="text1"/>
                <w:sz w:val="20"/>
                <w:szCs w:val="20"/>
              </w:rPr>
              <w:t>z</w:t>
            </w:r>
            <w:r w:rsidR="00EE2737"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score, and peak resting LVOT gradient. LVOT gradient and family history </w:t>
            </w:r>
            <w:r w:rsidRPr="00D40B19">
              <w:rPr>
                <w:rFonts w:ascii="Arial" w:hAnsi="Arial" w:cs="Arial"/>
                <w:color w:val="000000" w:themeColor="text1"/>
                <w:sz w:val="20"/>
                <w:szCs w:val="20"/>
              </w:rPr>
              <w:lastRenderedPageBreak/>
              <w:t xml:space="preserve">were not associated with SCD. </w:t>
            </w:r>
          </w:p>
        </w:tc>
      </w:tr>
      <w:tr w:rsidR="009D78BE" w:rsidRPr="009D78BE" w14:paraId="7F067144"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942023" w14:textId="145D43FE" w:rsidR="00E46824" w:rsidRPr="00D40B19" w:rsidRDefault="00E46824" w:rsidP="00D40B19">
            <w:pPr>
              <w:spacing w:line="240" w:lineRule="auto"/>
              <w:rPr>
                <w:rFonts w:ascii="Arial" w:eastAsiaTheme="minorHAnsi" w:hAnsi="Arial" w:cs="Arial"/>
                <w:color w:val="000000" w:themeColor="text1"/>
                <w:sz w:val="20"/>
                <w:szCs w:val="20"/>
                <w:vertAlign w:val="superscript"/>
              </w:rPr>
            </w:pPr>
            <w:r w:rsidRPr="00D40B19">
              <w:rPr>
                <w:rFonts w:ascii="Arial" w:hAnsi="Arial" w:cs="Arial"/>
                <w:color w:val="000000" w:themeColor="text1"/>
                <w:sz w:val="20"/>
                <w:szCs w:val="20"/>
              </w:rPr>
              <w:lastRenderedPageBreak/>
              <w:t>Norrish</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175</w:t>
            </w:r>
          </w:p>
          <w:p w14:paraId="3AB23C46" w14:textId="7A0792B3" w:rsidR="00E46824" w:rsidRPr="00D40B19" w:rsidRDefault="00E46824"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2BF1747" w14:textId="37C588DB" w:rsidR="00E46824" w:rsidRPr="00D40B19" w:rsidRDefault="00E46824"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2017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ECF46E" w14:textId="11DA0584" w:rsidR="00E46824" w:rsidRPr="00D40B19" w:rsidRDefault="00E46824" w:rsidP="006B5FB2">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Meta-analysis</w:t>
            </w:r>
            <w:r w:rsidR="00D12699" w:rsidRPr="00D40B19">
              <w:rPr>
                <w:rFonts w:ascii="Arial" w:hAnsi="Arial" w:cs="Arial"/>
                <w:color w:val="000000" w:themeColor="text1"/>
                <w:sz w:val="20"/>
                <w:szCs w:val="20"/>
              </w:rPr>
              <w:t xml:space="preserve"> </w:t>
            </w:r>
            <w:r w:rsidR="00E6304A" w:rsidRPr="00D40B19">
              <w:rPr>
                <w:rFonts w:ascii="Arial" w:hAnsi="Arial" w:cs="Arial"/>
                <w:color w:val="000000" w:themeColor="text1"/>
                <w:sz w:val="20"/>
                <w:szCs w:val="20"/>
              </w:rPr>
              <w:t>(</w:t>
            </w:r>
            <w:r w:rsidR="00D12699" w:rsidRPr="00D40B19">
              <w:rPr>
                <w:rFonts w:ascii="Arial" w:hAnsi="Arial" w:cs="Arial"/>
                <w:color w:val="000000" w:themeColor="text1"/>
                <w:sz w:val="20"/>
                <w:szCs w:val="20"/>
              </w:rPr>
              <w:t>25 studies</w:t>
            </w:r>
            <w:r w:rsidR="00E6304A" w:rsidRPr="00D40B19">
              <w:rPr>
                <w:rFonts w:ascii="Arial" w:hAnsi="Arial" w:cs="Arial"/>
                <w:color w:val="000000" w:themeColor="text1"/>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6A008B" w14:textId="5F2CAF00" w:rsidR="00E46824" w:rsidRPr="00D40B19" w:rsidRDefault="00E46824"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3,394</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A3B381" w14:textId="741247B5" w:rsidR="00E46824" w:rsidRPr="00D40B19" w:rsidRDefault="00E46824"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&lt;18 y</w:t>
            </w:r>
            <w:r w:rsidR="00F34813" w:rsidRPr="00D40B19">
              <w:rPr>
                <w:rFonts w:ascii="Arial" w:hAnsi="Arial" w:cs="Arial"/>
                <w:color w:val="000000" w:themeColor="text1"/>
                <w:sz w:val="20"/>
                <w:szCs w:val="20"/>
              </w:rPr>
              <w:t>ears old</w:t>
            </w:r>
            <w:r w:rsidRPr="00D40B19">
              <w:rPr>
                <w:rFonts w:ascii="Arial" w:hAnsi="Arial" w:cs="Arial"/>
                <w:color w:val="000000" w:themeColor="text1"/>
                <w:sz w:val="20"/>
                <w:szCs w:val="20"/>
              </w:rPr>
              <w:t xml:space="preserve"> with HCM and either SCD or SCD-type events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30313B" w14:textId="77777777" w:rsidR="00E46824" w:rsidRPr="00D40B19" w:rsidRDefault="00E46824"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SCD or SCD-type events</w:t>
            </w:r>
          </w:p>
          <w:p w14:paraId="042A41FF" w14:textId="68394C47" w:rsidR="00E46824" w:rsidRPr="00D40B19" w:rsidRDefault="00E46824" w:rsidP="00D40B19">
            <w:pPr>
              <w:spacing w:line="240" w:lineRule="auto"/>
              <w:rPr>
                <w:rFonts w:ascii="Arial" w:eastAsia="Calibri" w:hAnsi="Arial" w:cs="Arial"/>
                <w:color w:val="000000" w:themeColor="text1"/>
                <w:sz w:val="20"/>
                <w:szCs w:val="20"/>
              </w:rPr>
            </w:pP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43276DA" w14:textId="06E61B7B" w:rsidR="00E46824" w:rsidRPr="00D40B19" w:rsidRDefault="00E46824" w:rsidP="00D40B19">
            <w:pPr>
              <w:spacing w:line="240" w:lineRule="auto"/>
              <w:ind w:left="151" w:right="91"/>
              <w:rPr>
                <w:rFonts w:ascii="Arial" w:eastAsia="Calibri" w:hAnsi="Arial" w:cs="Arial"/>
                <w:color w:val="000000" w:themeColor="text1"/>
                <w:sz w:val="20"/>
                <w:szCs w:val="20"/>
              </w:rPr>
            </w:pPr>
            <w:r w:rsidRPr="00D40B19">
              <w:rPr>
                <w:rFonts w:ascii="Arial" w:hAnsi="Arial" w:cs="Arial"/>
                <w:color w:val="000000" w:themeColor="text1"/>
                <w:sz w:val="20"/>
                <w:szCs w:val="20"/>
              </w:rPr>
              <w:t xml:space="preserve">Four </w:t>
            </w:r>
            <w:r w:rsidR="00DB416F" w:rsidRPr="00D40B19">
              <w:rPr>
                <w:rFonts w:ascii="Arial" w:hAnsi="Arial" w:cs="Arial"/>
                <w:color w:val="000000" w:themeColor="text1"/>
                <w:sz w:val="20"/>
                <w:szCs w:val="20"/>
              </w:rPr>
              <w:t>“</w:t>
            </w:r>
            <w:r w:rsidRPr="00D40B19">
              <w:rPr>
                <w:rFonts w:ascii="Arial" w:hAnsi="Arial" w:cs="Arial"/>
                <w:color w:val="000000" w:themeColor="text1"/>
                <w:sz w:val="20"/>
                <w:szCs w:val="20"/>
              </w:rPr>
              <w:t>major</w:t>
            </w:r>
            <w:r w:rsidR="00DB41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factors for SCD identified: previous adverse cardiac event</w:t>
            </w:r>
            <w:r w:rsidR="00DB41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proofErr w:type="spellStart"/>
            <w:r w:rsidRPr="00D40B19">
              <w:rPr>
                <w:rFonts w:ascii="Arial" w:hAnsi="Arial" w:cs="Arial"/>
                <w:color w:val="000000" w:themeColor="text1"/>
                <w:sz w:val="20"/>
                <w:szCs w:val="20"/>
              </w:rPr>
              <w:t>nonsustained</w:t>
            </w:r>
            <w:proofErr w:type="spellEnd"/>
            <w:r w:rsidRPr="00D40B19">
              <w:rPr>
                <w:rFonts w:ascii="Arial" w:hAnsi="Arial" w:cs="Arial"/>
                <w:color w:val="000000" w:themeColor="text1"/>
                <w:sz w:val="20"/>
                <w:szCs w:val="20"/>
              </w:rPr>
              <w:t xml:space="preserve"> ventricular tachycardia</w:t>
            </w:r>
            <w:r w:rsidR="00DB41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syncope</w:t>
            </w:r>
            <w:r w:rsidR="00DB416F"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and extreme left ventricular hypertrophy (max</w:t>
            </w:r>
            <w:r w:rsidR="00751C4D">
              <w:rPr>
                <w:rFonts w:ascii="Arial" w:hAnsi="Arial" w:cs="Arial"/>
                <w:color w:val="000000" w:themeColor="text1"/>
                <w:sz w:val="20"/>
                <w:szCs w:val="20"/>
              </w:rPr>
              <w:t>imum</w:t>
            </w:r>
            <w:r w:rsidRPr="00D40B19">
              <w:rPr>
                <w:rFonts w:ascii="Arial" w:hAnsi="Arial" w:cs="Arial"/>
                <w:color w:val="000000" w:themeColor="text1"/>
                <w:sz w:val="20"/>
                <w:szCs w:val="20"/>
              </w:rPr>
              <w:t xml:space="preserve"> </w:t>
            </w:r>
            <w:r w:rsidR="00AE2EC8" w:rsidRPr="00D40B19">
              <w:rPr>
                <w:rFonts w:ascii="Arial" w:hAnsi="Arial" w:cs="Arial"/>
                <w:color w:val="000000" w:themeColor="text1"/>
                <w:sz w:val="20"/>
                <w:szCs w:val="20"/>
              </w:rPr>
              <w:t>left ventricular</w:t>
            </w:r>
            <w:r w:rsidRPr="00D40B19">
              <w:rPr>
                <w:rFonts w:ascii="Arial" w:hAnsi="Arial" w:cs="Arial"/>
                <w:color w:val="000000" w:themeColor="text1"/>
                <w:sz w:val="20"/>
                <w:szCs w:val="20"/>
              </w:rPr>
              <w:t xml:space="preserve"> thickness &gt;30 mm or </w:t>
            </w:r>
            <w:r w:rsidRPr="00D40B19">
              <w:rPr>
                <w:rFonts w:ascii="Arial" w:hAnsi="Arial" w:cs="Arial"/>
                <w:i/>
                <w:iCs/>
                <w:color w:val="000000" w:themeColor="text1"/>
                <w:sz w:val="20"/>
                <w:szCs w:val="20"/>
              </w:rPr>
              <w:t>z</w:t>
            </w:r>
            <w:r w:rsidR="00DB416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score &gt;6</w:t>
            </w:r>
          </w:p>
        </w:tc>
      </w:tr>
      <w:tr w:rsidR="009D78BE" w:rsidRPr="009D78BE" w14:paraId="67200853"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5E7EEC" w14:textId="0BAFB44A" w:rsidR="00A843E1" w:rsidRPr="00D40B19" w:rsidRDefault="00A843E1" w:rsidP="00D40B19">
            <w:pPr>
              <w:spacing w:line="240" w:lineRule="auto"/>
              <w:rPr>
                <w:rFonts w:ascii="Arial" w:hAnsi="Arial" w:cs="Arial"/>
                <w:color w:val="000000" w:themeColor="text1"/>
                <w:sz w:val="20"/>
                <w:szCs w:val="20"/>
                <w:vertAlign w:val="superscript"/>
              </w:rPr>
            </w:pPr>
            <w:r w:rsidRPr="00D40B19">
              <w:rPr>
                <w:rFonts w:ascii="Arial" w:hAnsi="Arial" w:cs="Arial"/>
                <w:color w:val="000000" w:themeColor="text1"/>
                <w:sz w:val="20"/>
                <w:szCs w:val="20"/>
              </w:rPr>
              <w:t>Balaji</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176</w:t>
            </w:r>
          </w:p>
          <w:p w14:paraId="7CBA8A40" w14:textId="77777777" w:rsidR="00A843E1" w:rsidRPr="00D40B19" w:rsidRDefault="00A843E1"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56A8E5" w14:textId="7D37DE8D"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2019</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1B79D" w14:textId="77777777" w:rsidR="00A843E1" w:rsidRPr="00D40B19" w:rsidRDefault="00A843E1" w:rsidP="006B5FB2">
            <w:pPr>
              <w:spacing w:line="240" w:lineRule="auto"/>
              <w:rPr>
                <w:rFonts w:ascii="Arial" w:eastAsiaTheme="minorHAnsi" w:hAnsi="Arial" w:cs="Arial"/>
                <w:color w:val="000000" w:themeColor="text1"/>
                <w:sz w:val="20"/>
                <w:szCs w:val="20"/>
              </w:rPr>
            </w:pPr>
            <w:r w:rsidRPr="00D40B19">
              <w:rPr>
                <w:rFonts w:ascii="Arial" w:hAnsi="Arial" w:cs="Arial"/>
                <w:color w:val="000000" w:themeColor="text1"/>
                <w:sz w:val="20"/>
                <w:szCs w:val="20"/>
              </w:rPr>
              <w:t>Multicenter retrospective study</w:t>
            </w:r>
          </w:p>
          <w:p w14:paraId="669A258B" w14:textId="77777777" w:rsidR="00A843E1" w:rsidRPr="00D40B19" w:rsidRDefault="00A843E1" w:rsidP="006B5FB2">
            <w:pPr>
              <w:spacing w:line="240" w:lineRule="auto"/>
              <w:rPr>
                <w:rFonts w:ascii="Arial" w:hAnsi="Arial" w:cs="Arial"/>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9F22DB" w14:textId="44B8F162"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446 </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0911D5" w14:textId="5A7F68BC"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&lt;20 y</w:t>
            </w:r>
            <w:r w:rsidR="00F34813" w:rsidRPr="00D40B19">
              <w:rPr>
                <w:rFonts w:ascii="Arial" w:hAnsi="Arial" w:cs="Arial"/>
                <w:color w:val="000000" w:themeColor="text1"/>
                <w:sz w:val="20"/>
                <w:szCs w:val="20"/>
              </w:rPr>
              <w:t>ears old</w:t>
            </w:r>
            <w:r w:rsidRPr="00D40B19">
              <w:rPr>
                <w:rFonts w:ascii="Arial" w:hAnsi="Arial" w:cs="Arial"/>
                <w:color w:val="000000" w:themeColor="text1"/>
                <w:sz w:val="20"/>
                <w:szCs w:val="20"/>
              </w:rPr>
              <w:t xml:space="preserve"> with HCM from 35 centers; </w:t>
            </w:r>
            <w:r w:rsidR="00F34813" w:rsidRPr="00D40B19">
              <w:rPr>
                <w:rFonts w:ascii="Arial" w:hAnsi="Arial" w:cs="Arial"/>
                <w:bCs/>
                <w:color w:val="000000" w:themeColor="text1"/>
                <w:sz w:val="20"/>
                <w:szCs w:val="20"/>
              </w:rPr>
              <w:t>m</w:t>
            </w:r>
            <w:r w:rsidRPr="00D40B19">
              <w:rPr>
                <w:rFonts w:ascii="Arial" w:hAnsi="Arial" w:cs="Arial"/>
                <w:bCs/>
                <w:color w:val="000000" w:themeColor="text1"/>
                <w:sz w:val="20"/>
                <w:szCs w:val="20"/>
              </w:rPr>
              <w:t xml:space="preserve">ean age </w:t>
            </w:r>
            <w:r w:rsidRPr="00D40B19">
              <w:rPr>
                <w:rFonts w:ascii="Arial" w:hAnsi="Arial" w:cs="Arial"/>
                <w:color w:val="000000" w:themeColor="text1"/>
                <w:sz w:val="20"/>
                <w:szCs w:val="20"/>
              </w:rPr>
              <w:t>10.y</w:t>
            </w:r>
            <w:r w:rsidR="00FE2F2A" w:rsidRPr="00D40B19">
              <w:rPr>
                <w:rFonts w:ascii="Arial" w:hAnsi="Arial" w:cs="Arial"/>
                <w:color w:val="000000" w:themeColor="text1"/>
                <w:sz w:val="20"/>
                <w:szCs w:val="20"/>
              </w:rPr>
              <w:t>ea</w:t>
            </w:r>
            <w:r w:rsidRPr="00D40B19">
              <w:rPr>
                <w:rFonts w:ascii="Arial" w:hAnsi="Arial" w:cs="Arial"/>
                <w:color w:val="000000" w:themeColor="text1"/>
                <w:sz w:val="20"/>
                <w:szCs w:val="20"/>
              </w:rPr>
              <w:t xml:space="preserve">rs </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FE1642" w14:textId="6DD42DF1" w:rsidR="00A843E1" w:rsidRPr="00D40B19" w:rsidRDefault="00A843E1"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Lethal arrhythmic events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AA8C1CF" w14:textId="49DB3647" w:rsidR="00A843E1" w:rsidRPr="00D40B19" w:rsidRDefault="00A843E1" w:rsidP="00D40B19">
            <w:pPr>
              <w:spacing w:line="240" w:lineRule="auto"/>
              <w:ind w:left="151" w:right="91"/>
              <w:rPr>
                <w:rFonts w:ascii="Arial" w:hAnsi="Arial" w:cs="Arial"/>
                <w:color w:val="000000" w:themeColor="text1"/>
                <w:sz w:val="20"/>
                <w:szCs w:val="20"/>
              </w:rPr>
            </w:pPr>
            <w:r w:rsidRPr="00D40B19">
              <w:rPr>
                <w:rStyle w:val="normaltextrun"/>
                <w:rFonts w:ascii="Arial" w:hAnsi="Arial" w:cs="Arial"/>
                <w:color w:val="000000" w:themeColor="text1"/>
                <w:sz w:val="20"/>
                <w:szCs w:val="20"/>
              </w:rPr>
              <w:t xml:space="preserve">Conventional adult HCM risk factors were not associated with a higher risk of life-threatening arrhythmic events in children; CE in young associated with </w:t>
            </w:r>
            <w:r w:rsidR="00AE2EC8" w:rsidRPr="00D40B19">
              <w:rPr>
                <w:rFonts w:ascii="Arial" w:hAnsi="Arial" w:cs="Arial"/>
                <w:color w:val="000000" w:themeColor="text1"/>
                <w:sz w:val="20"/>
                <w:szCs w:val="20"/>
              </w:rPr>
              <w:t>left ventricular</w:t>
            </w:r>
            <w:r w:rsidRPr="00D40B19">
              <w:rPr>
                <w:rStyle w:val="normaltextrun"/>
                <w:rFonts w:ascii="Arial" w:hAnsi="Arial" w:cs="Arial"/>
                <w:color w:val="000000" w:themeColor="text1"/>
                <w:sz w:val="20"/>
                <w:szCs w:val="20"/>
              </w:rPr>
              <w:t xml:space="preserve"> posterior wall thickness and absence of LVOT obstruction</w:t>
            </w:r>
            <w:r w:rsidR="00DB416F" w:rsidRPr="00D40B19">
              <w:rPr>
                <w:rStyle w:val="normaltextrun"/>
                <w:rFonts w:ascii="Arial" w:hAnsi="Arial" w:cs="Arial"/>
                <w:color w:val="000000" w:themeColor="text1"/>
                <w:sz w:val="20"/>
                <w:szCs w:val="20"/>
              </w:rPr>
              <w:t>.</w:t>
            </w:r>
          </w:p>
        </w:tc>
      </w:tr>
      <w:tr w:rsidR="009D78BE" w:rsidRPr="009D78BE" w14:paraId="2978E04E"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7C3DB0" w14:textId="598F4472" w:rsidR="00E46824" w:rsidRPr="00D40B19" w:rsidRDefault="00E46824" w:rsidP="00D40B19">
            <w:pPr>
              <w:spacing w:line="240" w:lineRule="auto"/>
              <w:rPr>
                <w:rFonts w:ascii="Arial" w:hAnsi="Arial" w:cs="Arial"/>
                <w:color w:val="000000" w:themeColor="text1"/>
                <w:sz w:val="20"/>
                <w:szCs w:val="20"/>
                <w:vertAlign w:val="superscript"/>
              </w:rPr>
            </w:pPr>
            <w:r w:rsidRPr="00D40B19">
              <w:rPr>
                <w:rFonts w:ascii="Arial" w:hAnsi="Arial" w:cs="Arial"/>
                <w:color w:val="000000" w:themeColor="text1"/>
                <w:sz w:val="20"/>
                <w:szCs w:val="20"/>
              </w:rPr>
              <w:t>Norrish</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177</w:t>
            </w:r>
          </w:p>
          <w:p w14:paraId="4EB5128B" w14:textId="77777777" w:rsidR="00E46824" w:rsidRPr="00D40B19" w:rsidRDefault="00E46824" w:rsidP="00D40B19">
            <w:pPr>
              <w:spacing w:line="240" w:lineRule="auto"/>
              <w:rPr>
                <w:rFonts w:ascii="Arial" w:eastAsiaTheme="minorEastAsia"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395344B" w14:textId="7313108C" w:rsidR="00E46824" w:rsidRPr="00D40B19" w:rsidRDefault="00E46824" w:rsidP="00D40B19">
            <w:pPr>
              <w:spacing w:line="240" w:lineRule="auto"/>
              <w:rPr>
                <w:rFonts w:ascii="Arial" w:eastAsiaTheme="minorEastAsia" w:hAnsi="Arial" w:cs="Arial"/>
                <w:color w:val="000000" w:themeColor="text1"/>
                <w:sz w:val="20"/>
                <w:szCs w:val="20"/>
              </w:rPr>
            </w:pPr>
            <w:r w:rsidRPr="00D40B19">
              <w:rPr>
                <w:rFonts w:ascii="Arial" w:hAnsi="Arial" w:cs="Arial"/>
                <w:color w:val="000000" w:themeColor="text1"/>
                <w:sz w:val="20"/>
                <w:szCs w:val="20"/>
              </w:rPr>
              <w:t>2019</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03D3E5" w14:textId="48373540" w:rsidR="00E46824" w:rsidRPr="00D40B19" w:rsidRDefault="00E46824" w:rsidP="006B5FB2">
            <w:pPr>
              <w:spacing w:line="240" w:lineRule="auto"/>
              <w:rPr>
                <w:rFonts w:ascii="Arial" w:eastAsiaTheme="minorHAnsi" w:hAnsi="Arial" w:cs="Arial"/>
                <w:color w:val="000000" w:themeColor="text1"/>
                <w:sz w:val="20"/>
                <w:szCs w:val="20"/>
              </w:rPr>
            </w:pPr>
            <w:r w:rsidRPr="00D40B19">
              <w:rPr>
                <w:rFonts w:ascii="Arial" w:hAnsi="Arial" w:cs="Arial"/>
                <w:color w:val="000000" w:themeColor="text1"/>
                <w:sz w:val="20"/>
                <w:szCs w:val="20"/>
              </w:rPr>
              <w:t>Multicenter</w:t>
            </w:r>
            <w:r w:rsidR="00D12699" w:rsidRPr="00D40B19">
              <w:rPr>
                <w:rFonts w:ascii="Arial" w:hAnsi="Arial" w:cs="Arial"/>
                <w:color w:val="000000" w:themeColor="text1"/>
                <w:sz w:val="20"/>
                <w:szCs w:val="20"/>
              </w:rPr>
              <w:t xml:space="preserve"> retrospective longitudinal cohort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E4F04D" w14:textId="544BE6DA" w:rsidR="00E46824" w:rsidRPr="00D40B19" w:rsidRDefault="00E46824" w:rsidP="00D40B19">
            <w:pPr>
              <w:spacing w:line="240" w:lineRule="auto"/>
              <w:rPr>
                <w:rFonts w:ascii="Arial" w:eastAsiaTheme="minorEastAsia" w:hAnsi="Arial" w:cs="Arial"/>
                <w:color w:val="000000" w:themeColor="text1"/>
                <w:sz w:val="20"/>
                <w:szCs w:val="20"/>
                <w:u w:val="single"/>
              </w:rPr>
            </w:pPr>
            <w:r w:rsidRPr="00D40B19">
              <w:rPr>
                <w:rFonts w:ascii="Arial" w:hAnsi="Arial" w:cs="Arial"/>
                <w:color w:val="000000" w:themeColor="text1"/>
                <w:sz w:val="20"/>
                <w:szCs w:val="20"/>
              </w:rPr>
              <w:t>1.024</w:t>
            </w:r>
            <w:r w:rsidR="004B70C4" w:rsidRPr="00D40B19">
              <w:rPr>
                <w:rFonts w:ascii="Arial" w:hAnsi="Arial" w:cs="Arial"/>
                <w:color w:val="000000" w:themeColor="text1"/>
                <w:sz w:val="20"/>
                <w:szCs w:val="20"/>
              </w:rPr>
              <w:t xml:space="preserve">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E39A55" w14:textId="0D5F25B7" w:rsidR="00E46824" w:rsidRPr="00D40B19" w:rsidRDefault="00E46824"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≤16 y</w:t>
            </w:r>
            <w:r w:rsidR="00F34813" w:rsidRPr="00D40B19">
              <w:rPr>
                <w:rFonts w:ascii="Arial" w:hAnsi="Arial" w:cs="Arial"/>
                <w:color w:val="000000" w:themeColor="text1"/>
                <w:sz w:val="20"/>
                <w:szCs w:val="20"/>
              </w:rPr>
              <w:t xml:space="preserve">ears </w:t>
            </w:r>
            <w:r w:rsidRPr="00D40B19">
              <w:rPr>
                <w:rFonts w:ascii="Arial" w:hAnsi="Arial" w:cs="Arial"/>
                <w:color w:val="000000" w:themeColor="text1"/>
                <w:sz w:val="20"/>
                <w:szCs w:val="20"/>
              </w:rPr>
              <w:t>o</w:t>
            </w:r>
            <w:r w:rsidR="00F34813" w:rsidRPr="00D40B19">
              <w:rPr>
                <w:rFonts w:ascii="Arial" w:hAnsi="Arial" w:cs="Arial"/>
                <w:color w:val="000000" w:themeColor="text1"/>
                <w:sz w:val="20"/>
                <w:szCs w:val="20"/>
              </w:rPr>
              <w:t>ld</w:t>
            </w:r>
            <w:r w:rsidRPr="00D40B19">
              <w:rPr>
                <w:rFonts w:ascii="Arial" w:hAnsi="Arial" w:cs="Arial"/>
                <w:color w:val="000000" w:themeColor="text1"/>
                <w:sz w:val="20"/>
                <w:szCs w:val="20"/>
              </w:rPr>
              <w:t xml:space="preserve"> with HCM from 39 centers</w:t>
            </w:r>
            <w:r w:rsidR="00D12699" w:rsidRPr="00D40B19">
              <w:rPr>
                <w:rFonts w:ascii="Arial" w:hAnsi="Arial" w:cs="Arial"/>
                <w:color w:val="000000" w:themeColor="text1"/>
                <w:sz w:val="20"/>
                <w:szCs w:val="20"/>
              </w:rPr>
              <w:t xml:space="preserve">; </w:t>
            </w:r>
            <w:r w:rsidR="00F34813" w:rsidRPr="00D40B19">
              <w:rPr>
                <w:rFonts w:ascii="Arial" w:hAnsi="Arial" w:cs="Arial"/>
                <w:bCs/>
                <w:color w:val="000000" w:themeColor="text1"/>
                <w:sz w:val="20"/>
                <w:szCs w:val="20"/>
              </w:rPr>
              <w:t>m</w:t>
            </w:r>
            <w:r w:rsidRPr="00D40B19">
              <w:rPr>
                <w:rFonts w:ascii="Arial" w:hAnsi="Arial" w:cs="Arial"/>
                <w:bCs/>
                <w:color w:val="000000" w:themeColor="text1"/>
                <w:sz w:val="20"/>
                <w:szCs w:val="20"/>
              </w:rPr>
              <w:t>edian age</w:t>
            </w:r>
            <w:r w:rsidRPr="00D40B19">
              <w:rPr>
                <w:rFonts w:ascii="Arial" w:hAnsi="Arial" w:cs="Arial"/>
                <w:b/>
                <w:color w:val="000000" w:themeColor="text1"/>
                <w:sz w:val="20"/>
                <w:szCs w:val="20"/>
              </w:rPr>
              <w:t xml:space="preserve"> </w:t>
            </w:r>
            <w:r w:rsidRPr="00D40B19">
              <w:rPr>
                <w:rFonts w:ascii="Arial" w:hAnsi="Arial" w:cs="Arial"/>
                <w:color w:val="000000" w:themeColor="text1"/>
                <w:sz w:val="20"/>
                <w:szCs w:val="20"/>
              </w:rPr>
              <w:t>11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A478FD" w14:textId="6BB3B545" w:rsidR="00E46824" w:rsidRPr="00D40B19" w:rsidRDefault="00E46824" w:rsidP="00D40B19">
            <w:pPr>
              <w:spacing w:line="240" w:lineRule="auto"/>
              <w:rPr>
                <w:rFonts w:ascii="Arial" w:eastAsia="Calibri" w:hAnsi="Arial" w:cs="Arial"/>
                <w:color w:val="000000" w:themeColor="text1"/>
                <w:sz w:val="20"/>
                <w:szCs w:val="20"/>
              </w:rPr>
            </w:pPr>
            <w:r w:rsidRPr="00D40B19">
              <w:rPr>
                <w:rFonts w:ascii="Arial" w:hAnsi="Arial" w:cs="Arial"/>
                <w:color w:val="000000" w:themeColor="text1"/>
                <w:sz w:val="20"/>
                <w:szCs w:val="20"/>
              </w:rPr>
              <w:t>9% SCD or equivalent event over median 5 y</w:t>
            </w:r>
            <w:r w:rsidR="003A29B1"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EC227AC" w14:textId="0E5A2AAD" w:rsidR="00E46824" w:rsidRPr="00D40B19" w:rsidRDefault="00E46824" w:rsidP="00D40B19">
            <w:pPr>
              <w:spacing w:line="240" w:lineRule="auto"/>
              <w:ind w:left="151" w:right="91"/>
              <w:rPr>
                <w:rFonts w:ascii="Arial" w:eastAsia="Calibri" w:hAnsi="Arial" w:cs="Arial"/>
                <w:color w:val="000000" w:themeColor="text1"/>
                <w:sz w:val="20"/>
                <w:szCs w:val="20"/>
              </w:rPr>
            </w:pPr>
            <w:r w:rsidRPr="00D40B19">
              <w:rPr>
                <w:rFonts w:ascii="Arial" w:hAnsi="Arial" w:cs="Arial"/>
                <w:color w:val="000000" w:themeColor="text1"/>
                <w:sz w:val="20"/>
                <w:szCs w:val="20"/>
              </w:rPr>
              <w:t>Risk prediction model developed using preselected variables (unexplained syncope, max</w:t>
            </w:r>
            <w:r w:rsidR="00751C4D">
              <w:rPr>
                <w:rFonts w:ascii="Arial" w:hAnsi="Arial" w:cs="Arial"/>
                <w:color w:val="000000" w:themeColor="text1"/>
                <w:sz w:val="20"/>
                <w:szCs w:val="20"/>
              </w:rPr>
              <w:t>imum</w:t>
            </w:r>
            <w:r w:rsidR="00AE2EC8" w:rsidRPr="00D40B19">
              <w:rPr>
                <w:rFonts w:ascii="Arial" w:hAnsi="Arial" w:cs="Arial"/>
                <w:color w:val="000000" w:themeColor="text1"/>
                <w:sz w:val="20"/>
                <w:szCs w:val="20"/>
              </w:rPr>
              <w:t xml:space="preserve"> left ventricular</w:t>
            </w:r>
            <w:r w:rsidRPr="00D40B19">
              <w:rPr>
                <w:rFonts w:ascii="Arial" w:hAnsi="Arial" w:cs="Arial"/>
                <w:color w:val="000000" w:themeColor="text1"/>
                <w:sz w:val="20"/>
                <w:szCs w:val="20"/>
              </w:rPr>
              <w:t xml:space="preserve"> wall thickness, LA diameter, LVOT, and NSVT).  For every 10 ICDs implanted in patients with ≥6% of a 5-year SCD risk, 1 patient may potentially be saved from SCD</w:t>
            </w:r>
            <w:r w:rsidR="00DB416F" w:rsidRPr="00D40B19">
              <w:rPr>
                <w:rFonts w:ascii="Arial" w:hAnsi="Arial" w:cs="Arial"/>
                <w:color w:val="000000" w:themeColor="text1"/>
                <w:sz w:val="20"/>
                <w:szCs w:val="20"/>
              </w:rPr>
              <w:t>.</w:t>
            </w:r>
          </w:p>
        </w:tc>
      </w:tr>
      <w:tr w:rsidR="009D78BE" w:rsidRPr="009D78BE" w14:paraId="572B3FB4" w14:textId="77777777" w:rsidTr="005A7328">
        <w:trPr>
          <w:trHeight w:val="576"/>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95BAC7" w14:textId="51C692BB" w:rsidR="001E4C36" w:rsidRPr="00D40B19" w:rsidRDefault="001E4C36" w:rsidP="00D40B19">
            <w:pPr>
              <w:spacing w:line="240" w:lineRule="auto"/>
              <w:rPr>
                <w:rFonts w:ascii="Arial" w:hAnsi="Arial" w:cs="Arial"/>
                <w:b/>
                <w:color w:val="000000" w:themeColor="text1"/>
                <w:sz w:val="24"/>
                <w:szCs w:val="24"/>
              </w:rPr>
            </w:pPr>
            <w:r w:rsidRPr="00D40B19">
              <w:rPr>
                <w:rFonts w:ascii="Arial" w:hAnsi="Arial" w:cs="Arial"/>
                <w:b/>
                <w:color w:val="000000" w:themeColor="text1"/>
                <w:sz w:val="24"/>
                <w:szCs w:val="24"/>
              </w:rPr>
              <w:t xml:space="preserve">Arrhythmogenic </w:t>
            </w:r>
            <w:r w:rsidR="006D10B9" w:rsidRPr="009D78BE">
              <w:rPr>
                <w:rFonts w:ascii="Arial" w:hAnsi="Arial" w:cs="Arial"/>
                <w:b/>
                <w:color w:val="000000" w:themeColor="text1"/>
                <w:sz w:val="24"/>
                <w:szCs w:val="24"/>
              </w:rPr>
              <w:t>Cardiomyopathies</w:t>
            </w:r>
          </w:p>
        </w:tc>
      </w:tr>
      <w:tr w:rsidR="009D78BE" w:rsidRPr="009D78BE" w14:paraId="35F0A2CF" w14:textId="77777777" w:rsidTr="005A7328">
        <w:trPr>
          <w:trHeight w:val="449"/>
        </w:trPr>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04758" w14:textId="10534984" w:rsidR="009D128D" w:rsidRPr="00D40B19" w:rsidRDefault="009D128D" w:rsidP="00D40B19">
            <w:pPr>
              <w:spacing w:line="240" w:lineRule="auto"/>
              <w:rPr>
                <w:rFonts w:ascii="Arial" w:eastAsiaTheme="minorEastAsia" w:hAnsi="Arial" w:cs="Arial"/>
                <w:color w:val="000000" w:themeColor="text1"/>
              </w:rPr>
            </w:pPr>
            <w:r w:rsidRPr="00D40B19">
              <w:rPr>
                <w:rFonts w:ascii="Arial" w:hAnsi="Arial" w:cs="Arial"/>
                <w:b/>
                <w:color w:val="000000" w:themeColor="text1"/>
              </w:rPr>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EDA453" w14:textId="6637FF4E" w:rsidR="009D128D" w:rsidRPr="00D40B19" w:rsidRDefault="009D128D" w:rsidP="00D40B19">
            <w:pPr>
              <w:spacing w:line="240" w:lineRule="auto"/>
              <w:rPr>
                <w:rFonts w:ascii="Arial" w:eastAsiaTheme="minorEastAsia"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C60E8C" w14:textId="334FC2AE" w:rsidR="009D128D" w:rsidRPr="00D40B19" w:rsidRDefault="009D128D" w:rsidP="00D40B19">
            <w:pPr>
              <w:spacing w:line="240" w:lineRule="auto"/>
              <w:rPr>
                <w:rFonts w:ascii="Arial" w:eastAsiaTheme="minorEastAsia"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28EE25" w14:textId="0BF537DA" w:rsidR="009D128D" w:rsidRPr="00D40B19" w:rsidRDefault="009D128D" w:rsidP="00D40B19">
            <w:pPr>
              <w:spacing w:line="240" w:lineRule="auto"/>
              <w:rPr>
                <w:rFonts w:ascii="Arial" w:eastAsiaTheme="minorEastAsia" w:hAnsi="Arial" w:cs="Arial"/>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E44E0C0" w14:textId="0319A82B"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6F0163" w14:textId="4D8C4C0B" w:rsidR="009D128D" w:rsidRPr="00D40B19" w:rsidRDefault="009D128D" w:rsidP="00D40B19">
            <w:pPr>
              <w:spacing w:line="240" w:lineRule="auto"/>
              <w:contextualSpacing/>
              <w:rPr>
                <w:rFonts w:ascii="Arial"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1495126D" w14:textId="704AFA2F" w:rsidR="009D128D" w:rsidRPr="009D78BE" w:rsidRDefault="009D128D" w:rsidP="00D40B19">
            <w:pPr>
              <w:spacing w:line="240" w:lineRule="auto"/>
              <w:ind w:left="151"/>
              <w:rPr>
                <w:rFonts w:ascii="Arial" w:eastAsiaTheme="minorEastAsia"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4FFC271D" w14:textId="77777777" w:rsidTr="005A7328">
        <w:trPr>
          <w:trHeight w:val="2330"/>
        </w:trPr>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10FB2E" w14:textId="27C8F11E" w:rsidR="001E4C36" w:rsidRPr="00D40B19" w:rsidRDefault="001E4C36" w:rsidP="00D40B19">
            <w:pPr>
              <w:spacing w:line="240" w:lineRule="auto"/>
              <w:rPr>
                <w:rFonts w:ascii="Arial" w:eastAsiaTheme="minorEastAsia" w:hAnsi="Arial" w:cs="Arial"/>
                <w:color w:val="000000" w:themeColor="text1"/>
                <w:sz w:val="20"/>
                <w:szCs w:val="20"/>
              </w:rPr>
            </w:pPr>
            <w:proofErr w:type="spellStart"/>
            <w:r w:rsidRPr="00D40B19">
              <w:rPr>
                <w:rFonts w:ascii="Arial" w:eastAsiaTheme="minorEastAsia" w:hAnsi="Arial" w:cs="Arial"/>
                <w:color w:val="000000" w:themeColor="text1"/>
                <w:sz w:val="20"/>
                <w:szCs w:val="20"/>
              </w:rPr>
              <w:lastRenderedPageBreak/>
              <w:t>Te</w:t>
            </w:r>
            <w:proofErr w:type="spellEnd"/>
            <w:r w:rsidRPr="00D40B19">
              <w:rPr>
                <w:rFonts w:ascii="Arial" w:eastAsiaTheme="minorEastAsia" w:hAnsi="Arial" w:cs="Arial"/>
                <w:color w:val="000000" w:themeColor="text1"/>
                <w:sz w:val="20"/>
                <w:szCs w:val="20"/>
              </w:rPr>
              <w:t xml:space="preserve"> </w:t>
            </w:r>
            <w:proofErr w:type="spellStart"/>
            <w:r w:rsidRPr="00D40B19">
              <w:rPr>
                <w:rFonts w:ascii="Arial" w:eastAsiaTheme="minorEastAsia" w:hAnsi="Arial" w:cs="Arial"/>
                <w:color w:val="000000" w:themeColor="text1"/>
                <w:sz w:val="20"/>
                <w:szCs w:val="20"/>
              </w:rPr>
              <w:t>Riele</w:t>
            </w:r>
            <w:proofErr w:type="spellEnd"/>
            <w:r w:rsidR="00E81116" w:rsidRPr="00D40B19">
              <w:rPr>
                <w:rFonts w:ascii="Arial" w:hAnsi="Arial" w:cs="Arial"/>
                <w:bCs/>
                <w:color w:val="000000" w:themeColor="text1"/>
                <w:sz w:val="20"/>
                <w:szCs w:val="20"/>
              </w:rPr>
              <w:t xml:space="preserve"> et al</w:t>
            </w:r>
            <w:r w:rsidR="00DD48A7" w:rsidRPr="00D40B19">
              <w:rPr>
                <w:rFonts w:ascii="Arial" w:eastAsiaTheme="minorEastAsia" w:hAnsi="Arial" w:cs="Arial"/>
                <w:color w:val="000000" w:themeColor="text1"/>
                <w:sz w:val="20"/>
                <w:szCs w:val="20"/>
                <w:vertAlign w:val="superscript"/>
              </w:rPr>
              <w:t>191</w:t>
            </w:r>
            <w:r w:rsidRPr="00D40B19">
              <w:rPr>
                <w:rFonts w:ascii="Arial" w:eastAsiaTheme="minorEastAsia" w:hAnsi="Arial" w:cs="Arial"/>
                <w:color w:val="000000" w:themeColor="text1"/>
                <w:sz w:val="20"/>
                <w:szCs w:val="20"/>
              </w:rPr>
              <w:t xml:space="preserve"> </w:t>
            </w:r>
          </w:p>
          <w:p w14:paraId="3580F6D8" w14:textId="77777777" w:rsidR="001E4C36" w:rsidRPr="00D40B19" w:rsidRDefault="001E4C36" w:rsidP="00D40B19">
            <w:pPr>
              <w:spacing w:line="240" w:lineRule="auto"/>
              <w:rPr>
                <w:rFonts w:ascii="Arial" w:eastAsiaTheme="minorEastAsia" w:hAnsi="Arial" w:cs="Arial"/>
                <w:color w:val="000000" w:themeColor="text1"/>
                <w:sz w:val="20"/>
                <w:szCs w:val="20"/>
              </w:rPr>
            </w:pPr>
          </w:p>
          <w:p w14:paraId="6EBE7405" w14:textId="77777777" w:rsidR="001E4C36" w:rsidRPr="00D40B19" w:rsidRDefault="001E4C36" w:rsidP="00D40B19">
            <w:pPr>
              <w:spacing w:line="240" w:lineRule="auto"/>
              <w:rPr>
                <w:rFonts w:ascii="Arial" w:eastAsiaTheme="minorEastAsia" w:hAnsi="Arial" w:cs="Arial"/>
                <w:color w:val="000000" w:themeColor="text1"/>
                <w:sz w:val="20"/>
                <w:szCs w:val="20"/>
              </w:rPr>
            </w:pPr>
          </w:p>
          <w:p w14:paraId="331DA143" w14:textId="64B9D449" w:rsidR="001E4C36" w:rsidRPr="00D40B19" w:rsidRDefault="001E4C3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059FD" w14:textId="14324B92" w:rsidR="001E4C36" w:rsidRPr="00D40B19" w:rsidRDefault="001E4C36" w:rsidP="00D40B19">
            <w:pPr>
              <w:spacing w:line="240" w:lineRule="auto"/>
              <w:rPr>
                <w:rFonts w:ascii="Arial" w:hAnsi="Arial" w:cs="Arial"/>
                <w:color w:val="000000" w:themeColor="text1"/>
                <w:sz w:val="20"/>
                <w:szCs w:val="20"/>
              </w:rPr>
            </w:pPr>
            <w:r w:rsidRPr="00D40B19">
              <w:rPr>
                <w:rFonts w:ascii="Arial" w:eastAsiaTheme="minorEastAsia" w:hAnsi="Arial" w:cs="Arial"/>
                <w:color w:val="000000" w:themeColor="text1"/>
                <w:sz w:val="20"/>
                <w:szCs w:val="20"/>
              </w:rPr>
              <w:t>2015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BADE2C" w14:textId="3423DD3B" w:rsidR="001E4C36" w:rsidRPr="00D40B19" w:rsidRDefault="001E4C36" w:rsidP="00D40B19">
            <w:pPr>
              <w:spacing w:line="240" w:lineRule="auto"/>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Single</w:t>
            </w:r>
            <w:r w:rsidR="00851767" w:rsidRPr="00D40B19">
              <w:rPr>
                <w:rFonts w:ascii="Arial" w:eastAsiaTheme="minorEastAsia" w:hAnsi="Arial" w:cs="Arial"/>
                <w:color w:val="000000" w:themeColor="text1"/>
                <w:sz w:val="20"/>
                <w:szCs w:val="20"/>
              </w:rPr>
              <w:t>-</w:t>
            </w:r>
            <w:r w:rsidR="00DD48A7" w:rsidRPr="00D40B19">
              <w:rPr>
                <w:rFonts w:ascii="Arial" w:eastAsiaTheme="minorEastAsia" w:hAnsi="Arial" w:cs="Arial"/>
                <w:color w:val="000000" w:themeColor="text1"/>
                <w:sz w:val="20"/>
                <w:szCs w:val="20"/>
              </w:rPr>
              <w:t>c</w:t>
            </w:r>
            <w:r w:rsidRPr="00D40B19">
              <w:rPr>
                <w:rFonts w:ascii="Arial" w:eastAsiaTheme="minorEastAsia" w:hAnsi="Arial" w:cs="Arial"/>
                <w:color w:val="000000" w:themeColor="text1"/>
                <w:sz w:val="20"/>
                <w:szCs w:val="20"/>
              </w:rPr>
              <w:t>enter</w:t>
            </w:r>
            <w:r w:rsidR="00DD48A7" w:rsidRPr="00D40B19">
              <w:rPr>
                <w:rFonts w:ascii="Arial" w:eastAsiaTheme="minorEastAsia" w:hAnsi="Arial" w:cs="Arial"/>
                <w:color w:val="000000" w:themeColor="text1"/>
                <w:sz w:val="20"/>
                <w:szCs w:val="20"/>
              </w:rPr>
              <w:t xml:space="preserve"> r</w:t>
            </w:r>
            <w:r w:rsidRPr="00D40B19">
              <w:rPr>
                <w:rFonts w:ascii="Arial" w:eastAsiaTheme="minorEastAsia" w:hAnsi="Arial" w:cs="Arial"/>
                <w:color w:val="000000" w:themeColor="text1"/>
                <w:sz w:val="20"/>
                <w:szCs w:val="20"/>
              </w:rPr>
              <w:t>etrospective</w:t>
            </w:r>
            <w:r w:rsidR="00E6304A" w:rsidRPr="00D40B19">
              <w:rPr>
                <w:rFonts w:ascii="Arial" w:hAnsi="Arial" w:cs="Arial"/>
                <w:color w:val="000000" w:themeColor="text1"/>
                <w:sz w:val="20"/>
                <w:szCs w:val="20"/>
              </w:rPr>
              <w:t xml:space="preserve"> study</w:t>
            </w:r>
          </w:p>
          <w:p w14:paraId="3DE9EF70" w14:textId="77777777" w:rsidR="001E4C36" w:rsidRPr="00D40B19" w:rsidRDefault="001E4C36" w:rsidP="00D40B19">
            <w:pPr>
              <w:spacing w:line="240" w:lineRule="auto"/>
              <w:rPr>
                <w:rFonts w:ascii="Arial" w:eastAsiaTheme="minorEastAsia" w:hAnsi="Arial" w:cs="Arial"/>
                <w:color w:val="000000" w:themeColor="text1"/>
                <w:sz w:val="20"/>
                <w:szCs w:val="20"/>
              </w:rPr>
            </w:pPr>
          </w:p>
          <w:p w14:paraId="7848FFCC" w14:textId="77777777" w:rsidR="001E4C36" w:rsidRPr="00D40B19" w:rsidRDefault="001E4C36" w:rsidP="00D40B19">
            <w:pPr>
              <w:spacing w:line="240" w:lineRule="auto"/>
              <w:rPr>
                <w:rFonts w:ascii="Arial"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8A1A7D" w14:textId="74516679" w:rsidR="001E4C36" w:rsidRPr="00D40B19" w:rsidRDefault="00DD48A7" w:rsidP="00D40B19">
            <w:pPr>
              <w:spacing w:line="240" w:lineRule="auto"/>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75 patients</w:t>
            </w:r>
            <w:r w:rsidR="004B70C4"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53 with ICDs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26FE1D" w14:textId="71D5316E" w:rsidR="001E4C36" w:rsidRPr="00D40B19" w:rsidRDefault="000B380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Pediatric patients with ARVC; </w:t>
            </w:r>
            <w:r w:rsidRPr="00D40B19">
              <w:rPr>
                <w:rFonts w:ascii="Arial" w:eastAsiaTheme="minorEastAsia" w:hAnsi="Arial" w:cs="Arial"/>
                <w:color w:val="000000" w:themeColor="text1"/>
                <w:sz w:val="20"/>
                <w:szCs w:val="20"/>
              </w:rPr>
              <w:t>mean age 15</w:t>
            </w:r>
            <w:r w:rsidR="00F34813"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w:t>
            </w:r>
            <w:r w:rsidR="00F34813" w:rsidRPr="00D40B19">
              <w:rPr>
                <w:rFonts w:ascii="Arial" w:eastAsiaTheme="minorEastAsia" w:hAnsi="Arial" w:cs="Arial"/>
                <w:color w:val="000000" w:themeColor="text1"/>
                <w:sz w:val="20"/>
                <w:szCs w:val="20"/>
              </w:rPr>
              <w:t xml:space="preserve"> </w:t>
            </w:r>
            <w:r w:rsidRPr="00D40B19">
              <w:rPr>
                <w:rFonts w:ascii="Arial" w:eastAsiaTheme="minorEastAsia" w:hAnsi="Arial" w:cs="Arial"/>
                <w:color w:val="000000" w:themeColor="text1"/>
                <w:sz w:val="20"/>
                <w:szCs w:val="20"/>
              </w:rPr>
              <w:t>2</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EF43B3" w14:textId="7594C487" w:rsidR="001E4C36" w:rsidRPr="00D40B19" w:rsidRDefault="00D12699"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Freedom from VT, cardiac transplant</w:t>
            </w:r>
            <w:r w:rsidR="003A29B1"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and death</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50778" w14:textId="682A582D" w:rsidR="001E4C36" w:rsidRPr="00D40B19" w:rsidRDefault="00DD48A7" w:rsidP="00D40B19">
            <w:pPr>
              <w:spacing w:line="240" w:lineRule="auto"/>
              <w:ind w:left="151"/>
              <w:rPr>
                <w:rFonts w:ascii="Arial" w:eastAsiaTheme="minorEastAsia" w:hAnsi="Arial" w:cs="Arial"/>
                <w:color w:val="000000" w:themeColor="text1"/>
                <w:sz w:val="20"/>
                <w:szCs w:val="20"/>
              </w:rPr>
            </w:pPr>
            <w:r w:rsidRPr="00D40B19">
              <w:rPr>
                <w:rFonts w:ascii="Arial" w:eastAsiaTheme="minorEastAsia" w:hAnsi="Arial" w:cs="Arial"/>
                <w:color w:val="000000" w:themeColor="text1"/>
                <w:sz w:val="20"/>
                <w:szCs w:val="20"/>
              </w:rPr>
              <w:t>25% of pediatric patients presented with SCD (significant difference with adults, who present more with VT). Worse outcome during onset, but in the long term after diagnosis survival free from VT, cardiac transplant</w:t>
            </w:r>
            <w:r w:rsidR="00DB416F" w:rsidRPr="00D40B19">
              <w:rPr>
                <w:rFonts w:ascii="Arial" w:eastAsiaTheme="minorEastAsia" w:hAnsi="Arial" w:cs="Arial"/>
                <w:color w:val="000000" w:themeColor="text1"/>
                <w:sz w:val="20"/>
                <w:szCs w:val="20"/>
              </w:rPr>
              <w:t>,</w:t>
            </w:r>
            <w:r w:rsidRPr="00D40B19">
              <w:rPr>
                <w:rFonts w:ascii="Arial" w:eastAsiaTheme="minorEastAsia" w:hAnsi="Arial" w:cs="Arial"/>
                <w:color w:val="000000" w:themeColor="text1"/>
                <w:sz w:val="20"/>
                <w:szCs w:val="20"/>
              </w:rPr>
              <w:t xml:space="preserve"> and death is similar in pediatric and adult age.</w:t>
            </w:r>
            <w:r w:rsidR="000B380D" w:rsidRPr="00D40B19">
              <w:rPr>
                <w:rFonts w:ascii="Arial" w:eastAsiaTheme="minorEastAsia" w:hAnsi="Arial" w:cs="Arial"/>
                <w:color w:val="000000" w:themeColor="text1"/>
                <w:sz w:val="20"/>
                <w:szCs w:val="20"/>
              </w:rPr>
              <w:t xml:space="preserve"> Pediatric patients with ARVD are typically male mutation carriers presenting in adolescence with SCD.</w:t>
            </w:r>
          </w:p>
        </w:tc>
      </w:tr>
      <w:tr w:rsidR="009D78BE" w:rsidRPr="009D78BE" w14:paraId="2EF9418F" w14:textId="77777777" w:rsidTr="005A7328">
        <w:trPr>
          <w:trHeight w:val="576"/>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4C1CCA" w14:textId="2909AA48" w:rsidR="005761F6" w:rsidRPr="00D40B19" w:rsidRDefault="002F7E5E" w:rsidP="00D40B19">
            <w:pPr>
              <w:spacing w:line="240" w:lineRule="auto"/>
              <w:ind w:left="151"/>
              <w:rPr>
                <w:rFonts w:ascii="Arial" w:hAnsi="Arial" w:cs="Arial"/>
                <w:b/>
                <w:color w:val="000000" w:themeColor="text1"/>
                <w:sz w:val="24"/>
                <w:szCs w:val="24"/>
              </w:rPr>
            </w:pPr>
            <w:proofErr w:type="spellStart"/>
            <w:r w:rsidRPr="002F7E5E">
              <w:rPr>
                <w:rFonts w:ascii="Arial" w:hAnsi="Arial" w:cs="Arial"/>
                <w:b/>
                <w:color w:val="000000" w:themeColor="text1"/>
                <w:sz w:val="24"/>
                <w:szCs w:val="24"/>
              </w:rPr>
              <w:t>Nonischemic</w:t>
            </w:r>
            <w:proofErr w:type="spellEnd"/>
            <w:r w:rsidRPr="002F7E5E">
              <w:rPr>
                <w:rFonts w:ascii="Arial" w:hAnsi="Arial" w:cs="Arial"/>
                <w:b/>
                <w:color w:val="000000" w:themeColor="text1"/>
                <w:sz w:val="24"/>
                <w:szCs w:val="24"/>
              </w:rPr>
              <w:t xml:space="preserve"> </w:t>
            </w:r>
            <w:r w:rsidR="006D10B9" w:rsidRPr="002F7E5E">
              <w:rPr>
                <w:rFonts w:ascii="Arial" w:hAnsi="Arial" w:cs="Arial"/>
                <w:b/>
                <w:color w:val="000000" w:themeColor="text1"/>
                <w:sz w:val="24"/>
                <w:szCs w:val="24"/>
              </w:rPr>
              <w:t>Dilated Cardiomyopath</w:t>
            </w:r>
            <w:r w:rsidR="005B1709">
              <w:rPr>
                <w:rFonts w:ascii="Arial" w:hAnsi="Arial" w:cs="Arial"/>
                <w:b/>
                <w:color w:val="000000" w:themeColor="text1"/>
                <w:sz w:val="24"/>
                <w:szCs w:val="24"/>
              </w:rPr>
              <w:t>y</w:t>
            </w:r>
          </w:p>
        </w:tc>
      </w:tr>
      <w:tr w:rsidR="009D78BE" w:rsidRPr="009D78BE" w14:paraId="1E468AC4"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D1201D" w14:textId="65D9017D"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4C9ED20" w14:textId="511B07E7"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19AB061" w14:textId="716D7862" w:rsidR="009D128D" w:rsidRPr="00D40B19" w:rsidRDefault="009D128D" w:rsidP="00D40B19">
            <w:pPr>
              <w:spacing w:line="240" w:lineRule="auto"/>
              <w:contextualSpacing/>
              <w:rPr>
                <w:rFonts w:ascii="Arial"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6D4537" w14:textId="5B13B152"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052FDC" w14:textId="45EB4438"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0A05CF" w14:textId="125EF697" w:rsidR="009D128D" w:rsidRPr="00D40B19" w:rsidRDefault="009D128D" w:rsidP="00D40B19">
            <w:pPr>
              <w:spacing w:line="240" w:lineRule="auto"/>
              <w:contextualSpacing/>
              <w:rPr>
                <w:rFonts w:ascii="Arial"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D857B" w14:textId="185E3232" w:rsidR="009D128D" w:rsidRPr="00D40B19" w:rsidRDefault="009D128D" w:rsidP="00D40B19">
            <w:pPr>
              <w:spacing w:line="240" w:lineRule="auto"/>
              <w:ind w:left="151"/>
              <w:rPr>
                <w:rFonts w:ascii="Arial" w:hAnsi="Arial" w:cs="Arial"/>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6536F4E7" w14:textId="77777777" w:rsidTr="005A7328">
        <w:trPr>
          <w:trHeight w:val="2897"/>
        </w:trPr>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D73387" w14:textId="5E219C91" w:rsidR="001E4C36" w:rsidRPr="00D40B19" w:rsidRDefault="001E4C36" w:rsidP="00D40B19">
            <w:pPr>
              <w:spacing w:line="240" w:lineRule="auto"/>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Pahl</w:t>
            </w:r>
            <w:proofErr w:type="spellEnd"/>
            <w:r w:rsidR="00E81116" w:rsidRPr="00D40B19">
              <w:rPr>
                <w:rFonts w:ascii="Arial" w:hAnsi="Arial" w:cs="Arial"/>
                <w:bCs/>
                <w:color w:val="000000" w:themeColor="text1"/>
                <w:sz w:val="20"/>
                <w:szCs w:val="20"/>
              </w:rPr>
              <w:t xml:space="preserve"> et al</w:t>
            </w:r>
            <w:r w:rsidR="00AB245B" w:rsidRPr="00D40B19">
              <w:rPr>
                <w:rFonts w:ascii="Arial" w:hAnsi="Arial" w:cs="Arial"/>
                <w:color w:val="000000" w:themeColor="text1"/>
                <w:sz w:val="20"/>
                <w:szCs w:val="20"/>
                <w:vertAlign w:val="superscript"/>
              </w:rPr>
              <w:t>196</w:t>
            </w:r>
          </w:p>
          <w:p w14:paraId="2CE0C7B7" w14:textId="77777777" w:rsidR="001E4C36" w:rsidRPr="00D40B19" w:rsidRDefault="001E4C36" w:rsidP="00D40B19">
            <w:pPr>
              <w:spacing w:line="240" w:lineRule="auto"/>
              <w:rPr>
                <w:rFonts w:ascii="Arial" w:hAnsi="Arial" w:cs="Arial"/>
                <w:color w:val="000000" w:themeColor="text1"/>
                <w:sz w:val="20"/>
                <w:szCs w:val="20"/>
              </w:rPr>
            </w:pPr>
          </w:p>
          <w:p w14:paraId="1CCE4B57" w14:textId="603D4943" w:rsidR="001E4C36" w:rsidRPr="00D40B19" w:rsidRDefault="001E4C3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2CFB68" w14:textId="23112180" w:rsidR="001E4C36" w:rsidRPr="00D40B19" w:rsidRDefault="001E4C3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2012</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3EFBAC" w14:textId="72D667B7" w:rsidR="001E4C36" w:rsidRPr="00D40B19" w:rsidRDefault="001E4C36"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w:t>
            </w:r>
            <w:r w:rsidR="00851767" w:rsidRPr="00D40B19">
              <w:rPr>
                <w:rFonts w:ascii="Arial" w:hAnsi="Arial" w:cs="Arial"/>
                <w:color w:val="000000" w:themeColor="text1"/>
                <w:sz w:val="20"/>
                <w:szCs w:val="20"/>
              </w:rPr>
              <w:t>c</w:t>
            </w:r>
            <w:r w:rsidRPr="00D40B19">
              <w:rPr>
                <w:rFonts w:ascii="Arial" w:hAnsi="Arial" w:cs="Arial"/>
                <w:color w:val="000000" w:themeColor="text1"/>
                <w:sz w:val="20"/>
                <w:szCs w:val="20"/>
              </w:rPr>
              <w:t>enter</w:t>
            </w:r>
          </w:p>
          <w:p w14:paraId="66AE9D49" w14:textId="54626368" w:rsidR="001E4C36" w:rsidRPr="00D40B19" w:rsidRDefault="00851767"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retrospective </w:t>
            </w:r>
            <w:r w:rsidR="00311D58" w:rsidRPr="00D40B19">
              <w:rPr>
                <w:rFonts w:ascii="Arial" w:hAnsi="Arial" w:cs="Arial"/>
                <w:color w:val="000000" w:themeColor="text1"/>
                <w:sz w:val="20"/>
                <w:szCs w:val="20"/>
              </w:rPr>
              <w:t xml:space="preserve">study from </w:t>
            </w:r>
            <w:r w:rsidR="001E4C36" w:rsidRPr="00D40B19">
              <w:rPr>
                <w:rFonts w:ascii="Arial" w:hAnsi="Arial" w:cs="Arial"/>
                <w:color w:val="000000" w:themeColor="text1"/>
                <w:sz w:val="20"/>
                <w:szCs w:val="20"/>
              </w:rPr>
              <w:t>Pediatric Cardiomyopathy Registry</w:t>
            </w:r>
            <w:r w:rsidR="00311D58" w:rsidRPr="00D40B19">
              <w:rPr>
                <w:rFonts w:ascii="Arial" w:hAnsi="Arial" w:cs="Arial"/>
                <w:color w:val="000000" w:themeColor="text1"/>
                <w:sz w:val="20"/>
                <w:szCs w:val="20"/>
              </w:rPr>
              <w:t xml:space="preserve"> (PCMR)</w:t>
            </w:r>
            <w:r w:rsidR="00857A3C" w:rsidRPr="00D40B19">
              <w:rPr>
                <w:rFonts w:ascii="Arial" w:hAnsi="Arial" w:cs="Arial"/>
                <w:color w:val="000000" w:themeColor="text1"/>
                <w:sz w:val="20"/>
                <w:szCs w:val="20"/>
              </w:rPr>
              <w:t xml:space="preserve"> database</w:t>
            </w:r>
          </w:p>
          <w:p w14:paraId="53D4E425" w14:textId="77777777" w:rsidR="001E4C36" w:rsidRPr="00D40B19" w:rsidRDefault="001E4C36" w:rsidP="00D40B19">
            <w:pPr>
              <w:spacing w:line="240" w:lineRule="auto"/>
              <w:rPr>
                <w:rFonts w:ascii="Arial" w:hAnsi="Arial" w:cs="Arial"/>
                <w:color w:val="000000" w:themeColor="text1"/>
                <w:sz w:val="20"/>
                <w:szCs w:val="20"/>
              </w:rPr>
            </w:pPr>
          </w:p>
          <w:p w14:paraId="25B5A477" w14:textId="4BC7B191" w:rsidR="001E4C36" w:rsidRPr="00D40B19" w:rsidRDefault="001E4C36" w:rsidP="00D40B19">
            <w:pPr>
              <w:spacing w:line="240" w:lineRule="auto"/>
              <w:contextualSpacing/>
              <w:rPr>
                <w:rFonts w:ascii="Arial"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734159" w14:textId="1F1B041C" w:rsidR="001E4C36" w:rsidRPr="00D40B19" w:rsidRDefault="00311D58"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w:t>
            </w:r>
            <w:r w:rsidR="00F34813"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803 patients; mean age </w:t>
            </w:r>
            <w:r w:rsidR="001E4C36" w:rsidRPr="00D40B19">
              <w:rPr>
                <w:rFonts w:ascii="Arial" w:hAnsi="Arial" w:cs="Arial"/>
                <w:color w:val="000000" w:themeColor="text1"/>
                <w:sz w:val="20"/>
                <w:szCs w:val="20"/>
              </w:rPr>
              <w:t>5.3</w:t>
            </w:r>
            <w:r w:rsidR="00F34813" w:rsidRPr="00D40B19">
              <w:rPr>
                <w:rFonts w:ascii="Arial" w:hAnsi="Arial" w:cs="Arial"/>
                <w:color w:val="000000" w:themeColor="text1"/>
                <w:sz w:val="20"/>
                <w:szCs w:val="20"/>
              </w:rPr>
              <w:t xml:space="preserve"> </w:t>
            </w:r>
            <w:r w:rsidR="001E4C36"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001E4C36" w:rsidRPr="00D40B19">
              <w:rPr>
                <w:rFonts w:ascii="Arial" w:hAnsi="Arial" w:cs="Arial"/>
                <w:color w:val="000000" w:themeColor="text1"/>
                <w:sz w:val="20"/>
                <w:szCs w:val="20"/>
              </w:rPr>
              <w:t>6.1 y</w:t>
            </w:r>
            <w:r w:rsidR="00F34813" w:rsidRPr="00D40B19">
              <w:rPr>
                <w:rFonts w:ascii="Arial" w:hAnsi="Arial" w:cs="Arial"/>
                <w:color w:val="000000" w:themeColor="text1"/>
                <w:sz w:val="20"/>
                <w:szCs w:val="20"/>
              </w:rPr>
              <w:t>ea</w:t>
            </w:r>
            <w:r w:rsidR="001E4C36"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5DFC5" w14:textId="2655D656" w:rsidR="00311D58" w:rsidRPr="00D40B19" w:rsidRDefault="00311D58"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&lt;18</w:t>
            </w:r>
            <w:r w:rsidR="00F34813" w:rsidRPr="00D40B19">
              <w:rPr>
                <w:rFonts w:ascii="Arial" w:hAnsi="Arial" w:cs="Arial"/>
                <w:color w:val="000000" w:themeColor="text1"/>
                <w:sz w:val="20"/>
                <w:szCs w:val="20"/>
              </w:rPr>
              <w:t xml:space="preserve"> </w:t>
            </w:r>
            <w:r w:rsidR="00E35A4F" w:rsidRPr="00D40B19">
              <w:rPr>
                <w:rFonts w:ascii="Arial" w:hAnsi="Arial" w:cs="Arial"/>
                <w:color w:val="000000" w:themeColor="text1"/>
                <w:sz w:val="20"/>
                <w:szCs w:val="20"/>
              </w:rPr>
              <w:t>ye</w:t>
            </w:r>
            <w:r w:rsidR="00F34813" w:rsidRPr="00D40B19">
              <w:rPr>
                <w:rFonts w:ascii="Arial" w:hAnsi="Arial" w:cs="Arial"/>
                <w:color w:val="000000" w:themeColor="text1"/>
                <w:sz w:val="20"/>
                <w:szCs w:val="20"/>
              </w:rPr>
              <w:t xml:space="preserve">ars </w:t>
            </w:r>
            <w:r w:rsidR="0036688D" w:rsidRPr="00D40B19">
              <w:rPr>
                <w:rFonts w:ascii="Arial" w:hAnsi="Arial" w:cs="Arial"/>
                <w:color w:val="000000" w:themeColor="text1"/>
                <w:sz w:val="20"/>
                <w:szCs w:val="20"/>
              </w:rPr>
              <w:t>of age</w:t>
            </w:r>
            <w:r w:rsidRPr="00D40B19">
              <w:rPr>
                <w:rFonts w:ascii="Arial" w:hAnsi="Arial" w:cs="Arial"/>
                <w:color w:val="000000" w:themeColor="text1"/>
                <w:sz w:val="20"/>
                <w:szCs w:val="20"/>
              </w:rPr>
              <w:t xml:space="preserve"> with DCM from nearly 100 centers</w:t>
            </w:r>
          </w:p>
          <w:p w14:paraId="149EBE30" w14:textId="3A80AF80" w:rsidR="001E4C36" w:rsidRPr="00D40B19" w:rsidRDefault="001E4C36"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F2FC86" w14:textId="1F175CC0" w:rsidR="001E4C36" w:rsidRPr="00D40B19" w:rsidRDefault="00915BD0"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Sudden cardiac death</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7C4C02D6" w14:textId="6517861D" w:rsidR="00466999" w:rsidRPr="00D40B19" w:rsidRDefault="00466999"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 xml:space="preserve">5-year SCD incidence rate was 2.4%. 86% of all SCDs occurred in patients who met all of the following: left ventricular (LV) end-systolic dimension </w:t>
            </w:r>
            <w:r w:rsidRPr="00D40B19">
              <w:rPr>
                <w:rFonts w:ascii="Arial" w:hAnsi="Arial" w:cs="Arial"/>
                <w:i/>
                <w:iCs/>
                <w:color w:val="000000" w:themeColor="text1"/>
                <w:sz w:val="20"/>
                <w:szCs w:val="20"/>
              </w:rPr>
              <w:t>z</w:t>
            </w:r>
            <w:r w:rsidR="0036688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score &gt;2.6, age at diagnosis &lt;14 y</w:t>
            </w:r>
            <w:r w:rsidR="00EE2737" w:rsidRPr="00D40B19">
              <w:rPr>
                <w:rFonts w:ascii="Arial" w:hAnsi="Arial" w:cs="Arial"/>
                <w:color w:val="000000" w:themeColor="text1"/>
                <w:sz w:val="20"/>
                <w:szCs w:val="20"/>
              </w:rPr>
              <w:t>ears</w:t>
            </w:r>
            <w:r w:rsidRPr="00D40B19">
              <w:rPr>
                <w:rFonts w:ascii="Arial" w:hAnsi="Arial" w:cs="Arial"/>
                <w:color w:val="000000" w:themeColor="text1"/>
                <w:sz w:val="20"/>
                <w:szCs w:val="20"/>
              </w:rPr>
              <w:t>, and the LV posterior wall thickness to end-diastolic dimension ratio &lt;0.14.</w:t>
            </w:r>
          </w:p>
          <w:p w14:paraId="0CCE664B" w14:textId="5280F042" w:rsidR="001E4C36" w:rsidRPr="00D40B19" w:rsidRDefault="00466999"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Independent predictors of SCD include echocardiographic features of both LV thinning and dilation, antiarrhythmic therapy within 1 month of diagnosis, and age at diagnosis &lt;14 years.</w:t>
            </w:r>
          </w:p>
        </w:tc>
      </w:tr>
      <w:tr w:rsidR="009D78BE" w:rsidRPr="009D78BE" w14:paraId="7A548E3F"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3986E5" w14:textId="378DF921" w:rsidR="001E4C36" w:rsidRPr="00D40B19" w:rsidRDefault="001E4C36" w:rsidP="00D40B19">
            <w:pPr>
              <w:spacing w:line="240" w:lineRule="auto"/>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El-</w:t>
            </w:r>
            <w:proofErr w:type="spellStart"/>
            <w:r w:rsidRPr="00D40B19">
              <w:rPr>
                <w:rFonts w:ascii="Arial" w:hAnsi="Arial" w:cs="Arial"/>
                <w:color w:val="000000" w:themeColor="text1"/>
                <w:sz w:val="20"/>
                <w:szCs w:val="20"/>
              </w:rPr>
              <w:t>Assaad</w:t>
            </w:r>
            <w:proofErr w:type="spellEnd"/>
            <w:r w:rsidR="00E81116" w:rsidRPr="00D40B19">
              <w:rPr>
                <w:rFonts w:ascii="Arial" w:hAnsi="Arial" w:cs="Arial"/>
                <w:bCs/>
                <w:color w:val="000000" w:themeColor="text1"/>
                <w:sz w:val="20"/>
                <w:szCs w:val="20"/>
              </w:rPr>
              <w:t xml:space="preserve"> et al</w:t>
            </w:r>
            <w:r w:rsidR="00857A3C" w:rsidRPr="00D40B19">
              <w:rPr>
                <w:rFonts w:ascii="Arial" w:hAnsi="Arial" w:cs="Arial"/>
                <w:color w:val="000000" w:themeColor="text1"/>
                <w:sz w:val="20"/>
                <w:szCs w:val="20"/>
                <w:vertAlign w:val="superscript"/>
              </w:rPr>
              <w:t>19</w:t>
            </w:r>
            <w:r w:rsidR="0006779F" w:rsidRPr="00D40B19">
              <w:rPr>
                <w:rFonts w:ascii="Arial" w:hAnsi="Arial" w:cs="Arial"/>
                <w:color w:val="000000" w:themeColor="text1"/>
                <w:sz w:val="20"/>
                <w:szCs w:val="20"/>
                <w:vertAlign w:val="superscript"/>
              </w:rPr>
              <w:t>9</w:t>
            </w:r>
          </w:p>
          <w:p w14:paraId="41F8D0CA" w14:textId="77777777" w:rsidR="001E4C36" w:rsidRPr="00D40B19" w:rsidRDefault="001E4C36" w:rsidP="00D40B19">
            <w:pPr>
              <w:spacing w:line="240" w:lineRule="auto"/>
              <w:rPr>
                <w:rFonts w:ascii="Arial" w:hAnsi="Arial" w:cs="Arial"/>
                <w:color w:val="000000" w:themeColor="text1"/>
                <w:sz w:val="20"/>
                <w:szCs w:val="20"/>
              </w:rPr>
            </w:pPr>
          </w:p>
          <w:p w14:paraId="085E41D3" w14:textId="4C99DBC9" w:rsidR="001E4C36" w:rsidRPr="00D40B19" w:rsidRDefault="001E4C3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30FF174" w14:textId="60654274" w:rsidR="001E4C36" w:rsidRPr="00D40B19" w:rsidRDefault="001E4C3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2015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B33725" w14:textId="726A56E6" w:rsidR="001E4C36" w:rsidRPr="00D40B19" w:rsidRDefault="001E4C36"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Multicenter </w:t>
            </w:r>
            <w:r w:rsidR="00857A3C" w:rsidRPr="00D40B19">
              <w:rPr>
                <w:rFonts w:ascii="Arial" w:hAnsi="Arial" w:cs="Arial"/>
                <w:color w:val="000000" w:themeColor="text1"/>
                <w:sz w:val="20"/>
                <w:szCs w:val="20"/>
              </w:rPr>
              <w:t>r</w:t>
            </w:r>
            <w:r w:rsidRPr="00D40B19">
              <w:rPr>
                <w:rFonts w:ascii="Arial" w:hAnsi="Arial" w:cs="Arial"/>
                <w:color w:val="000000" w:themeColor="text1"/>
                <w:sz w:val="20"/>
                <w:szCs w:val="20"/>
              </w:rPr>
              <w:t xml:space="preserve">etrospective </w:t>
            </w:r>
            <w:r w:rsidR="00857A3C" w:rsidRPr="00D40B19">
              <w:rPr>
                <w:rFonts w:ascii="Arial" w:hAnsi="Arial" w:cs="Arial"/>
                <w:color w:val="000000" w:themeColor="text1"/>
                <w:sz w:val="20"/>
                <w:szCs w:val="20"/>
              </w:rPr>
              <w:t xml:space="preserve"> study from </w:t>
            </w:r>
          </w:p>
          <w:p w14:paraId="21573DE4" w14:textId="2587214D" w:rsidR="001E4C36" w:rsidRPr="00D40B19" w:rsidRDefault="001E4C36"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United Network for Organ Sharing </w:t>
            </w:r>
            <w:r w:rsidR="00857A3C" w:rsidRPr="00D40B19">
              <w:rPr>
                <w:rFonts w:ascii="Arial" w:hAnsi="Arial" w:cs="Arial"/>
                <w:color w:val="000000" w:themeColor="text1"/>
                <w:sz w:val="20"/>
                <w:szCs w:val="20"/>
              </w:rPr>
              <w:t xml:space="preserve">(UNOS) </w:t>
            </w:r>
            <w:r w:rsidRPr="00D40B19">
              <w:rPr>
                <w:rFonts w:ascii="Arial" w:hAnsi="Arial" w:cs="Arial"/>
                <w:color w:val="000000" w:themeColor="text1"/>
                <w:sz w:val="20"/>
                <w:szCs w:val="20"/>
              </w:rPr>
              <w:t>database</w:t>
            </w:r>
          </w:p>
          <w:p w14:paraId="2AEE1731" w14:textId="77777777" w:rsidR="001E4C36" w:rsidRPr="00D40B19" w:rsidRDefault="001E4C36" w:rsidP="00D40B19">
            <w:pPr>
              <w:spacing w:line="240" w:lineRule="auto"/>
              <w:rPr>
                <w:rFonts w:ascii="Arial" w:hAnsi="Arial" w:cs="Arial"/>
                <w:color w:val="000000" w:themeColor="text1"/>
                <w:sz w:val="20"/>
                <w:szCs w:val="20"/>
              </w:rPr>
            </w:pPr>
          </w:p>
          <w:p w14:paraId="35AEB2A7" w14:textId="4C15502D" w:rsidR="001E4C36" w:rsidRPr="00D40B19" w:rsidRDefault="001E4C36" w:rsidP="00D40B19">
            <w:pPr>
              <w:spacing w:line="240" w:lineRule="auto"/>
              <w:contextualSpacing/>
              <w:rPr>
                <w:rFonts w:ascii="Arial"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C96862" w14:textId="0F04774E" w:rsidR="001E4C36" w:rsidRPr="00D40B19" w:rsidRDefault="00857A3C"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5</w:t>
            </w:r>
            <w:r w:rsidR="00F34813" w:rsidRPr="00D40B19">
              <w:rPr>
                <w:rFonts w:ascii="Arial" w:hAnsi="Arial" w:cs="Arial"/>
                <w:color w:val="000000" w:themeColor="text1"/>
                <w:sz w:val="20"/>
                <w:szCs w:val="20"/>
              </w:rPr>
              <w:t>,</w:t>
            </w:r>
            <w:r w:rsidRPr="00D40B19">
              <w:rPr>
                <w:rFonts w:ascii="Arial" w:hAnsi="Arial" w:cs="Arial"/>
                <w:color w:val="000000" w:themeColor="text1"/>
                <w:sz w:val="20"/>
                <w:szCs w:val="20"/>
              </w:rPr>
              <w:t>072 patients; m</w:t>
            </w:r>
            <w:r w:rsidR="001E4C36" w:rsidRPr="00D40B19">
              <w:rPr>
                <w:rFonts w:ascii="Arial" w:hAnsi="Arial" w:cs="Arial"/>
                <w:color w:val="000000" w:themeColor="text1"/>
                <w:sz w:val="20"/>
                <w:szCs w:val="20"/>
              </w:rPr>
              <w:t>ean age</w:t>
            </w:r>
            <w:r w:rsidRPr="00D40B19">
              <w:rPr>
                <w:rFonts w:ascii="Arial" w:hAnsi="Arial" w:cs="Arial"/>
                <w:color w:val="000000" w:themeColor="text1"/>
                <w:sz w:val="20"/>
                <w:szCs w:val="20"/>
              </w:rPr>
              <w:t xml:space="preserve">             6.2</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6.5 y</w:t>
            </w:r>
            <w:r w:rsidR="00F34813" w:rsidRPr="00D40B19">
              <w:rPr>
                <w:rFonts w:ascii="Arial" w:hAnsi="Arial" w:cs="Arial"/>
                <w:color w:val="000000" w:themeColor="text1"/>
                <w:sz w:val="20"/>
                <w:szCs w:val="20"/>
              </w:rPr>
              <w:t>ea</w:t>
            </w:r>
            <w:r w:rsidRPr="00D40B19">
              <w:rPr>
                <w:rFonts w:ascii="Arial" w:hAnsi="Arial" w:cs="Arial"/>
                <w:color w:val="000000" w:themeColor="text1"/>
                <w:sz w:val="20"/>
                <w:szCs w:val="20"/>
              </w:rPr>
              <w:t>rs</w:t>
            </w:r>
            <w:r w:rsidR="004365BE" w:rsidRPr="00D40B19">
              <w:rPr>
                <w:rFonts w:ascii="Arial" w:hAnsi="Arial" w:cs="Arial"/>
                <w:color w:val="000000" w:themeColor="text1"/>
                <w:sz w:val="20"/>
                <w:szCs w:val="20"/>
              </w:rPr>
              <w:t>;</w:t>
            </w:r>
            <w:r w:rsidR="00915BD0" w:rsidRPr="00D40B19">
              <w:rPr>
                <w:rFonts w:ascii="Arial" w:hAnsi="Arial" w:cs="Arial"/>
                <w:color w:val="000000" w:themeColor="text1"/>
                <w:sz w:val="20"/>
                <w:szCs w:val="20"/>
              </w:rPr>
              <w:t xml:space="preserve"> 8% w</w:t>
            </w:r>
            <w:r w:rsidR="00F34813" w:rsidRPr="00D40B19">
              <w:rPr>
                <w:rFonts w:ascii="Arial" w:hAnsi="Arial" w:cs="Arial"/>
                <w:color w:val="000000" w:themeColor="text1"/>
                <w:sz w:val="20"/>
                <w:szCs w:val="20"/>
              </w:rPr>
              <w:t xml:space="preserve">ith </w:t>
            </w:r>
            <w:r w:rsidR="00915BD0" w:rsidRPr="00D40B19">
              <w:rPr>
                <w:rFonts w:ascii="Arial" w:hAnsi="Arial" w:cs="Arial"/>
                <w:color w:val="000000" w:themeColor="text1"/>
                <w:sz w:val="20"/>
                <w:szCs w:val="20"/>
              </w:rPr>
              <w:t>ICDs</w:t>
            </w:r>
          </w:p>
          <w:p w14:paraId="0A087D66" w14:textId="16CBE797" w:rsidR="001E4C36" w:rsidRPr="00D40B19" w:rsidRDefault="001E4C36" w:rsidP="00D40B19">
            <w:pPr>
              <w:spacing w:line="240" w:lineRule="auto"/>
              <w:rPr>
                <w:rFonts w:ascii="Arial" w:hAnsi="Arial" w:cs="Arial"/>
                <w:color w:val="000000" w:themeColor="text1"/>
                <w:sz w:val="20"/>
                <w:szCs w:val="20"/>
                <w:u w:val="single"/>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BD5F05" w14:textId="3961960C" w:rsidR="00857A3C" w:rsidRPr="00D40B19" w:rsidRDefault="00857A3C"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&lt;18</w:t>
            </w:r>
            <w:r w:rsidR="00F34813" w:rsidRPr="00D40B19">
              <w:rPr>
                <w:rFonts w:ascii="Arial" w:hAnsi="Arial" w:cs="Arial"/>
                <w:color w:val="000000" w:themeColor="text1"/>
                <w:sz w:val="20"/>
                <w:szCs w:val="20"/>
              </w:rPr>
              <w:t xml:space="preserve"> years</w:t>
            </w:r>
            <w:r w:rsidR="0006779F" w:rsidRPr="00D40B19">
              <w:rPr>
                <w:rFonts w:ascii="Arial" w:hAnsi="Arial" w:cs="Arial"/>
                <w:color w:val="000000" w:themeColor="text1"/>
                <w:sz w:val="20"/>
                <w:szCs w:val="20"/>
              </w:rPr>
              <w:t xml:space="preserve"> of age</w:t>
            </w:r>
            <w:r w:rsidRPr="00D40B19">
              <w:rPr>
                <w:rFonts w:ascii="Arial" w:hAnsi="Arial" w:cs="Arial"/>
                <w:color w:val="000000" w:themeColor="text1"/>
                <w:sz w:val="20"/>
                <w:szCs w:val="20"/>
              </w:rPr>
              <w:t xml:space="preserve"> listed for heart transplant </w:t>
            </w:r>
          </w:p>
          <w:p w14:paraId="02BF6589" w14:textId="445AE19B" w:rsidR="001E4C36" w:rsidRPr="00D40B19" w:rsidRDefault="001E4C36"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A6E415" w14:textId="5E4DF722" w:rsidR="001E4C36" w:rsidRPr="00D40B19" w:rsidRDefault="00915BD0"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Sudden cardiac death</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93C0E" w14:textId="12A81A36" w:rsidR="00466999" w:rsidRPr="00D40B19" w:rsidRDefault="00466999"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 xml:space="preserve">Incidence of SCD 4%. By multivariate analysis: </w:t>
            </w:r>
            <w:r w:rsidR="0006779F" w:rsidRPr="00D40B19">
              <w:rPr>
                <w:rFonts w:ascii="Arial" w:hAnsi="Arial" w:cs="Arial"/>
                <w:color w:val="000000" w:themeColor="text1"/>
                <w:sz w:val="20"/>
                <w:szCs w:val="20"/>
              </w:rPr>
              <w:t xml:space="preserve">myocarditis </w:t>
            </w:r>
            <w:r w:rsidRPr="00D40B19">
              <w:rPr>
                <w:rFonts w:ascii="Arial" w:hAnsi="Arial" w:cs="Arial"/>
                <w:color w:val="000000" w:themeColor="text1"/>
                <w:sz w:val="20"/>
                <w:szCs w:val="20"/>
              </w:rPr>
              <w:t>(HR 0.2), R</w:t>
            </w:r>
            <w:r w:rsidR="00620147">
              <w:rPr>
                <w:rFonts w:ascii="Arial" w:hAnsi="Arial" w:cs="Arial"/>
                <w:color w:val="000000" w:themeColor="text1"/>
                <w:sz w:val="20"/>
                <w:szCs w:val="20"/>
              </w:rPr>
              <w:t>estrictive cardiomyopathy</w:t>
            </w:r>
            <w:r w:rsidRPr="00D40B19">
              <w:rPr>
                <w:rFonts w:ascii="Arial" w:hAnsi="Arial" w:cs="Arial"/>
                <w:color w:val="000000" w:themeColor="text1"/>
                <w:sz w:val="20"/>
                <w:szCs w:val="20"/>
              </w:rPr>
              <w:t xml:space="preserve"> (HR 0.2), and </w:t>
            </w:r>
            <w:r w:rsidR="00AE2EC8" w:rsidRPr="00D40B19">
              <w:rPr>
                <w:rFonts w:ascii="Arial" w:hAnsi="Arial" w:cs="Arial"/>
                <w:color w:val="000000" w:themeColor="text1"/>
                <w:sz w:val="20"/>
                <w:szCs w:val="20"/>
              </w:rPr>
              <w:t xml:space="preserve">dilated cardiomyopathy </w:t>
            </w:r>
            <w:r w:rsidRPr="00D40B19">
              <w:rPr>
                <w:rFonts w:ascii="Arial" w:hAnsi="Arial" w:cs="Arial"/>
                <w:color w:val="000000" w:themeColor="text1"/>
                <w:sz w:val="20"/>
                <w:szCs w:val="20"/>
              </w:rPr>
              <w:t xml:space="preserve">(HR 0.3) were associated with lower SCD risk. </w:t>
            </w:r>
          </w:p>
          <w:p w14:paraId="3488ACA9" w14:textId="7A6A3856" w:rsidR="00D85299" w:rsidRPr="00D40B19" w:rsidRDefault="00466999"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ICD at listing was not associated with reduced SCD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rPr>
              <w:t xml:space="preserve"> = .12), all-cause mortality, or delisting (</w:t>
            </w:r>
            <w:r w:rsidR="00EE2737" w:rsidRPr="00D40B19">
              <w:rPr>
                <w:rFonts w:ascii="Arial" w:hAnsi="Arial" w:cs="Arial"/>
                <w:i/>
                <w:iCs/>
                <w:color w:val="000000" w:themeColor="text1"/>
                <w:sz w:val="20"/>
                <w:szCs w:val="20"/>
                <w:shd w:val="clear" w:color="auto" w:fill="FFFFFF"/>
              </w:rPr>
              <w:t>P</w:t>
            </w:r>
            <w:r w:rsidRPr="00D40B19">
              <w:rPr>
                <w:rFonts w:ascii="Arial" w:hAnsi="Arial" w:cs="Arial"/>
                <w:color w:val="000000" w:themeColor="text1"/>
                <w:sz w:val="20"/>
                <w:szCs w:val="20"/>
              </w:rPr>
              <w:t xml:space="preserve"> = .57).</w:t>
            </w:r>
          </w:p>
        </w:tc>
      </w:tr>
      <w:tr w:rsidR="009D78BE" w:rsidRPr="009D78BE" w14:paraId="511BF12A" w14:textId="77777777" w:rsidTr="005A7328">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B1D59" w14:textId="58002783" w:rsidR="0057269D" w:rsidRPr="00D40B19" w:rsidRDefault="0057269D" w:rsidP="00D40B19">
            <w:pPr>
              <w:spacing w:line="240" w:lineRule="auto"/>
              <w:rPr>
                <w:rFonts w:ascii="Arial" w:hAnsi="Arial" w:cs="Arial"/>
                <w:color w:val="000000" w:themeColor="text1"/>
                <w:sz w:val="20"/>
                <w:szCs w:val="20"/>
                <w:vertAlign w:val="superscript"/>
              </w:rPr>
            </w:pPr>
            <w:r w:rsidRPr="00D40B19">
              <w:rPr>
                <w:rFonts w:ascii="Arial" w:hAnsi="Arial" w:cs="Arial"/>
                <w:color w:val="000000" w:themeColor="text1"/>
                <w:sz w:val="20"/>
                <w:szCs w:val="20"/>
              </w:rPr>
              <w:t>Rhee</w:t>
            </w:r>
            <w:r w:rsidR="00E81116" w:rsidRPr="00D40B19">
              <w:rPr>
                <w:rFonts w:ascii="Arial" w:hAnsi="Arial" w:cs="Arial"/>
                <w:bCs/>
                <w:color w:val="000000" w:themeColor="text1"/>
                <w:sz w:val="20"/>
                <w:szCs w:val="20"/>
              </w:rPr>
              <w:t xml:space="preserve"> et al</w:t>
            </w:r>
            <w:r w:rsidR="0006779F" w:rsidRPr="00D40B19">
              <w:rPr>
                <w:rFonts w:ascii="Arial" w:hAnsi="Arial" w:cs="Arial"/>
                <w:color w:val="000000" w:themeColor="text1"/>
                <w:sz w:val="20"/>
                <w:szCs w:val="20"/>
                <w:vertAlign w:val="superscript"/>
              </w:rPr>
              <w:t>200</w:t>
            </w:r>
          </w:p>
          <w:p w14:paraId="11E1BDE5" w14:textId="77777777" w:rsidR="0057269D" w:rsidRPr="00D40B19" w:rsidRDefault="0057269D" w:rsidP="00D40B19">
            <w:pPr>
              <w:spacing w:line="240" w:lineRule="auto"/>
              <w:rPr>
                <w:rFonts w:ascii="Arial" w:hAnsi="Arial" w:cs="Arial"/>
                <w:color w:val="000000" w:themeColor="text1"/>
                <w:sz w:val="20"/>
                <w:szCs w:val="20"/>
              </w:rPr>
            </w:pPr>
          </w:p>
          <w:p w14:paraId="1C3EB683" w14:textId="77777777" w:rsidR="0057269D" w:rsidRPr="00D40B19" w:rsidRDefault="0057269D" w:rsidP="00D40B19">
            <w:pPr>
              <w:spacing w:line="240" w:lineRule="auto"/>
              <w:rPr>
                <w:rFonts w:ascii="Arial" w:hAnsi="Arial" w:cs="Arial"/>
                <w:color w:val="000000" w:themeColor="text1"/>
                <w:sz w:val="20"/>
                <w:szCs w:val="20"/>
              </w:rPr>
            </w:pPr>
          </w:p>
          <w:p w14:paraId="2CEC7B89" w14:textId="77777777" w:rsidR="0057269D" w:rsidRPr="00D40B19" w:rsidRDefault="0057269D" w:rsidP="00D40B19">
            <w:pPr>
              <w:spacing w:line="240" w:lineRule="auto"/>
              <w:rPr>
                <w:rFonts w:ascii="Arial" w:hAnsi="Arial" w:cs="Arial"/>
                <w:color w:val="000000" w:themeColor="text1"/>
                <w:sz w:val="20"/>
                <w:szCs w:val="20"/>
              </w:rPr>
            </w:pPr>
          </w:p>
          <w:p w14:paraId="2E1CA89A" w14:textId="77777777" w:rsidR="0057269D" w:rsidRPr="00D40B19" w:rsidRDefault="0057269D"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DAAA" w14:textId="074BF63D" w:rsidR="0057269D" w:rsidRPr="00D40B19" w:rsidRDefault="0057269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2007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8322FDF" w14:textId="18F8B890" w:rsidR="0057269D" w:rsidRPr="00D40B19" w:rsidRDefault="0057269D"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w:t>
            </w:r>
          </w:p>
          <w:p w14:paraId="086329D9" w14:textId="77777777" w:rsidR="0057269D" w:rsidRPr="00D40B19" w:rsidRDefault="0057269D"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retrospective study from   Pediatric Heart Transplant Study (PHTS) database</w:t>
            </w:r>
          </w:p>
          <w:p w14:paraId="7CDD6081" w14:textId="77777777" w:rsidR="0057269D" w:rsidRPr="00D40B19" w:rsidRDefault="0057269D" w:rsidP="00D40B19">
            <w:pPr>
              <w:spacing w:line="240" w:lineRule="auto"/>
              <w:contextualSpacing/>
              <w:rPr>
                <w:rFonts w:ascii="Arial" w:hAnsi="Arial" w:cs="Arial"/>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CC3045" w14:textId="5F492746" w:rsidR="0057269D" w:rsidRPr="00D40B19" w:rsidRDefault="0057269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420 patients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74802C" w14:textId="149088C9" w:rsidR="0057269D" w:rsidRPr="00D40B19" w:rsidRDefault="0057269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≤18</w:t>
            </w:r>
            <w:r w:rsidR="00F34813"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y</w:t>
            </w:r>
            <w:r w:rsidR="00F34813" w:rsidRPr="00D40B19">
              <w:rPr>
                <w:rFonts w:ascii="Arial" w:hAnsi="Arial" w:cs="Arial"/>
                <w:color w:val="000000" w:themeColor="text1"/>
                <w:sz w:val="20"/>
                <w:szCs w:val="20"/>
              </w:rPr>
              <w:t>ears</w:t>
            </w:r>
            <w:r w:rsidR="0006779F" w:rsidRPr="00D40B19">
              <w:rPr>
                <w:rFonts w:ascii="Arial" w:hAnsi="Arial" w:cs="Arial"/>
                <w:color w:val="000000" w:themeColor="text1"/>
                <w:sz w:val="20"/>
                <w:szCs w:val="20"/>
              </w:rPr>
              <w:t xml:space="preserve"> of age</w:t>
            </w:r>
            <w:r w:rsidRPr="00D40B19">
              <w:rPr>
                <w:rFonts w:ascii="Arial" w:hAnsi="Arial" w:cs="Arial"/>
                <w:color w:val="000000" w:themeColor="text1"/>
                <w:sz w:val="20"/>
                <w:szCs w:val="20"/>
              </w:rPr>
              <w:t xml:space="preserve"> listed for transplant who died from any cause after listing but prior to heart transplantation</w:t>
            </w:r>
            <w:r w:rsidR="00F34813"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24 centers</w:t>
            </w:r>
          </w:p>
          <w:p w14:paraId="5B64A733" w14:textId="77777777" w:rsidR="0057269D" w:rsidRPr="00D40B19" w:rsidRDefault="0057269D"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6F2B17" w14:textId="07DC3CD2" w:rsidR="0057269D" w:rsidRPr="00D40B19" w:rsidRDefault="0057269D"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Death from any cause after listing but prior to heart transplantation</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D4E9D9" w14:textId="271607CD" w:rsidR="0057269D" w:rsidRPr="00D40B19" w:rsidRDefault="0057269D"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 xml:space="preserve">Only 32 deaths (1.3% of total listed, 7.6% of total deaths) were sudden or arrhythmic in nature. Those with ischemic </w:t>
            </w:r>
            <w:r w:rsidR="00755F49" w:rsidRPr="00D40B19">
              <w:rPr>
                <w:rFonts w:ascii="Arial" w:hAnsi="Arial" w:cs="Arial"/>
                <w:color w:val="000000" w:themeColor="text1"/>
                <w:sz w:val="20"/>
                <w:szCs w:val="20"/>
              </w:rPr>
              <w:t xml:space="preserve">cardiomyopathy </w:t>
            </w:r>
            <w:r w:rsidRPr="00D40B19">
              <w:rPr>
                <w:rFonts w:ascii="Arial" w:hAnsi="Arial" w:cs="Arial"/>
                <w:color w:val="000000" w:themeColor="text1"/>
                <w:sz w:val="20"/>
                <w:szCs w:val="20"/>
              </w:rPr>
              <w:t>had an increased risk of SCD (RR 6.92). Incidence of SCD in children awaiting heart transplantation is low.  Children with ischemic cardiomyopathy appear to have a higher risk of SCD and may benefit from ICD therapy.</w:t>
            </w:r>
          </w:p>
        </w:tc>
      </w:tr>
      <w:tr w:rsidR="009D78BE" w:rsidRPr="009D78BE" w14:paraId="3DEC759A" w14:textId="77777777" w:rsidTr="005A7328">
        <w:trPr>
          <w:trHeight w:val="576"/>
        </w:trPr>
        <w:tc>
          <w:tcPr>
            <w:tcW w:w="1241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50B2EA" w14:textId="359EACA6" w:rsidR="00CC17A5" w:rsidRPr="00D40B19" w:rsidRDefault="00195224" w:rsidP="00D40B19">
            <w:pPr>
              <w:spacing w:line="240" w:lineRule="auto"/>
              <w:rPr>
                <w:rFonts w:ascii="Arial" w:hAnsi="Arial" w:cs="Arial"/>
                <w:b/>
                <w:color w:val="000000" w:themeColor="text1"/>
                <w:sz w:val="24"/>
                <w:szCs w:val="24"/>
              </w:rPr>
            </w:pPr>
            <w:r w:rsidRPr="00D40B19">
              <w:rPr>
                <w:rFonts w:ascii="Arial" w:hAnsi="Arial" w:cs="Arial"/>
                <w:b/>
                <w:color w:val="000000" w:themeColor="text1"/>
                <w:sz w:val="24"/>
                <w:szCs w:val="24"/>
              </w:rPr>
              <w:t xml:space="preserve">Congenital </w:t>
            </w:r>
            <w:r w:rsidR="006D10B9" w:rsidRPr="009D78BE">
              <w:rPr>
                <w:rFonts w:ascii="Arial" w:hAnsi="Arial" w:cs="Arial"/>
                <w:b/>
                <w:color w:val="000000" w:themeColor="text1"/>
                <w:sz w:val="24"/>
                <w:szCs w:val="24"/>
              </w:rPr>
              <w:t>Heart Disease</w:t>
            </w:r>
          </w:p>
        </w:tc>
      </w:tr>
      <w:tr w:rsidR="009D78BE" w:rsidRPr="009D78BE" w14:paraId="2804AC28"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53F106" w14:textId="2AF0AD1A"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Study author and reference</w:t>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34F8" w14:textId="6E2D9163"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Year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C6D401" w14:textId="2FDF7C0A"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DBFEFE6" w14:textId="622B959E" w:rsidR="009D128D" w:rsidRPr="00D40B19" w:rsidRDefault="009D128D" w:rsidP="006B5FB2">
            <w:pPr>
              <w:spacing w:after="0" w:line="240" w:lineRule="auto"/>
              <w:contextualSpacing/>
              <w:rPr>
                <w:rFonts w:ascii="Arial" w:hAnsi="Arial" w:cs="Arial"/>
                <w:bCs/>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63139C" w14:textId="3EBF67F2"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F42555" w14:textId="6C326F47" w:rsidR="009D128D" w:rsidRPr="00D40B19" w:rsidRDefault="009D128D" w:rsidP="00D40B19">
            <w:pPr>
              <w:spacing w:line="240" w:lineRule="auto"/>
              <w:rPr>
                <w:rFonts w:ascii="Arial" w:hAnsi="Arial" w:cs="Arial"/>
                <w:color w:val="000000" w:themeColor="text1"/>
              </w:rPr>
            </w:pPr>
            <w:r w:rsidRPr="00D40B19">
              <w:rPr>
                <w:rFonts w:ascii="Arial" w:hAnsi="Arial" w:cs="Arial"/>
                <w:b/>
                <w:color w:val="000000" w:themeColor="text1"/>
              </w:rPr>
              <w:t>Endpoints</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09AA" w14:textId="2DA9F42F" w:rsidR="009D128D" w:rsidRPr="00D40B19" w:rsidRDefault="009D128D" w:rsidP="00D40B19">
            <w:pPr>
              <w:spacing w:line="240" w:lineRule="auto"/>
              <w:ind w:left="151"/>
              <w:rPr>
                <w:rFonts w:ascii="Arial" w:hAnsi="Arial" w:cs="Arial"/>
                <w:color w:val="000000" w:themeColor="text1"/>
                <w:shd w:val="clear" w:color="auto" w:fill="FFFFFF"/>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4E8D49D6"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723FD7" w14:textId="1AE429CF" w:rsidR="00432D76" w:rsidRPr="00D40B19" w:rsidRDefault="00432D76" w:rsidP="00D40B19">
            <w:pPr>
              <w:spacing w:line="240" w:lineRule="auto"/>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Silka</w:t>
            </w:r>
            <w:proofErr w:type="spellEnd"/>
            <w:r w:rsidR="00E81116" w:rsidRPr="00D40B19">
              <w:rPr>
                <w:rFonts w:ascii="Arial" w:hAnsi="Arial" w:cs="Arial"/>
                <w:bCs/>
                <w:color w:val="000000" w:themeColor="text1"/>
                <w:sz w:val="20"/>
                <w:szCs w:val="20"/>
              </w:rPr>
              <w:t xml:space="preserve"> et al</w:t>
            </w:r>
            <w:r w:rsidR="0057269D" w:rsidRPr="00D40B19">
              <w:rPr>
                <w:rFonts w:ascii="Arial" w:hAnsi="Arial" w:cs="Arial"/>
                <w:color w:val="000000" w:themeColor="text1"/>
                <w:sz w:val="20"/>
                <w:szCs w:val="20"/>
                <w:vertAlign w:val="superscript"/>
              </w:rPr>
              <w:t>129</w:t>
            </w:r>
          </w:p>
          <w:p w14:paraId="57FFF6A0" w14:textId="77777777" w:rsidR="00432D76" w:rsidRPr="00D40B19" w:rsidRDefault="00432D76" w:rsidP="00D40B19">
            <w:pPr>
              <w:spacing w:line="240" w:lineRule="auto"/>
              <w:rPr>
                <w:rFonts w:ascii="Arial" w:hAnsi="Arial" w:cs="Arial"/>
                <w:color w:val="000000" w:themeColor="text1"/>
                <w:sz w:val="20"/>
                <w:szCs w:val="20"/>
              </w:rPr>
            </w:pPr>
          </w:p>
          <w:p w14:paraId="30EFF62C" w14:textId="38A2799F" w:rsidR="00432D76" w:rsidRPr="00D40B19" w:rsidRDefault="00432D7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C3D5F9" w14:textId="0D7434A0"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1993</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3A4FE7" w14:textId="769E5E4A" w:rsidR="00BE4E41"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Multicenter</w:t>
            </w:r>
            <w:r w:rsidR="00BE4E41" w:rsidRPr="00D40B19">
              <w:rPr>
                <w:rFonts w:ascii="Arial" w:hAnsi="Arial" w:cs="Arial"/>
                <w:color w:val="000000" w:themeColor="text1"/>
                <w:sz w:val="20"/>
                <w:szCs w:val="20"/>
              </w:rPr>
              <w:t xml:space="preserve"> r</w:t>
            </w:r>
            <w:r w:rsidRPr="00D40B19">
              <w:rPr>
                <w:rFonts w:ascii="Arial" w:hAnsi="Arial" w:cs="Arial"/>
                <w:color w:val="000000" w:themeColor="text1"/>
                <w:sz w:val="20"/>
                <w:szCs w:val="20"/>
              </w:rPr>
              <w:t>etrospective</w:t>
            </w:r>
            <w:r w:rsidR="0058087D" w:rsidRPr="00D40B19">
              <w:rPr>
                <w:rFonts w:ascii="Arial" w:hAnsi="Arial" w:cs="Arial"/>
                <w:color w:val="000000" w:themeColor="text1"/>
                <w:sz w:val="20"/>
                <w:szCs w:val="20"/>
              </w:rPr>
              <w:t xml:space="preserve"> </w:t>
            </w:r>
            <w:r w:rsidR="00E6304A" w:rsidRPr="00D40B19">
              <w:rPr>
                <w:rFonts w:ascii="Arial" w:hAnsi="Arial" w:cs="Arial"/>
                <w:color w:val="000000" w:themeColor="text1"/>
                <w:sz w:val="20"/>
                <w:szCs w:val="20"/>
              </w:rPr>
              <w:t xml:space="preserve"> study</w:t>
            </w:r>
          </w:p>
          <w:p w14:paraId="0C164AFA" w14:textId="77777777" w:rsidR="00432D76" w:rsidRPr="00D40B19" w:rsidRDefault="00432D76" w:rsidP="00D40B19">
            <w:pPr>
              <w:spacing w:line="240" w:lineRule="auto"/>
              <w:rPr>
                <w:rFonts w:ascii="Arial" w:hAnsi="Arial" w:cs="Arial"/>
                <w:color w:val="000000" w:themeColor="text1"/>
                <w:sz w:val="20"/>
                <w:szCs w:val="20"/>
              </w:rPr>
            </w:pPr>
          </w:p>
          <w:p w14:paraId="73F458B7" w14:textId="77777777" w:rsidR="00432D76" w:rsidRPr="00D40B19" w:rsidRDefault="00432D76" w:rsidP="00D40B19">
            <w:pPr>
              <w:spacing w:line="240" w:lineRule="auto"/>
              <w:contextualSpacing/>
              <w:rPr>
                <w:rFonts w:ascii="Arial"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E471F8D" w14:textId="7F4BCDA0" w:rsidR="00432D76" w:rsidRPr="00D40B19" w:rsidRDefault="00432D76" w:rsidP="006B5FB2">
            <w:pPr>
              <w:spacing w:after="0" w:line="240" w:lineRule="auto"/>
              <w:contextualSpacing/>
              <w:rPr>
                <w:rFonts w:ascii="Arial" w:hAnsi="Arial" w:cs="Arial"/>
                <w:bCs/>
                <w:color w:val="000000" w:themeColor="text1"/>
                <w:sz w:val="20"/>
                <w:szCs w:val="20"/>
              </w:rPr>
            </w:pPr>
            <w:r w:rsidRPr="00D40B19">
              <w:rPr>
                <w:rFonts w:ascii="Arial" w:hAnsi="Arial" w:cs="Arial"/>
                <w:bCs/>
                <w:color w:val="000000" w:themeColor="text1"/>
                <w:sz w:val="20"/>
                <w:szCs w:val="20"/>
              </w:rPr>
              <w:t>125</w:t>
            </w:r>
            <w:r w:rsidR="004B70C4" w:rsidRPr="00D40B19">
              <w:rPr>
                <w:rFonts w:ascii="Arial" w:hAnsi="Arial" w:cs="Arial"/>
                <w:color w:val="000000" w:themeColor="text1"/>
                <w:sz w:val="20"/>
                <w:szCs w:val="20"/>
              </w:rPr>
              <w:t xml:space="preserve"> patients; 18% patients with</w:t>
            </w:r>
          </w:p>
          <w:p w14:paraId="616C5D32" w14:textId="5F5A3382" w:rsidR="00432D76" w:rsidRPr="00D40B19" w:rsidRDefault="00432D76" w:rsidP="006B5FB2">
            <w:pPr>
              <w:spacing w:after="0" w:line="240" w:lineRule="auto"/>
              <w:contextualSpacing/>
              <w:rPr>
                <w:rFonts w:ascii="Arial" w:hAnsi="Arial" w:cs="Arial"/>
                <w:bCs/>
                <w:color w:val="000000" w:themeColor="text1"/>
                <w:sz w:val="20"/>
                <w:szCs w:val="20"/>
              </w:rPr>
            </w:pPr>
            <w:r w:rsidRPr="00D40B19">
              <w:rPr>
                <w:rFonts w:ascii="Arial" w:hAnsi="Arial" w:cs="Arial"/>
                <w:bCs/>
                <w:color w:val="000000" w:themeColor="text1"/>
                <w:sz w:val="20"/>
                <w:szCs w:val="20"/>
              </w:rPr>
              <w:t>CHD</w:t>
            </w:r>
            <w:r w:rsidR="004B70C4" w:rsidRPr="00D40B19">
              <w:rPr>
                <w:rFonts w:ascii="Arial" w:hAnsi="Arial" w:cs="Arial"/>
                <w:bCs/>
                <w:color w:val="000000" w:themeColor="text1"/>
                <w:sz w:val="20"/>
                <w:szCs w:val="20"/>
              </w:rPr>
              <w:t>; m</w:t>
            </w:r>
            <w:r w:rsidRPr="00D40B19">
              <w:rPr>
                <w:rFonts w:ascii="Arial" w:hAnsi="Arial" w:cs="Arial"/>
                <w:bCs/>
                <w:color w:val="000000" w:themeColor="text1"/>
                <w:sz w:val="20"/>
                <w:szCs w:val="20"/>
              </w:rPr>
              <w:t>ean age 14.5 y</w:t>
            </w:r>
            <w:r w:rsidR="00E35A4F" w:rsidRPr="00D40B19">
              <w:rPr>
                <w:rFonts w:ascii="Arial" w:hAnsi="Arial" w:cs="Arial"/>
                <w:bCs/>
                <w:color w:val="000000" w:themeColor="text1"/>
                <w:sz w:val="20"/>
                <w:szCs w:val="20"/>
              </w:rPr>
              <w:t>ea</w:t>
            </w:r>
            <w:r w:rsidRPr="00D40B19">
              <w:rPr>
                <w:rFonts w:ascii="Arial" w:hAnsi="Arial" w:cs="Arial"/>
                <w:bCs/>
                <w:color w:val="000000" w:themeColor="text1"/>
                <w:sz w:val="20"/>
                <w:szCs w:val="20"/>
              </w:rPr>
              <w:t>rs</w:t>
            </w:r>
          </w:p>
          <w:p w14:paraId="7FFC6B93" w14:textId="77777777" w:rsidR="00432D76" w:rsidRPr="00D40B19" w:rsidRDefault="00432D76" w:rsidP="00D40B19">
            <w:pPr>
              <w:spacing w:line="240" w:lineRule="auto"/>
              <w:rPr>
                <w:rFonts w:ascii="Arial" w:hAnsi="Arial" w:cs="Arial"/>
                <w:color w:val="000000" w:themeColor="text1"/>
                <w:sz w:val="20"/>
                <w:szCs w:val="20"/>
                <w:u w:val="single"/>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B7DEF7" w14:textId="2276FB50"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lastRenderedPageBreak/>
              <w:t xml:space="preserve"> &lt;20 y</w:t>
            </w:r>
            <w:r w:rsidR="000B3A0C" w:rsidRPr="00D40B19">
              <w:rPr>
                <w:rFonts w:ascii="Arial" w:hAnsi="Arial" w:cs="Arial"/>
                <w:color w:val="000000" w:themeColor="text1"/>
                <w:sz w:val="20"/>
                <w:szCs w:val="20"/>
              </w:rPr>
              <w:t>ears</w:t>
            </w:r>
            <w:r w:rsidR="0006779F" w:rsidRPr="00D40B19">
              <w:rPr>
                <w:rFonts w:ascii="Arial" w:hAnsi="Arial" w:cs="Arial"/>
                <w:color w:val="000000" w:themeColor="text1"/>
                <w:sz w:val="20"/>
                <w:szCs w:val="20"/>
              </w:rPr>
              <w:t xml:space="preserve"> of age</w:t>
            </w:r>
            <w:r w:rsidRPr="00D40B19">
              <w:rPr>
                <w:rFonts w:ascii="Arial" w:hAnsi="Arial" w:cs="Arial"/>
                <w:color w:val="000000" w:themeColor="text1"/>
                <w:sz w:val="20"/>
                <w:szCs w:val="20"/>
              </w:rPr>
              <w:t xml:space="preserve"> at the time of ICD implantation</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11E35E" w14:textId="4993F3EB"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ICD therapy and all-cause mortality</w:t>
            </w:r>
          </w:p>
          <w:p w14:paraId="5F4C3CE0" w14:textId="77777777" w:rsidR="00432D76" w:rsidRPr="00D40B19" w:rsidRDefault="00432D76" w:rsidP="00D40B19">
            <w:pPr>
              <w:spacing w:line="240" w:lineRule="auto"/>
              <w:rPr>
                <w:rFonts w:ascii="Arial" w:hAnsi="Arial" w:cs="Arial"/>
                <w:color w:val="000000" w:themeColor="text1"/>
                <w:sz w:val="20"/>
                <w:szCs w:val="20"/>
              </w:rPr>
            </w:pPr>
          </w:p>
          <w:p w14:paraId="55F1673F" w14:textId="587B5251" w:rsidR="00432D76" w:rsidRPr="00D40B19" w:rsidRDefault="00432D76" w:rsidP="00D40B19">
            <w:pPr>
              <w:spacing w:line="240" w:lineRule="auto"/>
              <w:contextualSpacing/>
              <w:rPr>
                <w:rFonts w:ascii="Arial" w:hAnsi="Arial" w:cs="Arial"/>
                <w:color w:val="000000" w:themeColor="text1"/>
                <w:sz w:val="20"/>
                <w:szCs w:val="20"/>
              </w:rPr>
            </w:pP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C85244" w14:textId="4C015FA1" w:rsidR="00432D76" w:rsidRPr="00D40B19" w:rsidRDefault="00432D76"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shd w:val="clear" w:color="auto" w:fill="FFFFFF"/>
              </w:rPr>
              <w:t xml:space="preserve">Secondary prevention ICDs; </w:t>
            </w:r>
            <w:r w:rsidRPr="00D40B19">
              <w:rPr>
                <w:rFonts w:ascii="Arial" w:hAnsi="Arial" w:cs="Arial"/>
                <w:color w:val="000000" w:themeColor="text1"/>
                <w:sz w:val="20"/>
                <w:szCs w:val="20"/>
              </w:rPr>
              <w:t>59% received appropriate ICD shock following ICD implant.</w:t>
            </w:r>
          </w:p>
          <w:p w14:paraId="4208BBF7" w14:textId="77777777" w:rsidR="00432D76" w:rsidRPr="00D40B19" w:rsidRDefault="00432D76" w:rsidP="00D40B19">
            <w:pPr>
              <w:spacing w:line="240" w:lineRule="auto"/>
              <w:ind w:left="151"/>
              <w:rPr>
                <w:rFonts w:ascii="Arial" w:hAnsi="Arial" w:cs="Arial"/>
                <w:color w:val="000000" w:themeColor="text1"/>
                <w:sz w:val="20"/>
                <w:szCs w:val="20"/>
              </w:rPr>
            </w:pPr>
            <w:r w:rsidRPr="00D40B19">
              <w:rPr>
                <w:rFonts w:ascii="Arial" w:hAnsi="Arial" w:cs="Arial"/>
                <w:color w:val="000000" w:themeColor="text1"/>
                <w:sz w:val="20"/>
                <w:szCs w:val="20"/>
              </w:rPr>
              <w:t xml:space="preserve">Impaired ventricular function was the primary factor </w:t>
            </w:r>
            <w:r w:rsidRPr="00D40B19">
              <w:rPr>
                <w:rFonts w:ascii="Arial" w:hAnsi="Arial" w:cs="Arial"/>
                <w:color w:val="000000" w:themeColor="text1"/>
                <w:sz w:val="20"/>
                <w:szCs w:val="20"/>
              </w:rPr>
              <w:lastRenderedPageBreak/>
              <w:t>correlated with mortality post ICD implant.</w:t>
            </w:r>
          </w:p>
          <w:p w14:paraId="2912BA99" w14:textId="1D9A4BFB" w:rsidR="00432D76" w:rsidRPr="00D40B19" w:rsidRDefault="00432D76" w:rsidP="00D40B19">
            <w:pPr>
              <w:spacing w:line="240" w:lineRule="auto"/>
              <w:ind w:left="151"/>
              <w:contextualSpacing/>
              <w:rPr>
                <w:rFonts w:ascii="Arial" w:hAnsi="Arial" w:cs="Arial"/>
                <w:color w:val="000000" w:themeColor="text1"/>
                <w:sz w:val="20"/>
                <w:szCs w:val="20"/>
              </w:rPr>
            </w:pPr>
          </w:p>
        </w:tc>
      </w:tr>
      <w:tr w:rsidR="009D78BE" w:rsidRPr="009D78BE" w14:paraId="77746B65"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1FD496" w14:textId="615EDE89" w:rsidR="00432D76" w:rsidRPr="00D40B19" w:rsidRDefault="00432D76" w:rsidP="00D40B19">
            <w:pPr>
              <w:spacing w:line="240" w:lineRule="auto"/>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lastRenderedPageBreak/>
              <w:t>Berul</w:t>
            </w:r>
            <w:proofErr w:type="spellEnd"/>
            <w:r w:rsidR="00E81116" w:rsidRPr="00D40B19">
              <w:rPr>
                <w:rFonts w:ascii="Arial" w:hAnsi="Arial" w:cs="Arial"/>
                <w:bCs/>
                <w:color w:val="000000" w:themeColor="text1"/>
                <w:sz w:val="20"/>
                <w:szCs w:val="20"/>
              </w:rPr>
              <w:t xml:space="preserve"> et al</w:t>
            </w:r>
            <w:r w:rsidR="0057269D" w:rsidRPr="00D40B19">
              <w:rPr>
                <w:rFonts w:ascii="Arial" w:hAnsi="Arial" w:cs="Arial"/>
                <w:color w:val="000000" w:themeColor="text1"/>
                <w:sz w:val="20"/>
                <w:szCs w:val="20"/>
                <w:vertAlign w:val="superscript"/>
              </w:rPr>
              <w:t>130</w:t>
            </w:r>
          </w:p>
          <w:p w14:paraId="342B60E0" w14:textId="77777777" w:rsidR="00432D76" w:rsidRPr="00D40B19" w:rsidRDefault="00432D76" w:rsidP="00D40B19">
            <w:pPr>
              <w:spacing w:line="240" w:lineRule="auto"/>
              <w:rPr>
                <w:rFonts w:ascii="Arial" w:hAnsi="Arial" w:cs="Arial"/>
                <w:color w:val="000000" w:themeColor="text1"/>
                <w:sz w:val="20"/>
                <w:szCs w:val="20"/>
              </w:rPr>
            </w:pPr>
          </w:p>
          <w:p w14:paraId="1D5670CF" w14:textId="32A8F914" w:rsidR="00432D76" w:rsidRPr="00D40B19" w:rsidRDefault="00432D7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832756A" w14:textId="7A131473"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2008</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F3088" w14:textId="7ED14AC5"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Multicenter</w:t>
            </w:r>
            <w:r w:rsidR="00BE4E41" w:rsidRPr="00D40B19">
              <w:rPr>
                <w:rFonts w:ascii="Arial" w:hAnsi="Arial" w:cs="Arial"/>
                <w:color w:val="000000" w:themeColor="text1"/>
                <w:sz w:val="20"/>
                <w:szCs w:val="20"/>
              </w:rPr>
              <w:t xml:space="preserve"> r</w:t>
            </w:r>
            <w:r w:rsidRPr="00D40B19">
              <w:rPr>
                <w:rFonts w:ascii="Arial" w:hAnsi="Arial" w:cs="Arial"/>
                <w:color w:val="000000" w:themeColor="text1"/>
                <w:sz w:val="20"/>
                <w:szCs w:val="20"/>
              </w:rPr>
              <w:t>etrospective</w:t>
            </w:r>
            <w:r w:rsidR="00BE4E41" w:rsidRPr="00D40B19">
              <w:rPr>
                <w:rFonts w:ascii="Arial" w:hAnsi="Arial" w:cs="Arial"/>
                <w:color w:val="000000" w:themeColor="text1"/>
                <w:sz w:val="20"/>
                <w:szCs w:val="20"/>
              </w:rPr>
              <w:t xml:space="preserve"> </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85C71E" w14:textId="79DE5650"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443 </w:t>
            </w:r>
            <w:r w:rsidR="004B70C4" w:rsidRPr="00D40B19">
              <w:rPr>
                <w:rFonts w:ascii="Arial" w:hAnsi="Arial" w:cs="Arial"/>
                <w:color w:val="000000" w:themeColor="text1"/>
                <w:sz w:val="20"/>
                <w:szCs w:val="20"/>
              </w:rPr>
              <w:t xml:space="preserve"> patients; 46% with </w:t>
            </w:r>
            <w:r w:rsidRPr="00D40B19">
              <w:rPr>
                <w:rFonts w:ascii="Arial" w:hAnsi="Arial" w:cs="Arial"/>
                <w:color w:val="000000" w:themeColor="text1"/>
                <w:sz w:val="20"/>
                <w:szCs w:val="20"/>
              </w:rPr>
              <w:t xml:space="preserve">            CHD</w:t>
            </w:r>
            <w:r w:rsidR="004B70C4" w:rsidRPr="00D40B19">
              <w:rPr>
                <w:rFonts w:ascii="Arial" w:hAnsi="Arial" w:cs="Arial"/>
                <w:color w:val="000000" w:themeColor="text1"/>
                <w:sz w:val="20"/>
                <w:szCs w:val="20"/>
              </w:rPr>
              <w:t>; m</w:t>
            </w:r>
            <w:r w:rsidRPr="00D40B19">
              <w:rPr>
                <w:rFonts w:ascii="Arial" w:hAnsi="Arial" w:cs="Arial"/>
                <w:color w:val="000000" w:themeColor="text1"/>
                <w:sz w:val="20"/>
                <w:szCs w:val="20"/>
              </w:rPr>
              <w:t>edian age 16 y</w:t>
            </w:r>
            <w:r w:rsidR="00E35A4F"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238776" w14:textId="77777777"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Pediatric and ACHD patients with ICDs</w:t>
            </w:r>
          </w:p>
          <w:p w14:paraId="4434B173" w14:textId="0D90869B" w:rsidR="00432D76" w:rsidRPr="00D40B19" w:rsidRDefault="00432D76"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8863AB" w14:textId="61A226BC" w:rsidR="00432D76" w:rsidRPr="00D40B19" w:rsidRDefault="00432D76"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ICD shock and device complications </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F645742" w14:textId="6C4A1642" w:rsidR="00432D76" w:rsidRPr="00D40B19" w:rsidRDefault="00432D76" w:rsidP="00D40B19">
            <w:pPr>
              <w:spacing w:line="240" w:lineRule="auto"/>
              <w:ind w:left="151" w:right="91"/>
              <w:rPr>
                <w:rFonts w:ascii="Arial" w:hAnsi="Arial" w:cs="Arial"/>
                <w:color w:val="000000" w:themeColor="text1"/>
                <w:sz w:val="20"/>
                <w:szCs w:val="20"/>
              </w:rPr>
            </w:pPr>
            <w:r w:rsidRPr="00D40B19">
              <w:rPr>
                <w:rFonts w:ascii="Arial" w:hAnsi="Arial" w:cs="Arial"/>
                <w:color w:val="000000" w:themeColor="text1"/>
                <w:sz w:val="20"/>
                <w:szCs w:val="20"/>
              </w:rPr>
              <w:t xml:space="preserve">Frequent inappropriate (21%) and appropriate (26%) </w:t>
            </w:r>
            <w:r w:rsidR="00755F49" w:rsidRPr="00D40B19">
              <w:rPr>
                <w:rFonts w:ascii="Arial" w:hAnsi="Arial" w:cs="Arial"/>
                <w:color w:val="000000" w:themeColor="text1"/>
                <w:sz w:val="20"/>
                <w:szCs w:val="20"/>
              </w:rPr>
              <w:t xml:space="preserve">shocks </w:t>
            </w:r>
            <w:r w:rsidRPr="00D40B19">
              <w:rPr>
                <w:rFonts w:ascii="Arial" w:hAnsi="Arial" w:cs="Arial"/>
                <w:color w:val="000000" w:themeColor="text1"/>
                <w:sz w:val="20"/>
                <w:szCs w:val="20"/>
              </w:rPr>
              <w:t>in diverse disease. Lead failure was the most common cause of inappropriate shock</w:t>
            </w:r>
            <w:r w:rsidR="00755F49" w:rsidRPr="00D40B19">
              <w:rPr>
                <w:rFonts w:ascii="Arial" w:hAnsi="Arial" w:cs="Arial"/>
                <w:color w:val="000000" w:themeColor="text1"/>
                <w:sz w:val="20"/>
                <w:szCs w:val="20"/>
              </w:rPr>
              <w:t>.</w:t>
            </w:r>
          </w:p>
        </w:tc>
      </w:tr>
      <w:tr w:rsidR="009D78BE" w:rsidRPr="009D78BE" w14:paraId="1D133358"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A84C9A" w14:textId="11C88B76" w:rsidR="0057269D" w:rsidRPr="00D40B19" w:rsidRDefault="0057269D" w:rsidP="00D40B19">
            <w:pPr>
              <w:spacing w:line="240" w:lineRule="auto"/>
              <w:rPr>
                <w:rFonts w:ascii="Arial" w:eastAsiaTheme="minorHAnsi" w:hAnsi="Arial" w:cs="Arial"/>
                <w:noProof/>
                <w:color w:val="000000" w:themeColor="text1"/>
                <w:sz w:val="20"/>
                <w:szCs w:val="20"/>
              </w:rPr>
            </w:pPr>
            <w:r w:rsidRPr="00D40B19">
              <w:rPr>
                <w:rFonts w:ascii="Arial" w:hAnsi="Arial" w:cs="Arial"/>
                <w:color w:val="000000" w:themeColor="text1"/>
                <w:sz w:val="20"/>
                <w:szCs w:val="20"/>
              </w:rPr>
              <w:t>Von Bergen</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131</w:t>
            </w:r>
            <w:r w:rsidRPr="00D40B19">
              <w:rPr>
                <w:rFonts w:ascii="Arial" w:hAnsi="Arial" w:cs="Arial"/>
                <w:color w:val="000000" w:themeColor="text1"/>
                <w:sz w:val="20"/>
                <w:szCs w:val="20"/>
              </w:rPr>
              <w:t xml:space="preserve"> </w:t>
            </w:r>
          </w:p>
          <w:p w14:paraId="7A8F8FDA" w14:textId="77777777" w:rsidR="0057269D" w:rsidRPr="00D40B19" w:rsidRDefault="0057269D" w:rsidP="00D40B19">
            <w:pPr>
              <w:spacing w:line="240" w:lineRule="auto"/>
              <w:rPr>
                <w:rFonts w:ascii="Arial" w:hAnsi="Arial" w:cs="Arial"/>
                <w:noProof/>
                <w:color w:val="000000" w:themeColor="text1"/>
                <w:sz w:val="20"/>
                <w:szCs w:val="20"/>
              </w:rPr>
            </w:pPr>
          </w:p>
          <w:p w14:paraId="4ABE8B6D" w14:textId="65636F12" w:rsidR="0057269D" w:rsidRPr="00D40B19" w:rsidRDefault="0057269D"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0AF79F88" w14:textId="277FA1E9" w:rsidR="0057269D" w:rsidRPr="00D40B19" w:rsidRDefault="0057269D" w:rsidP="00D40B19">
            <w:pPr>
              <w:spacing w:line="240" w:lineRule="auto"/>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bdr w:val="none" w:sz="0" w:space="0" w:color="auto" w:frame="1"/>
              </w:rPr>
              <w:t>2011</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7334E5" w14:textId="32E36719" w:rsidR="0057269D" w:rsidRPr="00D40B19" w:rsidRDefault="0057269D" w:rsidP="00D40B19">
            <w:pPr>
              <w:spacing w:line="240" w:lineRule="auto"/>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bdr w:val="none" w:sz="0" w:space="0" w:color="auto" w:frame="1"/>
              </w:rPr>
              <w:t xml:space="preserve">Multicenter </w:t>
            </w:r>
            <w:r w:rsidR="0006779F" w:rsidRPr="00D40B19">
              <w:rPr>
                <w:rFonts w:ascii="Arial" w:hAnsi="Arial" w:cs="Arial"/>
                <w:color w:val="000000" w:themeColor="text1"/>
                <w:sz w:val="20"/>
                <w:szCs w:val="20"/>
                <w:bdr w:val="none" w:sz="0" w:space="0" w:color="auto" w:frame="1"/>
              </w:rPr>
              <w:t>retrospective study</w:t>
            </w:r>
          </w:p>
          <w:p w14:paraId="58AFCA18" w14:textId="77777777" w:rsidR="0057269D" w:rsidRPr="00D40B19" w:rsidRDefault="0057269D" w:rsidP="00D40B19">
            <w:pPr>
              <w:spacing w:line="240" w:lineRule="auto"/>
              <w:rPr>
                <w:rFonts w:ascii="Arial" w:hAnsi="Arial" w:cs="Arial"/>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E8E291" w14:textId="736664EF" w:rsidR="0057269D" w:rsidRPr="00D40B19" w:rsidRDefault="0057269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210    </w:t>
            </w:r>
            <w:r w:rsidR="004B70C4" w:rsidRPr="00D40B19">
              <w:rPr>
                <w:rFonts w:ascii="Arial" w:hAnsi="Arial" w:cs="Arial"/>
                <w:color w:val="000000" w:themeColor="text1"/>
                <w:sz w:val="20"/>
                <w:szCs w:val="20"/>
              </w:rPr>
              <w:t xml:space="preserve"> patients; 28% with</w:t>
            </w:r>
            <w:r w:rsidRPr="00D40B19">
              <w:rPr>
                <w:rFonts w:ascii="Arial" w:hAnsi="Arial" w:cs="Arial"/>
                <w:color w:val="000000" w:themeColor="text1"/>
                <w:sz w:val="20"/>
                <w:szCs w:val="20"/>
              </w:rPr>
              <w:t xml:space="preserve">              CHD</w:t>
            </w:r>
            <w:r w:rsidR="004B70C4" w:rsidRPr="00D40B19">
              <w:rPr>
                <w:rFonts w:ascii="Arial" w:hAnsi="Arial" w:cs="Arial"/>
                <w:color w:val="000000" w:themeColor="text1"/>
                <w:sz w:val="20"/>
                <w:szCs w:val="20"/>
              </w:rPr>
              <w:t>; m</w:t>
            </w:r>
            <w:r w:rsidRPr="00D40B19">
              <w:rPr>
                <w:rFonts w:ascii="Arial" w:hAnsi="Arial" w:cs="Arial"/>
                <w:color w:val="000000" w:themeColor="text1"/>
                <w:sz w:val="20"/>
                <w:szCs w:val="20"/>
              </w:rPr>
              <w:t>edian age  15 y</w:t>
            </w:r>
            <w:r w:rsidR="00E35A4F"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8CB71" w14:textId="3A3B0CAD" w:rsidR="0057269D" w:rsidRPr="00D40B19" w:rsidRDefault="0057269D"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&lt;30 y</w:t>
            </w:r>
            <w:r w:rsidR="00EE2737" w:rsidRPr="00D40B19">
              <w:rPr>
                <w:rFonts w:ascii="Arial" w:hAnsi="Arial" w:cs="Arial"/>
                <w:color w:val="000000" w:themeColor="text1"/>
                <w:sz w:val="20"/>
                <w:szCs w:val="20"/>
              </w:rPr>
              <w:t>ears</w:t>
            </w:r>
            <w:r w:rsidR="0006779F" w:rsidRPr="00D40B19">
              <w:rPr>
                <w:rFonts w:ascii="Arial" w:hAnsi="Arial" w:cs="Arial"/>
                <w:color w:val="000000" w:themeColor="text1"/>
                <w:sz w:val="20"/>
                <w:szCs w:val="20"/>
              </w:rPr>
              <w:t xml:space="preserve"> of age</w:t>
            </w:r>
            <w:r w:rsidRPr="00D40B19">
              <w:rPr>
                <w:rFonts w:ascii="Arial" w:hAnsi="Arial" w:cs="Arial"/>
                <w:color w:val="000000" w:themeColor="text1"/>
                <w:sz w:val="20"/>
                <w:szCs w:val="20"/>
              </w:rPr>
              <w:t xml:space="preserve"> with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15DC8" w14:textId="57BB32CF" w:rsidR="0057269D" w:rsidRPr="00D40B19" w:rsidRDefault="0057269D" w:rsidP="00D40B19">
            <w:pPr>
              <w:spacing w:line="240" w:lineRule="auto"/>
              <w:contextualSpacing/>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rPr>
              <w:t>Incidence and time to ICD shock compared to disease substrate</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79030" w14:textId="06621966" w:rsidR="0057269D" w:rsidRPr="00D40B19" w:rsidRDefault="0057269D" w:rsidP="00D40B19">
            <w:pPr>
              <w:spacing w:line="240" w:lineRule="auto"/>
              <w:ind w:left="151" w:right="91"/>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bdr w:val="none" w:sz="0" w:space="0" w:color="auto" w:frame="1"/>
              </w:rPr>
              <w:t>During 5</w:t>
            </w:r>
            <w:r w:rsidR="0006779F" w:rsidRPr="00D40B19">
              <w:rPr>
                <w:rFonts w:ascii="Arial" w:hAnsi="Arial" w:cs="Arial"/>
                <w:color w:val="000000" w:themeColor="text1"/>
                <w:sz w:val="20"/>
                <w:szCs w:val="20"/>
                <w:bdr w:val="none" w:sz="0" w:space="0" w:color="auto" w:frame="1"/>
              </w:rPr>
              <w:t>-yea</w:t>
            </w:r>
            <w:r w:rsidRPr="00D40B19">
              <w:rPr>
                <w:rFonts w:ascii="Arial" w:hAnsi="Arial" w:cs="Arial"/>
                <w:color w:val="000000" w:themeColor="text1"/>
                <w:sz w:val="20"/>
                <w:szCs w:val="20"/>
                <w:bdr w:val="none" w:sz="0" w:space="0" w:color="auto" w:frame="1"/>
              </w:rPr>
              <w:t>r follow-up, appropriate ICD shock incidence was 52% for secondary prevention vs. 15% for primary prevention. Overall</w:t>
            </w:r>
            <w:r w:rsidR="001C5F9D" w:rsidRPr="00D40B19">
              <w:rPr>
                <w:rFonts w:ascii="Arial" w:hAnsi="Arial" w:cs="Arial"/>
                <w:color w:val="000000" w:themeColor="text1"/>
                <w:sz w:val="20"/>
                <w:szCs w:val="20"/>
                <w:bdr w:val="none" w:sz="0" w:space="0" w:color="auto" w:frame="1"/>
              </w:rPr>
              <w:t>,</w:t>
            </w:r>
            <w:r w:rsidRPr="00D40B19">
              <w:rPr>
                <w:rFonts w:ascii="Arial" w:hAnsi="Arial" w:cs="Arial"/>
                <w:color w:val="000000" w:themeColor="text1"/>
                <w:sz w:val="20"/>
                <w:szCs w:val="20"/>
                <w:bdr w:val="none" w:sz="0" w:space="0" w:color="auto" w:frame="1"/>
              </w:rPr>
              <w:t xml:space="preserve"> 25% of patients received at least one inappropriate ICD shock</w:t>
            </w:r>
            <w:r w:rsidR="001C5F9D" w:rsidRPr="00D40B19">
              <w:rPr>
                <w:rFonts w:ascii="Arial" w:hAnsi="Arial" w:cs="Arial"/>
                <w:color w:val="000000" w:themeColor="text1"/>
                <w:sz w:val="20"/>
                <w:szCs w:val="20"/>
                <w:bdr w:val="none" w:sz="0" w:space="0" w:color="auto" w:frame="1"/>
              </w:rPr>
              <w:t>.</w:t>
            </w:r>
          </w:p>
        </w:tc>
      </w:tr>
      <w:tr w:rsidR="009D78BE" w:rsidRPr="009D78BE" w14:paraId="5FA0490A"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57B0B9" w14:textId="7C751BA4" w:rsidR="00DF4179" w:rsidRPr="00D40B19" w:rsidRDefault="00DF4179" w:rsidP="00D40B19">
            <w:pPr>
              <w:spacing w:line="240" w:lineRule="auto"/>
              <w:rPr>
                <w:rFonts w:ascii="Arial" w:hAnsi="Arial" w:cs="Arial"/>
                <w:color w:val="000000" w:themeColor="text1"/>
                <w:sz w:val="20"/>
                <w:szCs w:val="20"/>
                <w:vertAlign w:val="superscript"/>
              </w:rPr>
            </w:pPr>
            <w:r w:rsidRPr="00D40B19">
              <w:rPr>
                <w:rFonts w:ascii="Arial" w:hAnsi="Arial" w:cs="Arial"/>
                <w:color w:val="000000" w:themeColor="text1"/>
                <w:sz w:val="20"/>
                <w:szCs w:val="20"/>
              </w:rPr>
              <w:t>Jordan</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21</w:t>
            </w:r>
            <w:r w:rsidR="007A3279" w:rsidRPr="00D40B19">
              <w:rPr>
                <w:rFonts w:ascii="Arial" w:hAnsi="Arial" w:cs="Arial"/>
                <w:color w:val="000000" w:themeColor="text1"/>
                <w:sz w:val="20"/>
                <w:szCs w:val="20"/>
                <w:vertAlign w:val="superscript"/>
              </w:rPr>
              <w:t>1</w:t>
            </w:r>
          </w:p>
          <w:p w14:paraId="5D236885" w14:textId="77777777" w:rsidR="00DF4179" w:rsidRPr="00D40B19" w:rsidRDefault="00DF4179" w:rsidP="00D40B19">
            <w:pPr>
              <w:spacing w:line="240" w:lineRule="auto"/>
              <w:rPr>
                <w:rFonts w:ascii="Arial" w:hAnsi="Arial" w:cs="Arial"/>
                <w:color w:val="000000" w:themeColor="text1"/>
                <w:sz w:val="20"/>
                <w:szCs w:val="20"/>
              </w:rPr>
            </w:pPr>
          </w:p>
          <w:p w14:paraId="326DA2D0" w14:textId="77777777" w:rsidR="00DF4179" w:rsidRPr="00D40B19" w:rsidRDefault="00DF4179" w:rsidP="00D40B19">
            <w:pPr>
              <w:spacing w:line="240" w:lineRule="auto"/>
              <w:rPr>
                <w:rFonts w:ascii="Arial" w:hAnsi="Arial" w:cs="Arial"/>
                <w:color w:val="000000" w:themeColor="text1"/>
                <w:sz w:val="20"/>
                <w:szCs w:val="20"/>
              </w:rPr>
            </w:pPr>
          </w:p>
          <w:p w14:paraId="330BE001" w14:textId="77777777" w:rsidR="00DF4179" w:rsidRPr="00D40B19" w:rsidRDefault="00DF4179" w:rsidP="00D40B19">
            <w:pPr>
              <w:spacing w:line="240" w:lineRule="auto"/>
              <w:rPr>
                <w:rFonts w:ascii="Arial" w:hAnsi="Arial" w:cs="Arial"/>
                <w:color w:val="000000" w:themeColor="text1"/>
                <w:sz w:val="20"/>
                <w:szCs w:val="20"/>
              </w:rPr>
            </w:pPr>
          </w:p>
          <w:p w14:paraId="37668B54" w14:textId="77777777" w:rsidR="00DF4179" w:rsidRPr="00D40B19" w:rsidRDefault="00DF4179"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FBDCB2" w14:textId="699D430E" w:rsidR="00DF4179" w:rsidRPr="00D40B19" w:rsidRDefault="00DF4179" w:rsidP="00D40B19">
            <w:pPr>
              <w:spacing w:line="240" w:lineRule="auto"/>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rPr>
              <w:t>2014</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4E87EF" w14:textId="5F4A8FF8" w:rsidR="00DF4179" w:rsidRPr="00D40B19" w:rsidRDefault="00DF4179"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Multicenter retrospective registry study from National Cardiovascular Data Registry (NCDR)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C1AB9F" w14:textId="3246A87C" w:rsidR="00DF4179" w:rsidRPr="00D40B19" w:rsidRDefault="00DF4179"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3</w:t>
            </w:r>
            <w:r w:rsidR="00E35A4F" w:rsidRPr="00D40B19">
              <w:rPr>
                <w:rFonts w:ascii="Arial" w:hAnsi="Arial" w:cs="Arial"/>
                <w:color w:val="000000" w:themeColor="text1"/>
                <w:sz w:val="20"/>
                <w:szCs w:val="20"/>
              </w:rPr>
              <w:t>,</w:t>
            </w:r>
            <w:r w:rsidRPr="00D40B19">
              <w:rPr>
                <w:rFonts w:ascii="Arial" w:hAnsi="Arial" w:cs="Arial"/>
                <w:color w:val="000000" w:themeColor="text1"/>
                <w:sz w:val="20"/>
                <w:szCs w:val="20"/>
              </w:rPr>
              <w:t>139 patients with CHD and 1</w:t>
            </w:r>
            <w:r w:rsidR="00E35A4F" w:rsidRPr="00D40B19">
              <w:rPr>
                <w:rFonts w:ascii="Arial" w:hAnsi="Arial" w:cs="Arial"/>
                <w:color w:val="000000" w:themeColor="text1"/>
                <w:sz w:val="20"/>
                <w:szCs w:val="20"/>
              </w:rPr>
              <w:t>,</w:t>
            </w:r>
            <w:r w:rsidRPr="00D40B19">
              <w:rPr>
                <w:rFonts w:ascii="Arial" w:hAnsi="Arial" w:cs="Arial"/>
                <w:color w:val="000000" w:themeColor="text1"/>
                <w:sz w:val="20"/>
                <w:szCs w:val="20"/>
              </w:rPr>
              <w:t>601 patients &lt;21 years of age; mean age 12.6</w:t>
            </w:r>
            <w:r w:rsidR="00E35A4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E35A4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7.7 y</w:t>
            </w:r>
            <w:r w:rsidR="00E35A4F"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E1DDC2" w14:textId="114EDDBE" w:rsidR="00DF4179" w:rsidRPr="00D40B19" w:rsidRDefault="00DF4179"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Pediatric and ACHD patients with ICDs</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054400" w14:textId="199D829D" w:rsidR="00DF4179" w:rsidRPr="00D40B19" w:rsidRDefault="00DF4179" w:rsidP="00D40B19">
            <w:pPr>
              <w:spacing w:line="240" w:lineRule="auto"/>
              <w:contextualSpacing/>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rPr>
              <w:t>n/a</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0E9CC0" w14:textId="5BBA6AE5" w:rsidR="00DF4179" w:rsidRPr="00D40B19" w:rsidRDefault="00DF4179" w:rsidP="00D40B19">
            <w:pPr>
              <w:spacing w:line="240" w:lineRule="auto"/>
              <w:ind w:left="151" w:right="91"/>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rPr>
              <w:t xml:space="preserve">Descriptive </w:t>
            </w:r>
            <w:r w:rsidRPr="00D40B19">
              <w:rPr>
                <w:rFonts w:ascii="Arial" w:hAnsi="Arial" w:cs="Arial"/>
                <w:color w:val="000000" w:themeColor="text1"/>
                <w:sz w:val="20"/>
                <w:szCs w:val="20"/>
                <w:shd w:val="clear" w:color="auto" w:fill="FFFFFF"/>
              </w:rPr>
              <w:t>statistics on demographics and ICD lead implantation characteristics</w:t>
            </w:r>
            <w:r w:rsidRPr="00D40B19">
              <w:rPr>
                <w:rFonts w:ascii="Arial" w:hAnsi="Arial" w:cs="Arial"/>
                <w:color w:val="000000" w:themeColor="text1"/>
                <w:sz w:val="20"/>
                <w:szCs w:val="20"/>
              </w:rPr>
              <w:t xml:space="preserve"> in pediatric patients &lt;21 years of age and patients with CHD of all ages. Primary prevention ICDs implanted in 61.9% CHD patients and 58.4% pediatric patients. CHD and pediatrics groups had similar rates of transvenous (97%) and </w:t>
            </w:r>
            <w:proofErr w:type="spellStart"/>
            <w:r w:rsidRPr="00D40B19">
              <w:rPr>
                <w:rFonts w:ascii="Arial" w:hAnsi="Arial" w:cs="Arial"/>
                <w:color w:val="000000" w:themeColor="text1"/>
                <w:sz w:val="20"/>
                <w:szCs w:val="20"/>
              </w:rPr>
              <w:t>nontransvenous</w:t>
            </w:r>
            <w:proofErr w:type="spellEnd"/>
            <w:r w:rsidRPr="00D40B19">
              <w:rPr>
                <w:rFonts w:ascii="Arial" w:hAnsi="Arial" w:cs="Arial"/>
                <w:color w:val="000000" w:themeColor="text1"/>
                <w:sz w:val="20"/>
                <w:szCs w:val="20"/>
              </w:rPr>
              <w:t xml:space="preserve"> (3%) leads</w:t>
            </w:r>
            <w:r w:rsidR="005B7713"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but </w:t>
            </w:r>
            <w:proofErr w:type="spellStart"/>
            <w:r w:rsidRPr="00D40B19">
              <w:rPr>
                <w:rFonts w:ascii="Arial" w:hAnsi="Arial" w:cs="Arial"/>
                <w:color w:val="000000" w:themeColor="text1"/>
                <w:sz w:val="20"/>
                <w:szCs w:val="20"/>
              </w:rPr>
              <w:t>nontransvenous</w:t>
            </w:r>
            <w:proofErr w:type="spellEnd"/>
            <w:r w:rsidRPr="00D40B19">
              <w:rPr>
                <w:rFonts w:ascii="Arial" w:hAnsi="Arial" w:cs="Arial"/>
                <w:color w:val="000000" w:themeColor="text1"/>
                <w:sz w:val="20"/>
                <w:szCs w:val="20"/>
              </w:rPr>
              <w:t xml:space="preserve"> lead patients were younger, with higher rates of transposition of the great vessels and common ventricle patients.</w:t>
            </w:r>
          </w:p>
        </w:tc>
      </w:tr>
      <w:tr w:rsidR="009D78BE" w:rsidRPr="009D78BE" w14:paraId="39BDAAD7"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D7B13E" w14:textId="19A3C8D5" w:rsidR="00DF4179" w:rsidRPr="00D40B19" w:rsidRDefault="00DF4179" w:rsidP="00D40B19">
            <w:pPr>
              <w:spacing w:line="240" w:lineRule="auto"/>
              <w:rPr>
                <w:rFonts w:ascii="Arial" w:eastAsiaTheme="minorHAnsi" w:hAnsi="Arial" w:cs="Arial"/>
                <w:color w:val="000000" w:themeColor="text1"/>
                <w:sz w:val="20"/>
                <w:szCs w:val="20"/>
                <w:vertAlign w:val="superscript"/>
              </w:rPr>
            </w:pPr>
            <w:r w:rsidRPr="00D40B19">
              <w:rPr>
                <w:rFonts w:ascii="Arial" w:hAnsi="Arial" w:cs="Arial"/>
                <w:color w:val="000000" w:themeColor="text1"/>
                <w:sz w:val="20"/>
                <w:szCs w:val="20"/>
              </w:rPr>
              <w:lastRenderedPageBreak/>
              <w:t>Dechert</w:t>
            </w:r>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21</w:t>
            </w:r>
            <w:r w:rsidR="004E3D07" w:rsidRPr="00D40B19">
              <w:rPr>
                <w:rFonts w:ascii="Arial" w:hAnsi="Arial" w:cs="Arial"/>
                <w:color w:val="000000" w:themeColor="text1"/>
                <w:sz w:val="20"/>
                <w:szCs w:val="20"/>
                <w:vertAlign w:val="superscript"/>
              </w:rPr>
              <w:t>2</w:t>
            </w:r>
          </w:p>
          <w:p w14:paraId="627DFC72" w14:textId="2C6D4A25" w:rsidR="00DF4179" w:rsidRPr="00D40B19" w:rsidRDefault="00DF4179"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64A8A77" w14:textId="5C1AF5C5" w:rsidR="00DF4179" w:rsidRPr="00D40B19" w:rsidRDefault="00DF4179" w:rsidP="00D40B19">
            <w:pPr>
              <w:spacing w:line="240" w:lineRule="auto"/>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rPr>
              <w:t>2016</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AEC408" w14:textId="3B5C4D99" w:rsidR="00DF4179" w:rsidRPr="00D40B19" w:rsidRDefault="00DF4179" w:rsidP="00D40B19">
            <w:pPr>
              <w:spacing w:line="240" w:lineRule="auto"/>
              <w:rPr>
                <w:rFonts w:ascii="Arial" w:eastAsiaTheme="minorHAnsi"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0058087D" w:rsidRPr="00D40B19">
              <w:rPr>
                <w:rFonts w:ascii="Arial" w:hAnsi="Arial" w:cs="Arial"/>
                <w:color w:val="000000" w:themeColor="text1"/>
                <w:sz w:val="20"/>
                <w:szCs w:val="20"/>
              </w:rPr>
              <w:t>center r</w:t>
            </w:r>
            <w:r w:rsidRPr="00D40B19">
              <w:rPr>
                <w:rFonts w:ascii="Arial" w:hAnsi="Arial" w:cs="Arial"/>
                <w:color w:val="000000" w:themeColor="text1"/>
                <w:sz w:val="20"/>
                <w:szCs w:val="20"/>
              </w:rPr>
              <w:t>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A347B6" w14:textId="12FA5E36" w:rsidR="00DF4179" w:rsidRPr="00D40B19" w:rsidRDefault="00DF4179"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131</w:t>
            </w:r>
            <w:r w:rsidR="004B70C4" w:rsidRPr="00D40B19">
              <w:rPr>
                <w:rFonts w:ascii="Arial" w:hAnsi="Arial" w:cs="Arial"/>
                <w:color w:val="000000" w:themeColor="text1"/>
                <w:sz w:val="20"/>
                <w:szCs w:val="20"/>
              </w:rPr>
              <w:t xml:space="preserve">  patients; </w:t>
            </w:r>
            <w:r w:rsidRPr="00D40B19">
              <w:rPr>
                <w:rFonts w:ascii="Arial" w:hAnsi="Arial" w:cs="Arial"/>
                <w:color w:val="000000" w:themeColor="text1"/>
                <w:sz w:val="20"/>
                <w:szCs w:val="20"/>
              </w:rPr>
              <w:t xml:space="preserve">57 </w:t>
            </w:r>
            <w:r w:rsidR="004E3D07" w:rsidRPr="00D40B19">
              <w:rPr>
                <w:rFonts w:ascii="Arial" w:hAnsi="Arial" w:cs="Arial"/>
                <w:color w:val="000000" w:themeColor="text1"/>
                <w:sz w:val="20"/>
                <w:szCs w:val="20"/>
              </w:rPr>
              <w:t xml:space="preserve">with </w:t>
            </w:r>
            <w:r w:rsidRPr="00D40B19">
              <w:rPr>
                <w:rFonts w:ascii="Arial" w:hAnsi="Arial" w:cs="Arial"/>
                <w:color w:val="000000" w:themeColor="text1"/>
                <w:sz w:val="20"/>
                <w:szCs w:val="20"/>
              </w:rPr>
              <w:t>CHD (44%)</w:t>
            </w:r>
            <w:r w:rsidR="004B70C4"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r w:rsidR="004B70C4" w:rsidRPr="00D40B19">
              <w:rPr>
                <w:rFonts w:ascii="Arial" w:hAnsi="Arial" w:cs="Arial"/>
                <w:color w:val="000000" w:themeColor="text1"/>
                <w:sz w:val="20"/>
                <w:szCs w:val="20"/>
              </w:rPr>
              <w:t>m</w:t>
            </w:r>
            <w:r w:rsidRPr="00D40B19">
              <w:rPr>
                <w:rFonts w:ascii="Arial" w:hAnsi="Arial" w:cs="Arial"/>
                <w:color w:val="000000" w:themeColor="text1"/>
                <w:sz w:val="20"/>
                <w:szCs w:val="20"/>
              </w:rPr>
              <w:t>edian age  16 y</w:t>
            </w:r>
            <w:r w:rsidR="00E35A4F" w:rsidRPr="00D40B19">
              <w:rPr>
                <w:rFonts w:ascii="Arial" w:hAnsi="Arial" w:cs="Arial"/>
                <w:color w:val="000000" w:themeColor="text1"/>
                <w:sz w:val="20"/>
                <w:szCs w:val="20"/>
              </w:rPr>
              <w:t>ea</w:t>
            </w:r>
            <w:r w:rsidRPr="00D40B19">
              <w:rPr>
                <w:rFonts w:ascii="Arial" w:hAnsi="Arial" w:cs="Arial"/>
                <w:color w:val="000000" w:themeColor="text1"/>
                <w:sz w:val="20"/>
                <w:szCs w:val="20"/>
              </w:rPr>
              <w:t>rs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24BA3F" w14:textId="5D615569" w:rsidR="00DF4179" w:rsidRPr="00D40B19" w:rsidRDefault="00DF4179"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Pediatric and ACHD p</w:t>
            </w:r>
            <w:r w:rsidR="00FE2F2A"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FE2F2A" w:rsidRPr="00D40B19">
              <w:rPr>
                <w:rFonts w:ascii="Arial" w:hAnsi="Arial" w:cs="Arial"/>
                <w:color w:val="000000" w:themeColor="text1"/>
                <w:sz w:val="20"/>
                <w:szCs w:val="20"/>
              </w:rPr>
              <w:t>ient</w:t>
            </w:r>
            <w:r w:rsidRPr="00D40B19">
              <w:rPr>
                <w:rFonts w:ascii="Arial" w:hAnsi="Arial" w:cs="Arial"/>
                <w:color w:val="000000" w:themeColor="text1"/>
                <w:sz w:val="20"/>
                <w:szCs w:val="20"/>
              </w:rPr>
              <w:t>s  with ICDs</w:t>
            </w:r>
          </w:p>
          <w:p w14:paraId="5309C4AC" w14:textId="77777777" w:rsidR="00DF4179" w:rsidRPr="00D40B19" w:rsidRDefault="00DF4179" w:rsidP="00D40B19">
            <w:pPr>
              <w:spacing w:line="240" w:lineRule="auto"/>
              <w:rPr>
                <w:rFonts w:ascii="Arial" w:hAnsi="Arial" w:cs="Arial"/>
                <w:color w:val="000000" w:themeColor="text1"/>
                <w:sz w:val="20"/>
                <w:szCs w:val="20"/>
              </w:rPr>
            </w:pPr>
          </w:p>
          <w:p w14:paraId="36030508" w14:textId="77777777" w:rsidR="00DF4179" w:rsidRPr="00D40B19" w:rsidRDefault="00DF4179" w:rsidP="00D40B19">
            <w:pPr>
              <w:spacing w:line="240" w:lineRule="auto"/>
              <w:rPr>
                <w:rFonts w:ascii="Arial" w:hAnsi="Arial" w:cs="Arial"/>
                <w:color w:val="000000" w:themeColor="text1"/>
                <w:sz w:val="20"/>
                <w:szCs w:val="20"/>
              </w:rPr>
            </w:pP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CAE6C2" w14:textId="77777777" w:rsidR="00DF4179" w:rsidRPr="00D40B19" w:rsidRDefault="00DF4179"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Time to CD system revision </w:t>
            </w:r>
          </w:p>
          <w:p w14:paraId="2CE4DDBF" w14:textId="77777777" w:rsidR="00DF4179" w:rsidRPr="00D40B19" w:rsidRDefault="00DF4179" w:rsidP="00D40B19">
            <w:pPr>
              <w:spacing w:line="240" w:lineRule="auto"/>
              <w:contextualSpacing/>
              <w:rPr>
                <w:rFonts w:ascii="Arial" w:hAnsi="Arial" w:cs="Arial"/>
                <w:color w:val="000000" w:themeColor="text1"/>
                <w:sz w:val="20"/>
                <w:szCs w:val="20"/>
                <w:bdr w:val="none" w:sz="0" w:space="0" w:color="auto" w:frame="1"/>
              </w:rPr>
            </w:pP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1BBA0F" w14:textId="5B036602" w:rsidR="00DF4179" w:rsidRPr="00D40B19" w:rsidRDefault="00DF4179" w:rsidP="00D40B19">
            <w:pPr>
              <w:spacing w:line="240" w:lineRule="auto"/>
              <w:ind w:left="151" w:right="91"/>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rPr>
              <w:t xml:space="preserve">33% patients underwent ICD revisions. Estimated rate of 70 revisions/1,000 patient-years of follow-up. ICD system revision is high in pediatric patients and occurs at a rate similar to the rate of receiving appropriate therapy. </w:t>
            </w:r>
          </w:p>
        </w:tc>
      </w:tr>
      <w:tr w:rsidR="009D78BE" w:rsidRPr="009D78BE" w14:paraId="1D28EEC1"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65910D" w14:textId="29FD0686" w:rsidR="00DF4179" w:rsidRPr="00D40B19" w:rsidRDefault="00DF4179" w:rsidP="00D40B19">
            <w:pPr>
              <w:spacing w:line="240" w:lineRule="auto"/>
              <w:rPr>
                <w:rFonts w:ascii="Arial" w:eastAsiaTheme="minorHAnsi" w:hAnsi="Arial" w:cs="Arial"/>
                <w:color w:val="000000" w:themeColor="text1"/>
                <w:sz w:val="20"/>
                <w:szCs w:val="20"/>
                <w:vertAlign w:val="superscript"/>
              </w:rPr>
            </w:pPr>
            <w:proofErr w:type="spellStart"/>
            <w:r w:rsidRPr="00D40B19">
              <w:rPr>
                <w:rFonts w:ascii="Arial" w:hAnsi="Arial" w:cs="Arial"/>
                <w:color w:val="000000" w:themeColor="text1"/>
                <w:sz w:val="20"/>
                <w:szCs w:val="20"/>
              </w:rPr>
              <w:t>Kalra</w:t>
            </w:r>
            <w:proofErr w:type="spellEnd"/>
            <w:r w:rsidR="00E81116" w:rsidRPr="00D40B19">
              <w:rPr>
                <w:rFonts w:ascii="Arial" w:hAnsi="Arial" w:cs="Arial"/>
                <w:bCs/>
                <w:color w:val="000000" w:themeColor="text1"/>
                <w:sz w:val="20"/>
                <w:szCs w:val="20"/>
              </w:rPr>
              <w:t xml:space="preserve"> et al</w:t>
            </w:r>
            <w:r w:rsidRPr="00D40B19">
              <w:rPr>
                <w:rFonts w:ascii="Arial" w:hAnsi="Arial" w:cs="Arial"/>
                <w:color w:val="000000" w:themeColor="text1"/>
                <w:sz w:val="20"/>
                <w:szCs w:val="20"/>
                <w:vertAlign w:val="superscript"/>
              </w:rPr>
              <w:t>21</w:t>
            </w:r>
            <w:r w:rsidR="00E90118" w:rsidRPr="00D40B19">
              <w:rPr>
                <w:rFonts w:ascii="Arial" w:hAnsi="Arial" w:cs="Arial"/>
                <w:color w:val="000000" w:themeColor="text1"/>
                <w:sz w:val="20"/>
                <w:szCs w:val="20"/>
                <w:vertAlign w:val="superscript"/>
              </w:rPr>
              <w:t>4</w:t>
            </w:r>
          </w:p>
          <w:p w14:paraId="0C855C91" w14:textId="1E89A8F2" w:rsidR="00DF4179" w:rsidRPr="00D40B19" w:rsidRDefault="00DF4179"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CF5C" w14:textId="248E1265" w:rsidR="00DF4179" w:rsidRPr="00D40B19" w:rsidRDefault="00DF4179" w:rsidP="00D40B19">
            <w:pPr>
              <w:spacing w:line="240" w:lineRule="auto"/>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bdr w:val="none" w:sz="0" w:space="0" w:color="auto" w:frame="1"/>
              </w:rPr>
              <w:t>2012</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EBEE76" w14:textId="6AF01267" w:rsidR="00DF4179" w:rsidRPr="00D40B19" w:rsidRDefault="00DF4179"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bdr w:val="none" w:sz="0" w:space="0" w:color="auto" w:frame="1"/>
              </w:rPr>
              <w:t>Single</w:t>
            </w:r>
            <w:r w:rsidR="00851767" w:rsidRPr="00D40B19">
              <w:rPr>
                <w:rFonts w:ascii="Arial" w:hAnsi="Arial" w:cs="Arial"/>
                <w:color w:val="000000" w:themeColor="text1"/>
                <w:sz w:val="20"/>
                <w:szCs w:val="20"/>
                <w:bdr w:val="none" w:sz="0" w:space="0" w:color="auto" w:frame="1"/>
              </w:rPr>
              <w:t>-</w:t>
            </w:r>
            <w:r w:rsidR="0058087D" w:rsidRPr="00D40B19">
              <w:rPr>
                <w:rFonts w:ascii="Arial" w:hAnsi="Arial" w:cs="Arial"/>
                <w:color w:val="000000" w:themeColor="text1"/>
                <w:sz w:val="20"/>
                <w:szCs w:val="20"/>
                <w:bdr w:val="none" w:sz="0" w:space="0" w:color="auto" w:frame="1"/>
              </w:rPr>
              <w:t>c</w:t>
            </w:r>
            <w:r w:rsidRPr="00D40B19">
              <w:rPr>
                <w:rFonts w:ascii="Arial" w:hAnsi="Arial" w:cs="Arial"/>
                <w:color w:val="000000" w:themeColor="text1"/>
                <w:sz w:val="20"/>
                <w:szCs w:val="20"/>
                <w:bdr w:val="none" w:sz="0" w:space="0" w:color="auto" w:frame="1"/>
              </w:rPr>
              <w:t xml:space="preserve">enter </w:t>
            </w:r>
            <w:r w:rsidR="0058087D" w:rsidRPr="00D40B19">
              <w:rPr>
                <w:rFonts w:ascii="Arial" w:hAnsi="Arial" w:cs="Arial"/>
                <w:color w:val="000000" w:themeColor="text1"/>
                <w:sz w:val="20"/>
                <w:szCs w:val="20"/>
                <w:bdr w:val="none" w:sz="0" w:space="0" w:color="auto" w:frame="1"/>
              </w:rPr>
              <w:t>r</w:t>
            </w:r>
            <w:r w:rsidRPr="00D40B19">
              <w:rPr>
                <w:rFonts w:ascii="Arial" w:hAnsi="Arial" w:cs="Arial"/>
                <w:color w:val="000000" w:themeColor="text1"/>
                <w:sz w:val="20"/>
                <w:szCs w:val="20"/>
                <w:bdr w:val="none" w:sz="0" w:space="0" w:color="auto" w:frame="1"/>
              </w:rPr>
              <w:t>etrospective</w:t>
            </w:r>
            <w:r w:rsidR="00E6304A" w:rsidRPr="00D40B19">
              <w:rPr>
                <w:rFonts w:ascii="Arial" w:hAnsi="Arial" w:cs="Arial"/>
                <w:color w:val="000000" w:themeColor="text1"/>
                <w:sz w:val="20"/>
                <w:szCs w:val="20"/>
              </w:rPr>
              <w:t xml:space="preserve"> study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281064" w14:textId="4469F15B" w:rsidR="00DF4179" w:rsidRPr="00D40B19" w:rsidRDefault="00DF4179"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79</w:t>
            </w:r>
            <w:r w:rsidR="004B70C4" w:rsidRPr="00D40B19">
              <w:rPr>
                <w:rFonts w:ascii="Arial" w:hAnsi="Arial" w:cs="Arial"/>
                <w:color w:val="000000" w:themeColor="text1"/>
                <w:sz w:val="20"/>
                <w:szCs w:val="20"/>
              </w:rPr>
              <w:t xml:space="preserve"> patients; m</w:t>
            </w:r>
            <w:r w:rsidRPr="00D40B19">
              <w:rPr>
                <w:rFonts w:ascii="Arial" w:hAnsi="Arial" w:cs="Arial"/>
                <w:color w:val="000000" w:themeColor="text1"/>
                <w:sz w:val="20"/>
                <w:szCs w:val="20"/>
              </w:rPr>
              <w:t>edian age 22</w:t>
            </w:r>
            <w:r w:rsidR="00E35A4F"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y</w:t>
            </w:r>
            <w:r w:rsidR="00E35A4F" w:rsidRPr="00D40B19">
              <w:rPr>
                <w:rFonts w:ascii="Arial" w:hAnsi="Arial" w:cs="Arial"/>
                <w:color w:val="000000" w:themeColor="text1"/>
                <w:sz w:val="20"/>
                <w:szCs w:val="20"/>
              </w:rPr>
              <w:t>ea</w:t>
            </w:r>
            <w:r w:rsidRPr="00D40B19">
              <w:rPr>
                <w:rFonts w:ascii="Arial" w:hAnsi="Arial" w:cs="Arial"/>
                <w:color w:val="000000" w:themeColor="text1"/>
                <w:sz w:val="20"/>
                <w:szCs w:val="20"/>
              </w:rPr>
              <w:t>rs (</w:t>
            </w:r>
            <w:r w:rsidR="004B70C4" w:rsidRPr="00D40B19">
              <w:rPr>
                <w:rFonts w:ascii="Arial" w:hAnsi="Arial" w:cs="Arial"/>
                <w:color w:val="000000" w:themeColor="text1"/>
                <w:sz w:val="20"/>
                <w:szCs w:val="20"/>
              </w:rPr>
              <w:t xml:space="preserve">range </w:t>
            </w:r>
            <w:r w:rsidRPr="00D40B19">
              <w:rPr>
                <w:rFonts w:ascii="Arial" w:hAnsi="Arial" w:cs="Arial"/>
                <w:color w:val="000000" w:themeColor="text1"/>
                <w:sz w:val="20"/>
                <w:szCs w:val="20"/>
              </w:rPr>
              <w:t>17</w:t>
            </w:r>
            <w:r w:rsidR="004B70C4" w:rsidRPr="00D40B19">
              <w:rPr>
                <w:rFonts w:ascii="Arial" w:hAnsi="Arial" w:cs="Arial"/>
                <w:color w:val="000000" w:themeColor="text1"/>
                <w:sz w:val="20"/>
                <w:szCs w:val="20"/>
              </w:rPr>
              <w:t>–</w:t>
            </w:r>
            <w:r w:rsidRPr="00D40B19">
              <w:rPr>
                <w:rFonts w:ascii="Arial" w:hAnsi="Arial" w:cs="Arial"/>
                <w:color w:val="000000" w:themeColor="text1"/>
                <w:sz w:val="20"/>
                <w:szCs w:val="20"/>
              </w:rPr>
              <w:t>27)</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0998FA" w14:textId="67F8753D" w:rsidR="00DF4179" w:rsidRPr="00D40B19" w:rsidRDefault="00DF4179"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Patients with CHD and ICD</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EA80E" w14:textId="2F5D0FF8" w:rsidR="00DF4179" w:rsidRPr="00D40B19" w:rsidRDefault="00DF4179" w:rsidP="00D40B19">
            <w:pPr>
              <w:spacing w:line="240" w:lineRule="auto"/>
              <w:contextualSpacing/>
              <w:rPr>
                <w:rFonts w:ascii="Arial" w:hAnsi="Arial" w:cs="Arial"/>
                <w:color w:val="000000" w:themeColor="text1"/>
                <w:sz w:val="20"/>
                <w:szCs w:val="20"/>
                <w:bdr w:val="none" w:sz="0" w:space="0" w:color="auto" w:frame="1"/>
              </w:rPr>
            </w:pPr>
            <w:proofErr w:type="spellStart"/>
            <w:r w:rsidRPr="00D40B19">
              <w:rPr>
                <w:rFonts w:ascii="Arial" w:hAnsi="Arial" w:cs="Arial"/>
                <w:color w:val="000000" w:themeColor="text1"/>
                <w:sz w:val="20"/>
                <w:szCs w:val="20"/>
              </w:rPr>
              <w:t>Antitachycardia</w:t>
            </w:r>
            <w:proofErr w:type="spellEnd"/>
            <w:r w:rsidRPr="00D40B19">
              <w:rPr>
                <w:rFonts w:ascii="Arial" w:hAnsi="Arial" w:cs="Arial"/>
                <w:color w:val="000000" w:themeColor="text1"/>
                <w:sz w:val="20"/>
                <w:szCs w:val="20"/>
              </w:rPr>
              <w:t xml:space="preserve"> pacing or ICD shock</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15F4" w14:textId="77777777" w:rsidR="00DF4179" w:rsidRPr="00D40B19" w:rsidRDefault="00DF4179" w:rsidP="00D40B19">
            <w:pPr>
              <w:spacing w:after="0" w:line="240" w:lineRule="auto"/>
              <w:ind w:left="151" w:right="91"/>
              <w:contextualSpacing/>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rPr>
              <w:t xml:space="preserve">ATP decreases risk of both appropriate and inappropriate shocks in patients with CHD. Rate of VT termination was 88% although the rate of inappropriate ATP therapy was high (39%).  </w:t>
            </w:r>
          </w:p>
          <w:p w14:paraId="25C1F6E1" w14:textId="5647E0D8" w:rsidR="00DF4179" w:rsidRPr="00D40B19" w:rsidRDefault="00DF4179" w:rsidP="00D40B19">
            <w:pPr>
              <w:spacing w:line="240" w:lineRule="auto"/>
              <w:ind w:left="151" w:right="91"/>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bdr w:val="none" w:sz="0" w:space="0" w:color="auto" w:frame="1"/>
              </w:rPr>
              <w:t>.</w:t>
            </w:r>
          </w:p>
        </w:tc>
      </w:tr>
      <w:tr w:rsidR="009D78BE" w:rsidRPr="009D78BE" w14:paraId="5F50AD55" w14:textId="77777777" w:rsidTr="00D40B19">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686A49" w14:textId="203A63C1" w:rsidR="00432D76" w:rsidRPr="00D40B19" w:rsidRDefault="00432D76" w:rsidP="00D40B19">
            <w:pPr>
              <w:spacing w:line="240" w:lineRule="auto"/>
              <w:rPr>
                <w:rFonts w:ascii="Arial" w:eastAsiaTheme="minorHAnsi" w:hAnsi="Arial" w:cs="Arial"/>
                <w:color w:val="000000" w:themeColor="text1"/>
                <w:sz w:val="20"/>
                <w:szCs w:val="20"/>
                <w:vertAlign w:val="superscript"/>
              </w:rPr>
            </w:pPr>
            <w:proofErr w:type="spellStart"/>
            <w:r w:rsidRPr="00D40B19">
              <w:rPr>
                <w:rFonts w:ascii="Arial" w:hAnsi="Arial" w:cs="Arial"/>
                <w:color w:val="000000" w:themeColor="text1"/>
                <w:sz w:val="20"/>
                <w:szCs w:val="20"/>
              </w:rPr>
              <w:t>Radbill</w:t>
            </w:r>
            <w:proofErr w:type="spellEnd"/>
            <w:r w:rsidR="00E81116" w:rsidRPr="00D40B19">
              <w:rPr>
                <w:rFonts w:ascii="Arial" w:hAnsi="Arial" w:cs="Arial"/>
                <w:bCs/>
                <w:color w:val="000000" w:themeColor="text1"/>
                <w:sz w:val="20"/>
                <w:szCs w:val="20"/>
              </w:rPr>
              <w:t xml:space="preserve"> et al</w:t>
            </w:r>
            <w:r w:rsidR="00DF4179" w:rsidRPr="00D40B19">
              <w:rPr>
                <w:rFonts w:ascii="Arial" w:hAnsi="Arial" w:cs="Arial"/>
                <w:color w:val="000000" w:themeColor="text1"/>
                <w:sz w:val="20"/>
                <w:szCs w:val="20"/>
                <w:vertAlign w:val="superscript"/>
              </w:rPr>
              <w:t>21</w:t>
            </w:r>
            <w:r w:rsidR="00631BFE" w:rsidRPr="00D40B19">
              <w:rPr>
                <w:rFonts w:ascii="Arial" w:hAnsi="Arial" w:cs="Arial"/>
                <w:color w:val="000000" w:themeColor="text1"/>
                <w:sz w:val="20"/>
                <w:szCs w:val="20"/>
                <w:vertAlign w:val="superscript"/>
              </w:rPr>
              <w:t>8</w:t>
            </w:r>
          </w:p>
          <w:p w14:paraId="2F78AF89" w14:textId="43CC341C" w:rsidR="00432D76" w:rsidRPr="00D40B19" w:rsidRDefault="00432D76" w:rsidP="00D40B19">
            <w:pPr>
              <w:spacing w:line="240" w:lineRule="auto"/>
              <w:rPr>
                <w:rFonts w:ascii="Arial" w:hAnsi="Arial" w:cs="Arial"/>
                <w:color w:val="000000" w:themeColor="text1"/>
                <w:sz w:val="20"/>
                <w:szCs w:val="20"/>
              </w:rPr>
            </w:pP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F582" w14:textId="1A34C225"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bdr w:val="none" w:sz="0" w:space="0" w:color="auto" w:frame="1"/>
              </w:rPr>
              <w:t>2010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08C102" w14:textId="7B11A19A" w:rsidR="00432D76" w:rsidRPr="00D40B19" w:rsidRDefault="00432D76" w:rsidP="00D40B19">
            <w:pPr>
              <w:spacing w:line="240" w:lineRule="auto"/>
              <w:rPr>
                <w:rFonts w:ascii="Arial" w:eastAsiaTheme="minorHAnsi"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0058087D" w:rsidRPr="00D40B19">
              <w:rPr>
                <w:rFonts w:ascii="Arial" w:hAnsi="Arial" w:cs="Arial"/>
                <w:color w:val="000000" w:themeColor="text1"/>
                <w:sz w:val="20"/>
                <w:szCs w:val="20"/>
              </w:rPr>
              <w:t>c</w:t>
            </w:r>
            <w:r w:rsidRPr="00D40B19">
              <w:rPr>
                <w:rFonts w:ascii="Arial" w:hAnsi="Arial" w:cs="Arial"/>
                <w:color w:val="000000" w:themeColor="text1"/>
                <w:sz w:val="20"/>
                <w:szCs w:val="20"/>
              </w:rPr>
              <w:t xml:space="preserve">enter </w:t>
            </w:r>
            <w:r w:rsidR="0058087D" w:rsidRPr="00D40B19">
              <w:rPr>
                <w:rFonts w:ascii="Arial" w:hAnsi="Arial" w:cs="Arial"/>
                <w:color w:val="000000" w:themeColor="text1"/>
                <w:sz w:val="20"/>
                <w:szCs w:val="20"/>
              </w:rPr>
              <w:t>r</w:t>
            </w:r>
            <w:r w:rsidRPr="00D40B19">
              <w:rPr>
                <w:rFonts w:ascii="Arial" w:hAnsi="Arial" w:cs="Arial"/>
                <w:color w:val="000000" w:themeColor="text1"/>
                <w:sz w:val="20"/>
                <w:szCs w:val="20"/>
              </w:rPr>
              <w:t>etrospective</w:t>
            </w:r>
            <w:r w:rsidR="00E6304A" w:rsidRPr="00D40B19">
              <w:rPr>
                <w:rFonts w:ascii="Arial" w:hAnsi="Arial" w:cs="Arial"/>
                <w:color w:val="000000" w:themeColor="text1"/>
                <w:sz w:val="20"/>
                <w:szCs w:val="20"/>
              </w:rPr>
              <w:t xml:space="preserve"> study </w:t>
            </w:r>
            <w:r w:rsidRPr="00D40B19">
              <w:rPr>
                <w:rFonts w:ascii="Arial" w:hAnsi="Arial" w:cs="Arial"/>
                <w:color w:val="000000" w:themeColor="text1"/>
                <w:sz w:val="20"/>
                <w:szCs w:val="20"/>
              </w:rPr>
              <w:t xml:space="preserve"> </w:t>
            </w:r>
          </w:p>
          <w:p w14:paraId="5AC154CA" w14:textId="62B44637" w:rsidR="00432D76" w:rsidRPr="00D40B19" w:rsidRDefault="00432D76" w:rsidP="00D40B19">
            <w:pPr>
              <w:spacing w:line="240" w:lineRule="auto"/>
              <w:contextualSpacing/>
              <w:rPr>
                <w:rFonts w:ascii="Arial" w:hAnsi="Arial" w:cs="Arial"/>
                <w:color w:val="000000" w:themeColor="text1"/>
                <w:sz w:val="20"/>
                <w:szCs w:val="20"/>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E15313" w14:textId="6E717D84" w:rsidR="00432D76" w:rsidRPr="00D40B19" w:rsidRDefault="00432D76"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117</w:t>
            </w:r>
            <w:r w:rsidR="004B70C4" w:rsidRPr="00D40B19">
              <w:rPr>
                <w:rFonts w:ascii="Arial" w:hAnsi="Arial" w:cs="Arial"/>
                <w:color w:val="000000" w:themeColor="text1"/>
                <w:sz w:val="20"/>
                <w:szCs w:val="20"/>
              </w:rPr>
              <w:t xml:space="preserve"> patients:</w:t>
            </w:r>
          </w:p>
          <w:p w14:paraId="28E95E71" w14:textId="77777777" w:rsidR="004B70C4" w:rsidRPr="00D40B19" w:rsidRDefault="004B70C4" w:rsidP="00D84DBB">
            <w:pPr>
              <w:spacing w:after="0" w:line="240" w:lineRule="auto"/>
              <w:contextualSpacing/>
              <w:rPr>
                <w:rFonts w:ascii="Arial" w:hAnsi="Arial" w:cs="Arial"/>
                <w:color w:val="000000" w:themeColor="text1"/>
                <w:sz w:val="20"/>
                <w:szCs w:val="20"/>
              </w:rPr>
            </w:pPr>
          </w:p>
          <w:p w14:paraId="3E3CE8BA" w14:textId="6D286823"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 xml:space="preserve">39 </w:t>
            </w:r>
            <w:proofErr w:type="spellStart"/>
            <w:r w:rsidR="004B70C4" w:rsidRPr="00D40B19">
              <w:rPr>
                <w:rFonts w:ascii="Arial" w:hAnsi="Arial" w:cs="Arial"/>
                <w:color w:val="000000" w:themeColor="text1"/>
                <w:sz w:val="20"/>
                <w:szCs w:val="20"/>
              </w:rPr>
              <w:t>n</w:t>
            </w:r>
            <w:r w:rsidRPr="00D40B19">
              <w:rPr>
                <w:rFonts w:ascii="Arial" w:hAnsi="Arial" w:cs="Arial"/>
                <w:color w:val="000000" w:themeColor="text1"/>
                <w:sz w:val="20"/>
                <w:szCs w:val="20"/>
              </w:rPr>
              <w:t>onTV</w:t>
            </w:r>
            <w:proofErr w:type="spellEnd"/>
            <w:r w:rsidRPr="00D40B19">
              <w:rPr>
                <w:rFonts w:ascii="Arial" w:hAnsi="Arial" w:cs="Arial"/>
                <w:color w:val="000000" w:themeColor="text1"/>
                <w:sz w:val="20"/>
                <w:szCs w:val="20"/>
              </w:rPr>
              <w:t xml:space="preserve"> ICD</w:t>
            </w:r>
            <w:r w:rsidR="004B70C4"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mean age</w:t>
            </w:r>
            <w:r w:rsidR="004E3D07"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7 y</w:t>
            </w:r>
            <w:r w:rsidR="004E3D07" w:rsidRPr="00D40B19">
              <w:rPr>
                <w:rFonts w:ascii="Arial" w:hAnsi="Arial" w:cs="Arial"/>
                <w:color w:val="000000" w:themeColor="text1"/>
                <w:sz w:val="20"/>
                <w:szCs w:val="20"/>
              </w:rPr>
              <w:t>ears</w:t>
            </w:r>
          </w:p>
          <w:p w14:paraId="41B905E8" w14:textId="20C92D44" w:rsidR="00432D76" w:rsidRPr="00D40B19" w:rsidRDefault="00432D76" w:rsidP="00D84DBB">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78 TV ICD</w:t>
            </w:r>
            <w:r w:rsidR="004B70C4" w:rsidRPr="00D40B19">
              <w:rPr>
                <w:rFonts w:ascii="Arial" w:hAnsi="Arial" w:cs="Arial"/>
                <w:color w:val="000000" w:themeColor="text1"/>
                <w:sz w:val="20"/>
                <w:szCs w:val="20"/>
              </w:rPr>
              <w:t>;</w:t>
            </w:r>
          </w:p>
          <w:p w14:paraId="45DEBE0C" w14:textId="422FEB45" w:rsidR="00432D76" w:rsidRPr="00D40B19" w:rsidRDefault="00432D76" w:rsidP="00D40B19">
            <w:pPr>
              <w:spacing w:line="240" w:lineRule="auto"/>
              <w:rPr>
                <w:rFonts w:ascii="Arial" w:hAnsi="Arial" w:cs="Arial"/>
                <w:color w:val="000000" w:themeColor="text1"/>
                <w:sz w:val="20"/>
                <w:szCs w:val="20"/>
                <w:u w:val="single"/>
              </w:rPr>
            </w:pPr>
            <w:r w:rsidRPr="00D40B19">
              <w:rPr>
                <w:rFonts w:ascii="Arial" w:hAnsi="Arial" w:cs="Arial"/>
                <w:color w:val="000000" w:themeColor="text1"/>
                <w:sz w:val="20"/>
                <w:szCs w:val="20"/>
              </w:rPr>
              <w:t>mean age 20 y</w:t>
            </w:r>
            <w:r w:rsidR="004E3D07" w:rsidRPr="00D40B19">
              <w:rPr>
                <w:rFonts w:ascii="Arial" w:hAnsi="Arial" w:cs="Arial"/>
                <w:color w:val="000000" w:themeColor="text1"/>
                <w:sz w:val="20"/>
                <w:szCs w:val="20"/>
              </w:rPr>
              <w:t>ears</w:t>
            </w:r>
            <w:r w:rsidRPr="00D40B19">
              <w:rPr>
                <w:rFonts w:ascii="Arial" w:hAnsi="Arial" w:cs="Arial"/>
                <w:color w:val="000000" w:themeColor="text1"/>
                <w:sz w:val="20"/>
                <w:szCs w:val="20"/>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DA515" w14:textId="436186EA" w:rsidR="00432D76" w:rsidRPr="00D40B19" w:rsidRDefault="00432D76"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rPr>
              <w:t>ICD</w:t>
            </w:r>
            <w:r w:rsidR="00FE2F2A"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either TV or non-TV system</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22DE7D" w14:textId="79C32F26" w:rsidR="00432D76" w:rsidRPr="00D40B19" w:rsidRDefault="00432D76" w:rsidP="00D40B19">
            <w:pPr>
              <w:spacing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bdr w:val="none" w:sz="0" w:space="0" w:color="auto" w:frame="1"/>
              </w:rPr>
              <w:t xml:space="preserve">Survival of </w:t>
            </w:r>
            <w:proofErr w:type="spellStart"/>
            <w:r w:rsidRPr="00D40B19">
              <w:rPr>
                <w:rFonts w:ascii="Arial" w:hAnsi="Arial" w:cs="Arial"/>
                <w:color w:val="000000" w:themeColor="text1"/>
                <w:sz w:val="20"/>
                <w:szCs w:val="20"/>
                <w:bdr w:val="none" w:sz="0" w:space="0" w:color="auto" w:frame="1"/>
              </w:rPr>
              <w:t>nontransvenous</w:t>
            </w:r>
            <w:proofErr w:type="spellEnd"/>
            <w:r w:rsidRPr="00D40B19">
              <w:rPr>
                <w:rFonts w:ascii="Arial" w:hAnsi="Arial" w:cs="Arial"/>
                <w:color w:val="000000" w:themeColor="text1"/>
                <w:sz w:val="20"/>
                <w:szCs w:val="20"/>
                <w:bdr w:val="none" w:sz="0" w:space="0" w:color="auto" w:frame="1"/>
              </w:rPr>
              <w:t xml:space="preserve"> ICD systems compared to transvenous ICDs  </w:t>
            </w:r>
          </w:p>
        </w:tc>
        <w:tc>
          <w:tcPr>
            <w:tcW w:w="2855" w:type="dxa"/>
            <w:tcBorders>
              <w:top w:val="single" w:sz="4" w:space="0" w:color="auto"/>
              <w:left w:val="single" w:sz="4" w:space="0" w:color="auto"/>
              <w:bottom w:val="single" w:sz="4" w:space="0" w:color="auto"/>
              <w:right w:val="single" w:sz="4" w:space="0" w:color="auto"/>
            </w:tcBorders>
            <w:shd w:val="clear" w:color="auto" w:fill="FFFFFF" w:themeFill="background1"/>
          </w:tcPr>
          <w:p w14:paraId="73BE1C4D" w14:textId="797C2ED2" w:rsidR="00432D76" w:rsidRPr="00D40B19" w:rsidRDefault="00432D76" w:rsidP="00D40B19">
            <w:pPr>
              <w:spacing w:line="240" w:lineRule="auto"/>
              <w:ind w:left="151"/>
              <w:rPr>
                <w:rFonts w:ascii="Arial" w:hAnsi="Arial" w:cs="Arial"/>
                <w:color w:val="000000" w:themeColor="text1"/>
                <w:sz w:val="20"/>
                <w:szCs w:val="20"/>
                <w:bdr w:val="none" w:sz="0" w:space="0" w:color="auto" w:frame="1"/>
              </w:rPr>
            </w:pPr>
            <w:r w:rsidRPr="00D40B19">
              <w:rPr>
                <w:rFonts w:ascii="Arial" w:hAnsi="Arial" w:cs="Arial"/>
                <w:color w:val="000000" w:themeColor="text1"/>
                <w:sz w:val="20"/>
                <w:szCs w:val="20"/>
                <w:shd w:val="clear" w:color="auto" w:fill="FFFFFF"/>
              </w:rPr>
              <w:t>Single</w:t>
            </w:r>
            <w:r w:rsidR="003A29B1"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 xml:space="preserve">center evaluation showing </w:t>
            </w:r>
            <w:proofErr w:type="spellStart"/>
            <w:r w:rsidRPr="00D40B19">
              <w:rPr>
                <w:rFonts w:ascii="Arial" w:hAnsi="Arial" w:cs="Arial"/>
                <w:color w:val="000000" w:themeColor="text1"/>
                <w:sz w:val="20"/>
                <w:szCs w:val="20"/>
                <w:shd w:val="clear" w:color="auto" w:fill="FFFFFF"/>
              </w:rPr>
              <w:t>nontransvenous</w:t>
            </w:r>
            <w:proofErr w:type="spellEnd"/>
            <w:r w:rsidRPr="00D40B19">
              <w:rPr>
                <w:rFonts w:ascii="Arial" w:hAnsi="Arial" w:cs="Arial"/>
                <w:color w:val="000000" w:themeColor="text1"/>
                <w:sz w:val="20"/>
                <w:szCs w:val="20"/>
                <w:shd w:val="clear" w:color="auto" w:fill="FFFFFF"/>
              </w:rPr>
              <w:t xml:space="preserve"> ICDs have shorter system survival. Non</w:t>
            </w:r>
            <w:r w:rsidR="00755F49"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TV system survival was 49% at 3 years post-implant</w:t>
            </w:r>
            <w:r w:rsidR="00755F49" w:rsidRPr="00D40B19">
              <w:rPr>
                <w:rFonts w:ascii="Arial" w:hAnsi="Arial" w:cs="Arial"/>
                <w:color w:val="000000" w:themeColor="text1"/>
                <w:sz w:val="20"/>
                <w:szCs w:val="20"/>
                <w:shd w:val="clear" w:color="auto" w:fill="FFFFFF"/>
              </w:rPr>
              <w:t>.</w:t>
            </w:r>
          </w:p>
        </w:tc>
      </w:tr>
    </w:tbl>
    <w:p w14:paraId="189F3F7B" w14:textId="77777777" w:rsidR="00A626A6" w:rsidRPr="00D40B19" w:rsidRDefault="00A626A6" w:rsidP="00C006B2">
      <w:pPr>
        <w:pStyle w:val="Caption"/>
        <w:keepNext/>
        <w:rPr>
          <w:rFonts w:ascii="Arial" w:hAnsi="Arial" w:cs="Arial"/>
          <w:b/>
          <w:i w:val="0"/>
          <w:iCs w:val="0"/>
          <w:color w:val="000000" w:themeColor="text1"/>
          <w:sz w:val="24"/>
          <w:szCs w:val="24"/>
        </w:rPr>
      </w:pPr>
    </w:p>
    <w:p w14:paraId="3075AE21" w14:textId="2C1D3204" w:rsidR="00C006B2" w:rsidRPr="00D40B19" w:rsidRDefault="009D128D" w:rsidP="00C006B2">
      <w:pPr>
        <w:pStyle w:val="Caption"/>
        <w:keepNext/>
        <w:rPr>
          <w:rFonts w:ascii="Arial" w:hAnsi="Arial" w:cs="Arial"/>
          <w:b/>
          <w:i w:val="0"/>
          <w:color w:val="000000" w:themeColor="text1"/>
          <w:sz w:val="24"/>
          <w:szCs w:val="24"/>
        </w:rPr>
      </w:pPr>
      <w:r w:rsidRPr="009D78BE">
        <w:rPr>
          <w:rFonts w:ascii="Arial" w:hAnsi="Arial" w:cs="Arial"/>
          <w:b/>
          <w:i w:val="0"/>
          <w:color w:val="000000" w:themeColor="text1"/>
          <w:sz w:val="24"/>
          <w:szCs w:val="24"/>
        </w:rPr>
        <w:t xml:space="preserve">Table </w:t>
      </w:r>
      <w:r w:rsidR="00BA22E5">
        <w:rPr>
          <w:rFonts w:ascii="Arial" w:hAnsi="Arial" w:cs="Arial"/>
          <w:b/>
          <w:i w:val="0"/>
          <w:color w:val="000000" w:themeColor="text1"/>
          <w:sz w:val="24"/>
          <w:szCs w:val="24"/>
        </w:rPr>
        <w:t>S</w:t>
      </w:r>
      <w:r w:rsidRPr="009D78BE">
        <w:rPr>
          <w:rFonts w:ascii="Arial" w:hAnsi="Arial" w:cs="Arial"/>
          <w:b/>
          <w:i w:val="0"/>
          <w:color w:val="000000" w:themeColor="text1"/>
          <w:sz w:val="24"/>
          <w:szCs w:val="24"/>
        </w:rPr>
        <w:t xml:space="preserve">4. </w:t>
      </w:r>
      <w:r w:rsidR="00C006B2" w:rsidRPr="009D78BE">
        <w:rPr>
          <w:rFonts w:ascii="Arial" w:hAnsi="Arial" w:cs="Arial"/>
          <w:b/>
          <w:i w:val="0"/>
          <w:color w:val="000000" w:themeColor="text1"/>
          <w:sz w:val="24"/>
          <w:szCs w:val="24"/>
        </w:rPr>
        <w:t xml:space="preserve">Evidence for </w:t>
      </w:r>
      <w:r w:rsidR="006D10B9" w:rsidRPr="009D78BE">
        <w:rPr>
          <w:rFonts w:ascii="Arial" w:hAnsi="Arial" w:cs="Arial"/>
          <w:b/>
          <w:i w:val="0"/>
          <w:color w:val="000000" w:themeColor="text1"/>
          <w:sz w:val="24"/>
          <w:szCs w:val="24"/>
        </w:rPr>
        <w:t>Insertable Cardiac Monitors</w:t>
      </w:r>
    </w:p>
    <w:tbl>
      <w:tblPr>
        <w:tblW w:w="12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784"/>
        <w:gridCol w:w="1728"/>
        <w:gridCol w:w="1440"/>
        <w:gridCol w:w="2055"/>
        <w:gridCol w:w="1833"/>
        <w:gridCol w:w="3027"/>
      </w:tblGrid>
      <w:tr w:rsidR="009D78BE" w:rsidRPr="009D78BE" w14:paraId="407064DB" w14:textId="77777777" w:rsidTr="00D40B19">
        <w:trPr>
          <w:trHeight w:val="576"/>
        </w:trPr>
        <w:tc>
          <w:tcPr>
            <w:tcW w:w="1728" w:type="dxa"/>
          </w:tcPr>
          <w:p w14:paraId="6C5AA0F0" w14:textId="71B9284F" w:rsidR="00CD27D0" w:rsidRPr="00D40B19" w:rsidRDefault="00CD27D0" w:rsidP="0058087D">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 xml:space="preserve">Study </w:t>
            </w:r>
            <w:r w:rsidR="000B3A0C" w:rsidRPr="00D40B19">
              <w:rPr>
                <w:rFonts w:ascii="Arial" w:hAnsi="Arial" w:cs="Arial"/>
                <w:b/>
                <w:color w:val="000000" w:themeColor="text1"/>
                <w:sz w:val="22"/>
                <w:szCs w:val="22"/>
              </w:rPr>
              <w:t>author</w:t>
            </w:r>
          </w:p>
        </w:tc>
        <w:tc>
          <w:tcPr>
            <w:tcW w:w="784" w:type="dxa"/>
          </w:tcPr>
          <w:p w14:paraId="6BDCF538" w14:textId="77777777" w:rsidR="00CD27D0" w:rsidRPr="00D40B19" w:rsidRDefault="00CD27D0" w:rsidP="00B05A29">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Year</w:t>
            </w:r>
          </w:p>
        </w:tc>
        <w:tc>
          <w:tcPr>
            <w:tcW w:w="1728" w:type="dxa"/>
          </w:tcPr>
          <w:p w14:paraId="16B8640D" w14:textId="4417800B" w:rsidR="00CD27D0" w:rsidRPr="00D40B19" w:rsidRDefault="00CD27D0" w:rsidP="00B05A29">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 xml:space="preserve">Study </w:t>
            </w:r>
            <w:r w:rsidR="000B3A0C" w:rsidRPr="00D40B19">
              <w:rPr>
                <w:rFonts w:ascii="Arial" w:hAnsi="Arial" w:cs="Arial"/>
                <w:b/>
                <w:color w:val="000000" w:themeColor="text1"/>
                <w:sz w:val="22"/>
                <w:szCs w:val="22"/>
              </w:rPr>
              <w:t>type</w:t>
            </w:r>
          </w:p>
        </w:tc>
        <w:tc>
          <w:tcPr>
            <w:tcW w:w="1440" w:type="dxa"/>
          </w:tcPr>
          <w:p w14:paraId="3AE30031" w14:textId="7938C8EC" w:rsidR="00CD27D0" w:rsidRPr="00D40B19" w:rsidRDefault="00CD27D0" w:rsidP="0058087D">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 xml:space="preserve">Patient </w:t>
            </w:r>
            <w:r w:rsidR="000B3A0C" w:rsidRPr="00D40B19">
              <w:rPr>
                <w:rFonts w:ascii="Arial" w:hAnsi="Arial" w:cs="Arial"/>
                <w:b/>
                <w:color w:val="000000" w:themeColor="text1"/>
                <w:sz w:val="22"/>
                <w:szCs w:val="22"/>
              </w:rPr>
              <w:t>population</w:t>
            </w:r>
          </w:p>
        </w:tc>
        <w:tc>
          <w:tcPr>
            <w:tcW w:w="2055" w:type="dxa"/>
          </w:tcPr>
          <w:p w14:paraId="318B3DDB" w14:textId="54BD636E" w:rsidR="00CD27D0" w:rsidRPr="00D40B19" w:rsidRDefault="00CD27D0" w:rsidP="0058087D">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 xml:space="preserve">Inclusion </w:t>
            </w:r>
            <w:r w:rsidR="000B3A0C" w:rsidRPr="00D40B19">
              <w:rPr>
                <w:rFonts w:ascii="Arial" w:hAnsi="Arial" w:cs="Arial"/>
                <w:b/>
                <w:color w:val="000000" w:themeColor="text1"/>
                <w:sz w:val="22"/>
                <w:szCs w:val="22"/>
              </w:rPr>
              <w:t>criteria</w:t>
            </w:r>
          </w:p>
        </w:tc>
        <w:tc>
          <w:tcPr>
            <w:tcW w:w="1833" w:type="dxa"/>
          </w:tcPr>
          <w:p w14:paraId="45D0BD2B" w14:textId="77777777" w:rsidR="00CD27D0" w:rsidRPr="00D40B19" w:rsidRDefault="00CD27D0" w:rsidP="0058087D">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Endpoints</w:t>
            </w:r>
          </w:p>
        </w:tc>
        <w:tc>
          <w:tcPr>
            <w:tcW w:w="3027" w:type="dxa"/>
          </w:tcPr>
          <w:p w14:paraId="73F606D1" w14:textId="0D9EC1C3" w:rsidR="00CD27D0" w:rsidRPr="00D40B19" w:rsidRDefault="00CD27D0" w:rsidP="0058087D">
            <w:pPr>
              <w:pStyle w:val="NoSpacing"/>
              <w:rPr>
                <w:rFonts w:ascii="Arial" w:hAnsi="Arial" w:cs="Arial"/>
                <w:b/>
                <w:color w:val="000000" w:themeColor="text1"/>
                <w:sz w:val="22"/>
                <w:szCs w:val="22"/>
              </w:rPr>
            </w:pPr>
            <w:r w:rsidRPr="00D40B19">
              <w:rPr>
                <w:rFonts w:ascii="Arial" w:hAnsi="Arial" w:cs="Arial"/>
                <w:b/>
                <w:color w:val="000000" w:themeColor="text1"/>
                <w:sz w:val="22"/>
                <w:szCs w:val="22"/>
              </w:rPr>
              <w:t>Results/</w:t>
            </w:r>
            <w:r w:rsidR="000B3A0C" w:rsidRPr="00D40B19">
              <w:rPr>
                <w:rFonts w:ascii="Arial" w:hAnsi="Arial" w:cs="Arial"/>
                <w:b/>
                <w:color w:val="000000" w:themeColor="text1"/>
                <w:sz w:val="22"/>
                <w:szCs w:val="22"/>
              </w:rPr>
              <w:t>findings</w:t>
            </w:r>
          </w:p>
        </w:tc>
      </w:tr>
      <w:tr w:rsidR="009D78BE" w:rsidRPr="009D78BE" w14:paraId="488DA843" w14:textId="77777777" w:rsidTr="00D40B19">
        <w:tc>
          <w:tcPr>
            <w:tcW w:w="1728" w:type="dxa"/>
          </w:tcPr>
          <w:p w14:paraId="32D9F2D0" w14:textId="77148384" w:rsidR="00CD27D0" w:rsidRPr="00D40B19" w:rsidRDefault="00CD27D0" w:rsidP="0058087D">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Babikar</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22</w:t>
            </w:r>
            <w:r w:rsidR="00631BFE" w:rsidRPr="00D40B19">
              <w:rPr>
                <w:rFonts w:ascii="Arial" w:hAnsi="Arial" w:cs="Arial"/>
                <w:color w:val="000000" w:themeColor="text1"/>
                <w:sz w:val="20"/>
                <w:szCs w:val="20"/>
                <w:vertAlign w:val="superscript"/>
              </w:rPr>
              <w:t>4</w:t>
            </w:r>
          </w:p>
          <w:p w14:paraId="6E44D373"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6170E454"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2008</w:t>
            </w:r>
          </w:p>
        </w:tc>
        <w:tc>
          <w:tcPr>
            <w:tcW w:w="1728" w:type="dxa"/>
          </w:tcPr>
          <w:p w14:paraId="42F4469A" w14:textId="6906446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w:t>
            </w:r>
            <w:r w:rsidR="00851767" w:rsidRPr="00D40B19">
              <w:rPr>
                <w:rFonts w:ascii="Arial" w:hAnsi="Arial" w:cs="Arial"/>
                <w:color w:val="000000" w:themeColor="text1"/>
                <w:sz w:val="20"/>
                <w:szCs w:val="20"/>
              </w:rPr>
              <w:t xml:space="preserve">retrospective </w:t>
            </w:r>
            <w:r w:rsidR="00E6304A" w:rsidRPr="00D40B19">
              <w:rPr>
                <w:rFonts w:ascii="Arial" w:hAnsi="Arial" w:cs="Arial"/>
                <w:color w:val="000000" w:themeColor="text1"/>
                <w:sz w:val="20"/>
                <w:szCs w:val="20"/>
              </w:rPr>
              <w:t>study</w:t>
            </w:r>
          </w:p>
        </w:tc>
        <w:tc>
          <w:tcPr>
            <w:tcW w:w="1440" w:type="dxa"/>
          </w:tcPr>
          <w:p w14:paraId="304564DA" w14:textId="307B2186"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23</w:t>
            </w:r>
            <w:r w:rsidR="004B70C4" w:rsidRPr="00D40B19">
              <w:rPr>
                <w:rFonts w:ascii="Arial" w:hAnsi="Arial" w:cs="Arial"/>
                <w:color w:val="000000" w:themeColor="text1"/>
                <w:sz w:val="20"/>
                <w:szCs w:val="20"/>
              </w:rPr>
              <w:t xml:space="preserve"> patients</w:t>
            </w:r>
          </w:p>
        </w:tc>
        <w:tc>
          <w:tcPr>
            <w:tcW w:w="2055" w:type="dxa"/>
          </w:tcPr>
          <w:p w14:paraId="713AD00A" w14:textId="7EC1E00D"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 xml:space="preserve">All patients with ICM </w:t>
            </w:r>
            <w:r w:rsidR="00C948BF" w:rsidRPr="00D40B19">
              <w:rPr>
                <w:rFonts w:ascii="Arial" w:hAnsi="Arial" w:cs="Arial"/>
                <w:color w:val="000000" w:themeColor="text1"/>
                <w:sz w:val="20"/>
                <w:szCs w:val="20"/>
              </w:rPr>
              <w:t xml:space="preserve">implant </w:t>
            </w:r>
            <w:r w:rsidRPr="00D40B19">
              <w:rPr>
                <w:rFonts w:ascii="Arial" w:hAnsi="Arial" w:cs="Arial"/>
                <w:color w:val="000000" w:themeColor="text1"/>
                <w:sz w:val="20"/>
                <w:szCs w:val="20"/>
              </w:rPr>
              <w:t>between 2000</w:t>
            </w:r>
            <w:r w:rsidR="005D197A"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2005</w:t>
            </w:r>
          </w:p>
        </w:tc>
        <w:tc>
          <w:tcPr>
            <w:tcW w:w="1833" w:type="dxa"/>
          </w:tcPr>
          <w:p w14:paraId="784C0F75"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18F9F737" w14:textId="701D601A" w:rsidR="00CD27D0" w:rsidRPr="00D40B19" w:rsidRDefault="00CD27D0" w:rsidP="00D40B19">
            <w:pPr>
              <w:spacing w:line="240" w:lineRule="auto"/>
              <w:rPr>
                <w:rFonts w:ascii="Arial" w:hAnsi="Arial" w:cs="Arial"/>
                <w:iCs/>
                <w:color w:val="000000" w:themeColor="text1"/>
                <w:sz w:val="20"/>
                <w:szCs w:val="20"/>
              </w:rPr>
            </w:pPr>
            <w:r w:rsidRPr="00D40B19">
              <w:rPr>
                <w:rFonts w:ascii="Arial" w:hAnsi="Arial" w:cs="Arial"/>
                <w:color w:val="000000" w:themeColor="text1"/>
                <w:sz w:val="20"/>
                <w:szCs w:val="20"/>
              </w:rPr>
              <w:t xml:space="preserve">ICM yielded arrhythmic or </w:t>
            </w:r>
            <w:proofErr w:type="spellStart"/>
            <w:r w:rsidRPr="00D40B19">
              <w:rPr>
                <w:rFonts w:ascii="Arial" w:hAnsi="Arial" w:cs="Arial"/>
                <w:color w:val="000000" w:themeColor="text1"/>
                <w:sz w:val="20"/>
                <w:szCs w:val="20"/>
              </w:rPr>
              <w:t>nonarrhythmic</w:t>
            </w:r>
            <w:proofErr w:type="spellEnd"/>
            <w:r w:rsidRPr="00D40B19">
              <w:rPr>
                <w:rFonts w:ascii="Arial" w:hAnsi="Arial" w:cs="Arial"/>
                <w:color w:val="000000" w:themeColor="text1"/>
                <w:sz w:val="20"/>
                <w:szCs w:val="20"/>
              </w:rPr>
              <w:t xml:space="preserve"> diagnosis in 15/23 of p</w:t>
            </w:r>
            <w:r w:rsidR="00755F49" w:rsidRPr="00D40B19">
              <w:rPr>
                <w:rFonts w:ascii="Arial" w:hAnsi="Arial" w:cs="Arial"/>
                <w:color w:val="000000" w:themeColor="text1"/>
                <w:sz w:val="20"/>
                <w:szCs w:val="20"/>
              </w:rPr>
              <w:t>atients</w:t>
            </w:r>
            <w:r w:rsidRPr="00D40B19">
              <w:rPr>
                <w:rFonts w:ascii="Arial" w:hAnsi="Arial" w:cs="Arial"/>
                <w:color w:val="000000" w:themeColor="text1"/>
                <w:sz w:val="20"/>
                <w:szCs w:val="20"/>
              </w:rPr>
              <w:t xml:space="preserve">. 8/15 with </w:t>
            </w:r>
            <w:r w:rsidRPr="00D40B19">
              <w:rPr>
                <w:rFonts w:ascii="Arial" w:hAnsi="Arial" w:cs="Arial"/>
                <w:color w:val="000000" w:themeColor="text1"/>
                <w:sz w:val="20"/>
                <w:szCs w:val="20"/>
              </w:rPr>
              <w:lastRenderedPageBreak/>
              <w:t>symptom recurrence had arrhythmia recorded.</w:t>
            </w:r>
          </w:p>
        </w:tc>
      </w:tr>
      <w:tr w:rsidR="009D78BE" w:rsidRPr="009D78BE" w14:paraId="2A780756" w14:textId="77777777" w:rsidTr="00D40B19">
        <w:tc>
          <w:tcPr>
            <w:tcW w:w="1728" w:type="dxa"/>
          </w:tcPr>
          <w:p w14:paraId="7D7CDD6A" w14:textId="31FCAE1F" w:rsidR="00CD27D0" w:rsidRPr="00D40B19" w:rsidRDefault="00CD27D0" w:rsidP="0058087D">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lastRenderedPageBreak/>
              <w:t>Bezzerides</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22</w:t>
            </w:r>
            <w:r w:rsidR="00631BFE" w:rsidRPr="00D40B19">
              <w:rPr>
                <w:rFonts w:ascii="Arial" w:hAnsi="Arial" w:cs="Arial"/>
                <w:color w:val="000000" w:themeColor="text1"/>
                <w:sz w:val="20"/>
                <w:szCs w:val="20"/>
                <w:vertAlign w:val="superscript"/>
              </w:rPr>
              <w:t>5</w:t>
            </w:r>
          </w:p>
          <w:p w14:paraId="3A472BDC"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576A769B"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2019</w:t>
            </w:r>
          </w:p>
        </w:tc>
        <w:tc>
          <w:tcPr>
            <w:tcW w:w="1728" w:type="dxa"/>
          </w:tcPr>
          <w:p w14:paraId="2A54F06D" w14:textId="25B6486A"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r w:rsidRPr="00D40B19">
              <w:rPr>
                <w:rFonts w:ascii="Arial" w:hAnsi="Arial" w:cs="Arial"/>
                <w:color w:val="000000" w:themeColor="text1"/>
                <w:sz w:val="20"/>
                <w:szCs w:val="20"/>
              </w:rPr>
              <w:t xml:space="preserve"> </w:t>
            </w:r>
          </w:p>
        </w:tc>
        <w:tc>
          <w:tcPr>
            <w:tcW w:w="1440" w:type="dxa"/>
          </w:tcPr>
          <w:p w14:paraId="17985074" w14:textId="30DA28C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133</w:t>
            </w:r>
            <w:r w:rsidR="004B70C4" w:rsidRPr="00D40B19">
              <w:rPr>
                <w:rFonts w:ascii="Arial" w:hAnsi="Arial" w:cs="Arial"/>
                <w:color w:val="000000" w:themeColor="text1"/>
                <w:sz w:val="20"/>
                <w:szCs w:val="20"/>
              </w:rPr>
              <w:t xml:space="preserve"> patients</w:t>
            </w:r>
            <w:r w:rsidR="004B3D6D" w:rsidRPr="00D40B19">
              <w:rPr>
                <w:rFonts w:ascii="Arial" w:hAnsi="Arial" w:cs="Arial"/>
                <w:color w:val="000000" w:themeColor="text1"/>
                <w:sz w:val="20"/>
                <w:szCs w:val="20"/>
              </w:rPr>
              <w:t>;</w:t>
            </w:r>
            <w:r w:rsidR="004B70C4" w:rsidRPr="00D40B19">
              <w:rPr>
                <w:rFonts w:ascii="Arial" w:hAnsi="Arial" w:cs="Arial"/>
                <w:color w:val="000000" w:themeColor="text1"/>
                <w:sz w:val="20"/>
                <w:szCs w:val="20"/>
              </w:rPr>
              <w:t xml:space="preserve"> 3</w:t>
            </w:r>
            <w:r w:rsidR="00620147">
              <w:rPr>
                <w:rFonts w:ascii="Arial" w:hAnsi="Arial" w:cs="Arial"/>
                <w:color w:val="000000" w:themeColor="text1"/>
                <w:sz w:val="20"/>
                <w:szCs w:val="20"/>
              </w:rPr>
              <w:t>4</w:t>
            </w:r>
            <w:r w:rsidR="004B70C4" w:rsidRPr="00D40B19">
              <w:rPr>
                <w:rFonts w:ascii="Arial" w:hAnsi="Arial" w:cs="Arial"/>
                <w:color w:val="000000" w:themeColor="text1"/>
                <w:sz w:val="20"/>
                <w:szCs w:val="20"/>
              </w:rPr>
              <w:t xml:space="preserve"> with</w:t>
            </w:r>
            <w:r w:rsidRPr="00D40B19">
              <w:rPr>
                <w:rFonts w:ascii="Arial" w:hAnsi="Arial" w:cs="Arial"/>
                <w:color w:val="000000" w:themeColor="text1"/>
                <w:sz w:val="20"/>
                <w:szCs w:val="20"/>
              </w:rPr>
              <w:t xml:space="preserve"> CHD</w:t>
            </w:r>
            <w:r w:rsidR="004B70C4" w:rsidRPr="00D40B19">
              <w:rPr>
                <w:rFonts w:ascii="Arial" w:hAnsi="Arial" w:cs="Arial"/>
                <w:color w:val="000000" w:themeColor="text1"/>
                <w:sz w:val="20"/>
                <w:szCs w:val="20"/>
              </w:rPr>
              <w:t>;</w:t>
            </w:r>
            <w:bookmarkStart w:id="0" w:name="_GoBack"/>
            <w:bookmarkEnd w:id="0"/>
            <w:r w:rsidRPr="00D40B19">
              <w:rPr>
                <w:rFonts w:ascii="Arial" w:hAnsi="Arial" w:cs="Arial"/>
                <w:color w:val="000000" w:themeColor="text1"/>
                <w:sz w:val="20"/>
                <w:szCs w:val="20"/>
              </w:rPr>
              <w:t xml:space="preserve"> </w:t>
            </w:r>
            <w:r w:rsidR="004B70C4" w:rsidRPr="00D40B19">
              <w:rPr>
                <w:rFonts w:ascii="Arial" w:hAnsi="Arial" w:cs="Arial"/>
                <w:color w:val="000000" w:themeColor="text1"/>
                <w:sz w:val="20"/>
                <w:szCs w:val="20"/>
              </w:rPr>
              <w:t xml:space="preserve">50 with </w:t>
            </w:r>
            <w:r w:rsidRPr="00D40B19">
              <w:rPr>
                <w:rFonts w:ascii="Arial" w:hAnsi="Arial" w:cs="Arial"/>
                <w:color w:val="000000" w:themeColor="text1"/>
                <w:sz w:val="20"/>
                <w:szCs w:val="20"/>
              </w:rPr>
              <w:t>inherited arrhythmia</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r w:rsidR="004B70C4" w:rsidRPr="00D40B19">
              <w:rPr>
                <w:rFonts w:ascii="Arial" w:hAnsi="Arial" w:cs="Arial"/>
                <w:color w:val="000000" w:themeColor="text1"/>
                <w:sz w:val="20"/>
                <w:szCs w:val="20"/>
              </w:rPr>
              <w:t xml:space="preserve">22 with </w:t>
            </w:r>
            <w:r w:rsidRPr="00D40B19">
              <w:rPr>
                <w:rFonts w:ascii="Arial" w:hAnsi="Arial" w:cs="Arial"/>
                <w:color w:val="000000" w:themeColor="text1"/>
                <w:sz w:val="20"/>
                <w:szCs w:val="20"/>
              </w:rPr>
              <w:t>cardiomyopathy</w:t>
            </w:r>
          </w:p>
        </w:tc>
        <w:tc>
          <w:tcPr>
            <w:tcW w:w="2055" w:type="dxa"/>
          </w:tcPr>
          <w:p w14:paraId="49533739" w14:textId="605D8E78"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All patients with ICM implant between 2014</w:t>
            </w:r>
            <w:r w:rsidR="004B3D6D"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2017</w:t>
            </w:r>
          </w:p>
        </w:tc>
        <w:tc>
          <w:tcPr>
            <w:tcW w:w="1833" w:type="dxa"/>
          </w:tcPr>
          <w:p w14:paraId="187A71AE"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2C67F03C" w14:textId="002F71BB" w:rsidR="00CD27D0" w:rsidRPr="00D40B19" w:rsidRDefault="00CD27D0" w:rsidP="00D40B19">
            <w:pPr>
              <w:spacing w:line="240" w:lineRule="auto"/>
              <w:rPr>
                <w:rFonts w:ascii="Arial" w:hAnsi="Arial" w:cs="Arial"/>
                <w:color w:val="000000" w:themeColor="text1"/>
                <w:sz w:val="20"/>
                <w:szCs w:val="20"/>
              </w:rPr>
            </w:pPr>
            <w:r w:rsidRPr="00D40B19">
              <w:rPr>
                <w:rFonts w:ascii="Arial" w:hAnsi="Arial" w:cs="Arial"/>
                <w:color w:val="000000" w:themeColor="text1"/>
                <w:sz w:val="20"/>
                <w:szCs w:val="20"/>
                <w:shd w:val="clear" w:color="auto" w:fill="FFFFFF"/>
              </w:rPr>
              <w:t>Median time to diagnosis was 4.5 months, occurring in 78 patients (59%). Cardiac device implant</w:t>
            </w:r>
            <w:r w:rsidR="00755F49" w:rsidRPr="00D40B19">
              <w:rPr>
                <w:rFonts w:ascii="Arial" w:hAnsi="Arial" w:cs="Arial"/>
                <w:color w:val="000000" w:themeColor="text1"/>
                <w:sz w:val="20"/>
                <w:szCs w:val="20"/>
                <w:shd w:val="clear" w:color="auto" w:fill="FFFFFF"/>
              </w:rPr>
              <w:t>ation</w:t>
            </w:r>
            <w:r w:rsidRPr="00D40B19">
              <w:rPr>
                <w:rFonts w:ascii="Arial" w:hAnsi="Arial" w:cs="Arial"/>
                <w:color w:val="000000" w:themeColor="text1"/>
                <w:sz w:val="20"/>
                <w:szCs w:val="20"/>
                <w:shd w:val="clear" w:color="auto" w:fill="FFFFFF"/>
              </w:rPr>
              <w:t xml:space="preserve"> occurred in 17 patients (22%), change in medication </w:t>
            </w:r>
            <w:r w:rsidR="00BF3EA6" w:rsidRPr="00D40B19">
              <w:rPr>
                <w:rFonts w:ascii="Arial" w:hAnsi="Arial" w:cs="Arial"/>
                <w:color w:val="000000" w:themeColor="text1"/>
                <w:sz w:val="20"/>
                <w:szCs w:val="20"/>
                <w:shd w:val="clear" w:color="auto" w:fill="FFFFFF"/>
              </w:rPr>
              <w:t xml:space="preserve">in </w:t>
            </w:r>
            <w:r w:rsidRPr="00D40B19">
              <w:rPr>
                <w:rFonts w:ascii="Arial" w:hAnsi="Arial" w:cs="Arial"/>
                <w:color w:val="000000" w:themeColor="text1"/>
                <w:sz w:val="20"/>
                <w:szCs w:val="20"/>
                <w:shd w:val="clear" w:color="auto" w:fill="FFFFFF"/>
              </w:rPr>
              <w:t>9 (12%),</w:t>
            </w:r>
            <w:r w:rsidR="00BF3EA6" w:rsidRPr="00D40B19">
              <w:rPr>
                <w:rFonts w:ascii="Arial" w:hAnsi="Arial" w:cs="Arial"/>
                <w:color w:val="000000" w:themeColor="text1"/>
                <w:sz w:val="20"/>
                <w:szCs w:val="20"/>
                <w:shd w:val="clear" w:color="auto" w:fill="FFFFFF"/>
              </w:rPr>
              <w:t xml:space="preserve"> and</w:t>
            </w:r>
            <w:r w:rsidRPr="00D40B19">
              <w:rPr>
                <w:rFonts w:ascii="Arial" w:hAnsi="Arial" w:cs="Arial"/>
                <w:color w:val="000000" w:themeColor="text1"/>
                <w:sz w:val="20"/>
                <w:szCs w:val="20"/>
                <w:shd w:val="clear" w:color="auto" w:fill="FFFFFF"/>
              </w:rPr>
              <w:t xml:space="preserve"> electrophysiology study/ablation in 5 (6%). LINQ-ILR was explanted in 42 </w:t>
            </w:r>
            <w:r w:rsidR="00BF3EA6" w:rsidRPr="00D40B19">
              <w:rPr>
                <w:rFonts w:ascii="Arial" w:hAnsi="Arial" w:cs="Arial"/>
                <w:color w:val="000000" w:themeColor="text1"/>
                <w:sz w:val="20"/>
                <w:szCs w:val="20"/>
                <w:shd w:val="clear" w:color="auto" w:fill="FFFFFF"/>
              </w:rPr>
              <w:t xml:space="preserve">patients </w:t>
            </w:r>
            <w:r w:rsidRPr="00D40B19">
              <w:rPr>
                <w:rFonts w:ascii="Arial" w:hAnsi="Arial" w:cs="Arial"/>
                <w:color w:val="000000" w:themeColor="text1"/>
                <w:sz w:val="20"/>
                <w:szCs w:val="20"/>
                <w:shd w:val="clear" w:color="auto" w:fill="FFFFFF"/>
              </w:rPr>
              <w:t>(54%). ICM</w:t>
            </w:r>
            <w:r w:rsidR="00BF3EA6"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related skin infection or erosion occurred in 5 patients.</w:t>
            </w:r>
          </w:p>
        </w:tc>
      </w:tr>
      <w:tr w:rsidR="009D78BE" w:rsidRPr="009D78BE" w14:paraId="7914A55C" w14:textId="77777777" w:rsidTr="00D40B19">
        <w:tc>
          <w:tcPr>
            <w:tcW w:w="1728" w:type="dxa"/>
          </w:tcPr>
          <w:p w14:paraId="59BE4A67" w14:textId="372AC822" w:rsidR="00CD27D0" w:rsidRPr="00D40B19" w:rsidRDefault="00CD27D0" w:rsidP="0058087D">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Placidi</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22</w:t>
            </w:r>
            <w:r w:rsidR="00FF0279" w:rsidRPr="00D40B19">
              <w:rPr>
                <w:rFonts w:ascii="Arial" w:hAnsi="Arial" w:cs="Arial"/>
                <w:color w:val="000000" w:themeColor="text1"/>
                <w:sz w:val="20"/>
                <w:szCs w:val="20"/>
                <w:vertAlign w:val="superscript"/>
              </w:rPr>
              <w:t>6</w:t>
            </w:r>
          </w:p>
          <w:p w14:paraId="74393B4A"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52A478F9"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2016</w:t>
            </w:r>
          </w:p>
        </w:tc>
        <w:tc>
          <w:tcPr>
            <w:tcW w:w="1728" w:type="dxa"/>
          </w:tcPr>
          <w:p w14:paraId="0AC1C24D" w14:textId="7F4C98D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440" w:type="dxa"/>
          </w:tcPr>
          <w:p w14:paraId="4647AF48" w14:textId="38906C30"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21</w:t>
            </w:r>
            <w:r w:rsidR="004B70C4" w:rsidRPr="00D40B19">
              <w:rPr>
                <w:rFonts w:ascii="Arial" w:hAnsi="Arial" w:cs="Arial"/>
                <w:color w:val="000000" w:themeColor="text1"/>
                <w:sz w:val="20"/>
                <w:szCs w:val="20"/>
              </w:rPr>
              <w:t xml:space="preserve"> patients</w:t>
            </w:r>
          </w:p>
        </w:tc>
        <w:tc>
          <w:tcPr>
            <w:tcW w:w="2055" w:type="dxa"/>
          </w:tcPr>
          <w:p w14:paraId="471C368C" w14:textId="17933F7D"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All patients with ICM implant between 2014</w:t>
            </w:r>
            <w:r w:rsidR="004B3D6D"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2015</w:t>
            </w:r>
          </w:p>
        </w:tc>
        <w:tc>
          <w:tcPr>
            <w:tcW w:w="1833" w:type="dxa"/>
          </w:tcPr>
          <w:p w14:paraId="20656716"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6D3082BE" w14:textId="184182E7" w:rsidR="00CD27D0" w:rsidRPr="00D40B19" w:rsidRDefault="00CD27D0" w:rsidP="00D40B19">
            <w:pPr>
              <w:spacing w:line="240" w:lineRule="auto"/>
              <w:rPr>
                <w:rFonts w:ascii="Arial" w:hAnsi="Arial" w:cs="Arial"/>
                <w:color w:val="000000" w:themeColor="text1"/>
                <w:sz w:val="20"/>
                <w:szCs w:val="20"/>
                <w:shd w:val="clear" w:color="auto" w:fill="FFFFFF"/>
              </w:rPr>
            </w:pPr>
            <w:r w:rsidRPr="00D40B19">
              <w:rPr>
                <w:rFonts w:ascii="Arial" w:hAnsi="Arial" w:cs="Arial"/>
                <w:color w:val="000000" w:themeColor="text1"/>
                <w:sz w:val="20"/>
                <w:szCs w:val="20"/>
              </w:rPr>
              <w:t xml:space="preserve">Median follow-up 10 months, diagnostic yield was 47%. 8 symptomatic patients: no arrhythmias in 6 and significant sinus pauses in 2. In 13 asymptomatic patients, 2 patients had significant arrhythmias. Pacemaker implanted in </w:t>
            </w:r>
            <w:r w:rsidR="00755F49" w:rsidRPr="00D40B19">
              <w:rPr>
                <w:rFonts w:ascii="Arial" w:hAnsi="Arial" w:cs="Arial"/>
                <w:color w:val="000000" w:themeColor="text1"/>
                <w:sz w:val="20"/>
                <w:szCs w:val="20"/>
              </w:rPr>
              <w:t xml:space="preserve">1 </w:t>
            </w:r>
            <w:r w:rsidRPr="00D40B19">
              <w:rPr>
                <w:rFonts w:ascii="Arial" w:hAnsi="Arial" w:cs="Arial"/>
                <w:color w:val="000000" w:themeColor="text1"/>
                <w:sz w:val="20"/>
                <w:szCs w:val="20"/>
              </w:rPr>
              <w:t>patient. ICM pocket infection in 2</w:t>
            </w:r>
            <w:r w:rsidR="00755F49"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xml:space="preserve"> (9%)</w:t>
            </w:r>
            <w:r w:rsidR="00755F49" w:rsidRPr="00D40B19">
              <w:rPr>
                <w:rFonts w:ascii="Arial" w:hAnsi="Arial" w:cs="Arial"/>
                <w:color w:val="000000" w:themeColor="text1"/>
                <w:sz w:val="20"/>
                <w:szCs w:val="20"/>
              </w:rPr>
              <w:t>.</w:t>
            </w:r>
          </w:p>
        </w:tc>
      </w:tr>
      <w:tr w:rsidR="009D78BE" w:rsidRPr="009D78BE" w14:paraId="54ABBAE5" w14:textId="77777777" w:rsidTr="00D40B19">
        <w:tc>
          <w:tcPr>
            <w:tcW w:w="1728" w:type="dxa"/>
          </w:tcPr>
          <w:p w14:paraId="2818C1D2" w14:textId="2447924A" w:rsidR="00CD27D0" w:rsidRPr="00D40B19" w:rsidRDefault="00CD27D0" w:rsidP="0058087D">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Avari</w:t>
            </w:r>
            <w:proofErr w:type="spellEnd"/>
            <w:r w:rsidRPr="00D40B19">
              <w:rPr>
                <w:rFonts w:ascii="Arial" w:hAnsi="Arial" w:cs="Arial"/>
                <w:color w:val="000000" w:themeColor="text1"/>
                <w:sz w:val="20"/>
                <w:szCs w:val="20"/>
              </w:rPr>
              <w:t xml:space="preserve"> Silva</w:t>
            </w:r>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22</w:t>
            </w:r>
            <w:r w:rsidR="00EF0CAD" w:rsidRPr="00D40B19">
              <w:rPr>
                <w:rFonts w:ascii="Arial" w:hAnsi="Arial" w:cs="Arial"/>
                <w:color w:val="000000" w:themeColor="text1"/>
                <w:sz w:val="20"/>
                <w:szCs w:val="20"/>
                <w:vertAlign w:val="superscript"/>
              </w:rPr>
              <w:t>7</w:t>
            </w:r>
          </w:p>
          <w:p w14:paraId="58D05175"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4AD1C9DF"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2016</w:t>
            </w:r>
          </w:p>
        </w:tc>
        <w:tc>
          <w:tcPr>
            <w:tcW w:w="1728" w:type="dxa"/>
          </w:tcPr>
          <w:p w14:paraId="6D3A5E14" w14:textId="68C3E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study</w:t>
            </w:r>
          </w:p>
        </w:tc>
        <w:tc>
          <w:tcPr>
            <w:tcW w:w="1440" w:type="dxa"/>
          </w:tcPr>
          <w:p w14:paraId="73381EF2" w14:textId="3E939E1E"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 xml:space="preserve">20 </w:t>
            </w:r>
            <w:r w:rsidR="004B70C4" w:rsidRPr="00D40B19">
              <w:rPr>
                <w:rFonts w:ascii="Arial" w:hAnsi="Arial" w:cs="Arial"/>
                <w:color w:val="000000" w:themeColor="text1"/>
                <w:sz w:val="20"/>
                <w:szCs w:val="20"/>
              </w:rPr>
              <w:t xml:space="preserve">patients; 8 with </w:t>
            </w:r>
          </w:p>
          <w:p w14:paraId="132D93AF" w14:textId="1B9AABBE" w:rsidR="00CD27D0" w:rsidRPr="00D40B19" w:rsidRDefault="00CD27D0" w:rsidP="004B70C4">
            <w:pPr>
              <w:pStyle w:val="NoSpacing"/>
              <w:rPr>
                <w:rFonts w:ascii="Arial" w:hAnsi="Arial" w:cs="Arial"/>
                <w:color w:val="000000" w:themeColor="text1"/>
                <w:sz w:val="20"/>
                <w:szCs w:val="20"/>
              </w:rPr>
            </w:pPr>
            <w:r w:rsidRPr="00D40B19">
              <w:rPr>
                <w:rFonts w:ascii="Arial" w:hAnsi="Arial" w:cs="Arial"/>
                <w:color w:val="000000" w:themeColor="text1"/>
                <w:sz w:val="20"/>
                <w:szCs w:val="20"/>
              </w:rPr>
              <w:t>LQTS</w:t>
            </w:r>
            <w:r w:rsidR="004B70C4" w:rsidRPr="00D40B19">
              <w:rPr>
                <w:rFonts w:ascii="Arial" w:hAnsi="Arial" w:cs="Arial"/>
                <w:color w:val="000000" w:themeColor="text1"/>
                <w:sz w:val="20"/>
                <w:szCs w:val="20"/>
              </w:rPr>
              <w:t>; 9 with</w:t>
            </w:r>
            <w:r w:rsidRPr="00D40B19">
              <w:rPr>
                <w:rFonts w:ascii="Arial" w:hAnsi="Arial" w:cs="Arial"/>
                <w:color w:val="000000" w:themeColor="text1"/>
                <w:sz w:val="20"/>
                <w:szCs w:val="20"/>
              </w:rPr>
              <w:t xml:space="preserve"> CPVT</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r w:rsidR="004B70C4" w:rsidRPr="00D40B19">
              <w:rPr>
                <w:rFonts w:ascii="Arial" w:hAnsi="Arial" w:cs="Arial"/>
                <w:color w:val="000000" w:themeColor="text1"/>
                <w:sz w:val="20"/>
                <w:szCs w:val="20"/>
              </w:rPr>
              <w:t xml:space="preserve">1 with </w:t>
            </w:r>
            <w:proofErr w:type="spellStart"/>
            <w:r w:rsidRPr="00D40B19">
              <w:rPr>
                <w:rFonts w:ascii="Arial" w:hAnsi="Arial" w:cs="Arial"/>
                <w:color w:val="000000" w:themeColor="text1"/>
                <w:sz w:val="20"/>
                <w:szCs w:val="20"/>
              </w:rPr>
              <w:t>BrS</w:t>
            </w:r>
            <w:proofErr w:type="spellEnd"/>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t>
            </w:r>
            <w:r w:rsidR="004B70C4" w:rsidRPr="00D40B19">
              <w:rPr>
                <w:rFonts w:ascii="Arial" w:hAnsi="Arial" w:cs="Arial"/>
                <w:color w:val="000000" w:themeColor="text1"/>
                <w:sz w:val="20"/>
                <w:szCs w:val="20"/>
              </w:rPr>
              <w:t xml:space="preserve">1 with </w:t>
            </w:r>
            <w:r w:rsidRPr="00D40B19">
              <w:rPr>
                <w:rFonts w:ascii="Arial" w:hAnsi="Arial" w:cs="Arial"/>
                <w:color w:val="000000" w:themeColor="text1"/>
                <w:sz w:val="20"/>
                <w:szCs w:val="20"/>
              </w:rPr>
              <w:t>ARVC</w:t>
            </w:r>
          </w:p>
        </w:tc>
        <w:tc>
          <w:tcPr>
            <w:tcW w:w="2055" w:type="dxa"/>
          </w:tcPr>
          <w:p w14:paraId="5687552C" w14:textId="17BB68CD"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All patients with inherited arrhythmias syndrome and ICM implant 2008</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2015</w:t>
            </w:r>
          </w:p>
        </w:tc>
        <w:tc>
          <w:tcPr>
            <w:tcW w:w="1833" w:type="dxa"/>
          </w:tcPr>
          <w:p w14:paraId="20DB6675"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1BF65871"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Majority (52%) of symptomatic events in LQTS patients, with only 1 tracing yielding actionable data. Automatic transmissions mostly seen in the CPVT patients (81%), with 21% yielding actionable data. ICM findings escalated therapies in 30% of subjects.</w:t>
            </w:r>
          </w:p>
        </w:tc>
      </w:tr>
      <w:tr w:rsidR="009D78BE" w:rsidRPr="009D78BE" w14:paraId="6532792C" w14:textId="77777777" w:rsidTr="00D40B19">
        <w:tc>
          <w:tcPr>
            <w:tcW w:w="1728" w:type="dxa"/>
          </w:tcPr>
          <w:p w14:paraId="146B0544" w14:textId="0BB02C9C" w:rsidR="000002DA" w:rsidRPr="00D40B19" w:rsidRDefault="000002DA" w:rsidP="000002DA">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Rossano</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w:t>
            </w:r>
            <w:r w:rsidR="00FF0279" w:rsidRPr="00D40B19">
              <w:rPr>
                <w:rFonts w:ascii="Arial" w:hAnsi="Arial" w:cs="Arial"/>
                <w:color w:val="000000" w:themeColor="text1"/>
                <w:sz w:val="20"/>
                <w:szCs w:val="20"/>
                <w:vertAlign w:val="superscript"/>
              </w:rPr>
              <w:t>30</w:t>
            </w:r>
          </w:p>
          <w:p w14:paraId="16491E9C" w14:textId="77777777" w:rsidR="000002DA" w:rsidRPr="00D40B19" w:rsidRDefault="000002DA" w:rsidP="000002DA">
            <w:pPr>
              <w:pStyle w:val="NoSpacing"/>
              <w:rPr>
                <w:rFonts w:ascii="Arial" w:hAnsi="Arial" w:cs="Arial"/>
                <w:color w:val="000000" w:themeColor="text1"/>
                <w:sz w:val="20"/>
                <w:szCs w:val="20"/>
              </w:rPr>
            </w:pPr>
          </w:p>
        </w:tc>
        <w:tc>
          <w:tcPr>
            <w:tcW w:w="784" w:type="dxa"/>
          </w:tcPr>
          <w:p w14:paraId="0E280B3C" w14:textId="68B5AAFD" w:rsidR="000002DA" w:rsidRPr="00D40B19" w:rsidRDefault="000002DA"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2003</w:t>
            </w:r>
          </w:p>
        </w:tc>
        <w:tc>
          <w:tcPr>
            <w:tcW w:w="1728" w:type="dxa"/>
          </w:tcPr>
          <w:p w14:paraId="3143B7FE" w14:textId="00AC0FA1" w:rsidR="000002DA" w:rsidRPr="00D40B19" w:rsidRDefault="000002DA"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Three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w:t>
            </w:r>
            <w:r w:rsidR="00851767" w:rsidRPr="00D40B19">
              <w:rPr>
                <w:rFonts w:ascii="Arial" w:hAnsi="Arial" w:cs="Arial"/>
                <w:color w:val="000000" w:themeColor="text1"/>
                <w:sz w:val="20"/>
                <w:szCs w:val="20"/>
              </w:rPr>
              <w:t>retrospective</w:t>
            </w:r>
            <w:r w:rsidR="00E6304A" w:rsidRPr="00D40B19">
              <w:rPr>
                <w:rFonts w:ascii="Arial" w:hAnsi="Arial" w:cs="Arial"/>
                <w:color w:val="000000" w:themeColor="text1"/>
                <w:sz w:val="20"/>
                <w:szCs w:val="20"/>
              </w:rPr>
              <w:t xml:space="preserve"> study</w:t>
            </w:r>
          </w:p>
        </w:tc>
        <w:tc>
          <w:tcPr>
            <w:tcW w:w="1440" w:type="dxa"/>
          </w:tcPr>
          <w:p w14:paraId="0DF651C9" w14:textId="63E03461" w:rsidR="000002DA" w:rsidRPr="00D40B19" w:rsidRDefault="000002DA" w:rsidP="000002DA">
            <w:pPr>
              <w:pStyle w:val="NoSpacing"/>
              <w:rPr>
                <w:rFonts w:ascii="Arial" w:hAnsi="Arial" w:cs="Arial"/>
                <w:color w:val="000000" w:themeColor="text1"/>
                <w:sz w:val="20"/>
                <w:szCs w:val="20"/>
              </w:rPr>
            </w:pPr>
            <w:r w:rsidRPr="00D40B19">
              <w:rPr>
                <w:rFonts w:ascii="Arial" w:hAnsi="Arial" w:cs="Arial"/>
                <w:color w:val="000000" w:themeColor="text1"/>
                <w:sz w:val="20"/>
                <w:szCs w:val="20"/>
              </w:rPr>
              <w:t>21</w:t>
            </w:r>
            <w:r w:rsidR="004B70C4" w:rsidRPr="00D40B19">
              <w:rPr>
                <w:rFonts w:ascii="Arial" w:hAnsi="Arial" w:cs="Arial"/>
                <w:color w:val="000000" w:themeColor="text1"/>
                <w:sz w:val="20"/>
                <w:szCs w:val="20"/>
              </w:rPr>
              <w:t xml:space="preserve"> patients</w:t>
            </w:r>
          </w:p>
        </w:tc>
        <w:tc>
          <w:tcPr>
            <w:tcW w:w="2055" w:type="dxa"/>
          </w:tcPr>
          <w:p w14:paraId="13A519ED" w14:textId="2B46637A" w:rsidR="000002DA" w:rsidRPr="00D40B19" w:rsidRDefault="000002DA" w:rsidP="000002DA">
            <w:pPr>
              <w:pStyle w:val="NoSpacing"/>
              <w:rPr>
                <w:rFonts w:ascii="Arial" w:hAnsi="Arial" w:cs="Arial"/>
                <w:color w:val="000000" w:themeColor="text1"/>
                <w:sz w:val="20"/>
                <w:szCs w:val="20"/>
              </w:rPr>
            </w:pPr>
            <w:r w:rsidRPr="00D40B19">
              <w:rPr>
                <w:rFonts w:ascii="Arial" w:hAnsi="Arial" w:cs="Arial"/>
                <w:color w:val="000000" w:themeColor="text1"/>
                <w:sz w:val="20"/>
                <w:szCs w:val="20"/>
              </w:rPr>
              <w:t xml:space="preserve">All patients with ICM </w:t>
            </w:r>
            <w:r w:rsidRPr="00D40B19">
              <w:rPr>
                <w:rFonts w:ascii="Arial" w:hAnsi="Arial" w:cs="Arial"/>
                <w:color w:val="000000" w:themeColor="text1"/>
                <w:sz w:val="20"/>
                <w:szCs w:val="20"/>
                <w:u w:val="single"/>
              </w:rPr>
              <w:t>&lt;</w:t>
            </w:r>
            <w:r w:rsidRPr="00D40B19">
              <w:rPr>
                <w:rFonts w:ascii="Arial" w:hAnsi="Arial" w:cs="Arial"/>
                <w:color w:val="000000" w:themeColor="text1"/>
                <w:sz w:val="20"/>
                <w:szCs w:val="20"/>
              </w:rPr>
              <w:t xml:space="preserve">25 </w:t>
            </w:r>
            <w:r w:rsidR="004B3D6D" w:rsidRPr="00D40B19">
              <w:rPr>
                <w:rFonts w:ascii="Arial" w:hAnsi="Arial" w:cs="Arial"/>
                <w:color w:val="000000" w:themeColor="text1"/>
                <w:sz w:val="20"/>
                <w:szCs w:val="20"/>
              </w:rPr>
              <w:t>years old</w:t>
            </w:r>
            <w:r w:rsidRPr="00D40B19">
              <w:rPr>
                <w:rFonts w:ascii="Arial" w:hAnsi="Arial" w:cs="Arial"/>
                <w:color w:val="000000" w:themeColor="text1"/>
                <w:sz w:val="20"/>
                <w:szCs w:val="20"/>
              </w:rPr>
              <w:t xml:space="preserve"> and</w:t>
            </w:r>
          </w:p>
          <w:p w14:paraId="3DAC3C93" w14:textId="46631663" w:rsidR="000002DA" w:rsidRPr="00D40B19" w:rsidRDefault="000002DA" w:rsidP="000002DA">
            <w:pPr>
              <w:pStyle w:val="NoSpacing"/>
              <w:rPr>
                <w:rFonts w:ascii="Arial" w:hAnsi="Arial" w:cs="Arial"/>
                <w:color w:val="000000" w:themeColor="text1"/>
                <w:sz w:val="20"/>
                <w:szCs w:val="20"/>
              </w:rPr>
            </w:pPr>
            <w:r w:rsidRPr="00D40B19">
              <w:rPr>
                <w:rFonts w:ascii="Arial" w:hAnsi="Arial" w:cs="Arial"/>
                <w:color w:val="000000" w:themeColor="text1"/>
                <w:sz w:val="20"/>
                <w:szCs w:val="20"/>
              </w:rPr>
              <w:t>follow-up &gt;1 mo</w:t>
            </w:r>
            <w:r w:rsidR="004B3D6D" w:rsidRPr="00D40B19">
              <w:rPr>
                <w:rFonts w:ascii="Arial" w:hAnsi="Arial" w:cs="Arial"/>
                <w:color w:val="000000" w:themeColor="text1"/>
                <w:sz w:val="20"/>
                <w:szCs w:val="20"/>
              </w:rPr>
              <w:t>nth</w:t>
            </w:r>
          </w:p>
        </w:tc>
        <w:tc>
          <w:tcPr>
            <w:tcW w:w="1833" w:type="dxa"/>
          </w:tcPr>
          <w:p w14:paraId="139CA1DB" w14:textId="1B92ED51" w:rsidR="000002DA" w:rsidRPr="00D40B19" w:rsidRDefault="000002DA" w:rsidP="000002DA">
            <w:pPr>
              <w:pStyle w:val="NoSpacing"/>
              <w:rPr>
                <w:rFonts w:ascii="Arial" w:hAnsi="Arial" w:cs="Arial"/>
                <w:color w:val="000000" w:themeColor="text1"/>
                <w:sz w:val="20"/>
                <w:szCs w:val="20"/>
              </w:rPr>
            </w:pPr>
            <w:r w:rsidRPr="00D40B19">
              <w:rPr>
                <w:rFonts w:ascii="Arial" w:hAnsi="Arial" w:cs="Arial"/>
                <w:color w:val="000000" w:themeColor="text1"/>
                <w:sz w:val="20"/>
                <w:szCs w:val="20"/>
              </w:rPr>
              <w:t xml:space="preserve">Automatic or manually </w:t>
            </w:r>
            <w:r w:rsidRPr="00D40B19">
              <w:rPr>
                <w:rFonts w:ascii="Arial" w:hAnsi="Arial" w:cs="Arial"/>
                <w:color w:val="000000" w:themeColor="text1"/>
                <w:sz w:val="20"/>
                <w:szCs w:val="20"/>
              </w:rPr>
              <w:lastRenderedPageBreak/>
              <w:t>activated ICM event</w:t>
            </w:r>
          </w:p>
        </w:tc>
        <w:tc>
          <w:tcPr>
            <w:tcW w:w="3027" w:type="dxa"/>
          </w:tcPr>
          <w:p w14:paraId="7AFA08D9" w14:textId="0110E69E" w:rsidR="000002DA" w:rsidRPr="00D40B19" w:rsidRDefault="000002DA" w:rsidP="000002DA">
            <w:pPr>
              <w:pStyle w:val="NoSpacing"/>
              <w:rPr>
                <w:rFonts w:ascii="Arial" w:hAnsi="Arial" w:cs="Arial"/>
                <w:color w:val="000000" w:themeColor="text1"/>
                <w:sz w:val="20"/>
                <w:szCs w:val="20"/>
              </w:rPr>
            </w:pPr>
            <w:r w:rsidRPr="00D40B19">
              <w:rPr>
                <w:rFonts w:ascii="Arial" w:hAnsi="Arial" w:cs="Arial"/>
                <w:color w:val="000000" w:themeColor="text1"/>
                <w:sz w:val="20"/>
                <w:szCs w:val="20"/>
              </w:rPr>
              <w:lastRenderedPageBreak/>
              <w:t xml:space="preserve">Median follow-up 8.4 months:14 patients had symptoms. Symptom-rhythm </w:t>
            </w:r>
            <w:r w:rsidRPr="00D40B19">
              <w:rPr>
                <w:rFonts w:ascii="Arial" w:hAnsi="Arial" w:cs="Arial"/>
                <w:color w:val="000000" w:themeColor="text1"/>
                <w:sz w:val="20"/>
                <w:szCs w:val="20"/>
              </w:rPr>
              <w:lastRenderedPageBreak/>
              <w:t xml:space="preserve">correlation was possible in all 14 patients: SVT 4, VT 2, </w:t>
            </w:r>
            <w:proofErr w:type="spellStart"/>
            <w:r w:rsidRPr="00D40B19">
              <w:rPr>
                <w:rFonts w:ascii="Arial" w:hAnsi="Arial" w:cs="Arial"/>
                <w:color w:val="000000" w:themeColor="text1"/>
                <w:sz w:val="20"/>
                <w:szCs w:val="20"/>
              </w:rPr>
              <w:t>torsades</w:t>
            </w:r>
            <w:proofErr w:type="spellEnd"/>
            <w:r w:rsidRPr="00D40B19">
              <w:rPr>
                <w:rFonts w:ascii="Arial" w:hAnsi="Arial" w:cs="Arial"/>
                <w:color w:val="000000" w:themeColor="text1"/>
                <w:sz w:val="20"/>
                <w:szCs w:val="20"/>
              </w:rPr>
              <w:t xml:space="preserve"> de pointes 1, asystole 1,</w:t>
            </w:r>
            <w:r w:rsidR="00755F4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junctional bradycardia 1, and sinus rhythm 5. One infant with acute life-threatening events with ischemic changes on ICM recording ultimately lead to </w:t>
            </w:r>
            <w:r w:rsidR="00755F49" w:rsidRPr="00D40B19">
              <w:rPr>
                <w:rFonts w:ascii="Arial" w:hAnsi="Arial" w:cs="Arial"/>
                <w:color w:val="000000" w:themeColor="text1"/>
                <w:sz w:val="20"/>
                <w:szCs w:val="20"/>
              </w:rPr>
              <w:t xml:space="preserve">diagnosis </w:t>
            </w:r>
            <w:r w:rsidRPr="00D40B19">
              <w:rPr>
                <w:rFonts w:ascii="Arial" w:hAnsi="Arial" w:cs="Arial"/>
                <w:color w:val="000000" w:themeColor="text1"/>
                <w:sz w:val="20"/>
                <w:szCs w:val="20"/>
              </w:rPr>
              <w:t>of Munchausen syndrome by proxy</w:t>
            </w:r>
            <w:r w:rsidR="00B05A29" w:rsidRPr="00D40B19">
              <w:rPr>
                <w:rFonts w:ascii="Arial" w:hAnsi="Arial" w:cs="Arial"/>
                <w:color w:val="000000" w:themeColor="text1"/>
                <w:sz w:val="20"/>
                <w:szCs w:val="20"/>
              </w:rPr>
              <w:t>.</w:t>
            </w:r>
          </w:p>
        </w:tc>
      </w:tr>
      <w:tr w:rsidR="009D78BE" w:rsidRPr="009D78BE" w14:paraId="049EFDFA" w14:textId="77777777" w:rsidTr="00D40B19">
        <w:tc>
          <w:tcPr>
            <w:tcW w:w="1728" w:type="dxa"/>
          </w:tcPr>
          <w:p w14:paraId="5B2DC6D8" w14:textId="006BF8B2" w:rsidR="00CD27D0" w:rsidRPr="00D40B19" w:rsidRDefault="00CD27D0" w:rsidP="0058087D">
            <w:pPr>
              <w:pStyle w:val="No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 xml:space="preserve">Al </w:t>
            </w:r>
            <w:proofErr w:type="spellStart"/>
            <w:r w:rsidRPr="00D40B19">
              <w:rPr>
                <w:rFonts w:ascii="Arial" w:hAnsi="Arial" w:cs="Arial"/>
                <w:color w:val="000000" w:themeColor="text1"/>
                <w:sz w:val="20"/>
                <w:szCs w:val="20"/>
              </w:rPr>
              <w:t>Dhahri</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23</w:t>
            </w:r>
            <w:r w:rsidR="00FF0279" w:rsidRPr="00D40B19">
              <w:rPr>
                <w:rFonts w:ascii="Arial" w:hAnsi="Arial" w:cs="Arial"/>
                <w:color w:val="000000" w:themeColor="text1"/>
                <w:sz w:val="20"/>
                <w:szCs w:val="20"/>
                <w:vertAlign w:val="superscript"/>
              </w:rPr>
              <w:t>2</w:t>
            </w:r>
          </w:p>
          <w:p w14:paraId="06323CA4"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504D0FD5"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2009</w:t>
            </w:r>
          </w:p>
        </w:tc>
        <w:tc>
          <w:tcPr>
            <w:tcW w:w="1728" w:type="dxa"/>
          </w:tcPr>
          <w:p w14:paraId="37653752" w14:textId="4930681B"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Two</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 study</w:t>
            </w:r>
          </w:p>
        </w:tc>
        <w:tc>
          <w:tcPr>
            <w:tcW w:w="1440" w:type="dxa"/>
          </w:tcPr>
          <w:p w14:paraId="41080F91" w14:textId="6116B5EC"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42 patients divided into high and low risk groups</w:t>
            </w:r>
          </w:p>
        </w:tc>
        <w:tc>
          <w:tcPr>
            <w:tcW w:w="2055" w:type="dxa"/>
          </w:tcPr>
          <w:p w14:paraId="6D4A1227" w14:textId="3F4E15B9"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All patients with ICM from 1998</w:t>
            </w:r>
            <w:r w:rsidR="004B3D6D" w:rsidRPr="00D40B19">
              <w:rPr>
                <w:rFonts w:ascii="Arial" w:hAnsi="Arial" w:cs="Arial"/>
                <w:color w:val="000000" w:themeColor="text1"/>
                <w:sz w:val="20"/>
                <w:szCs w:val="20"/>
              </w:rPr>
              <w:t xml:space="preserve"> to </w:t>
            </w:r>
            <w:r w:rsidRPr="00D40B19">
              <w:rPr>
                <w:rFonts w:ascii="Arial" w:hAnsi="Arial" w:cs="Arial"/>
                <w:color w:val="000000" w:themeColor="text1"/>
                <w:sz w:val="20"/>
                <w:szCs w:val="20"/>
              </w:rPr>
              <w:t>2006</w:t>
            </w:r>
          </w:p>
        </w:tc>
        <w:tc>
          <w:tcPr>
            <w:tcW w:w="1833" w:type="dxa"/>
          </w:tcPr>
          <w:p w14:paraId="4DA75243"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270BA3FE" w14:textId="4504CD59" w:rsidR="00CD27D0" w:rsidRPr="00D40B19" w:rsidRDefault="00CD27D0" w:rsidP="00D40B19">
            <w:pPr>
              <w:spacing w:line="240" w:lineRule="auto"/>
              <w:rPr>
                <w:rFonts w:ascii="Arial" w:hAnsi="Arial" w:cs="Arial"/>
                <w:iCs/>
                <w:color w:val="000000" w:themeColor="text1"/>
                <w:sz w:val="20"/>
                <w:szCs w:val="20"/>
              </w:rPr>
            </w:pPr>
            <w:r w:rsidRPr="00D40B19">
              <w:rPr>
                <w:rFonts w:ascii="Arial" w:hAnsi="Arial" w:cs="Arial"/>
                <w:iCs/>
                <w:color w:val="000000" w:themeColor="text1"/>
                <w:sz w:val="20"/>
                <w:szCs w:val="20"/>
              </w:rPr>
              <w:t xml:space="preserve">Diagnostic yield of ICM in defining cause of symptoms in 27/42 (64%) over </w:t>
            </w:r>
            <w:r w:rsidRPr="00D40B19">
              <w:rPr>
                <w:rFonts w:ascii="Arial" w:hAnsi="Arial" w:cs="Arial"/>
                <w:color w:val="000000" w:themeColor="text1"/>
                <w:sz w:val="20"/>
                <w:szCs w:val="20"/>
              </w:rPr>
              <w:t>median follow-up 19 months.</w:t>
            </w:r>
            <w:r w:rsidRPr="00D40B19">
              <w:rPr>
                <w:rFonts w:ascii="Arial" w:hAnsi="Arial" w:cs="Arial"/>
                <w:iCs/>
                <w:color w:val="000000" w:themeColor="text1"/>
                <w:sz w:val="20"/>
                <w:szCs w:val="20"/>
              </w:rPr>
              <w:t xml:space="preserve"> ICM complications: wound infection n</w:t>
            </w:r>
            <w:r w:rsidR="00755F49" w:rsidRPr="00D40B19">
              <w:rPr>
                <w:rFonts w:ascii="Arial" w:hAnsi="Arial" w:cs="Arial"/>
                <w:iCs/>
                <w:color w:val="000000" w:themeColor="text1"/>
                <w:sz w:val="20"/>
                <w:szCs w:val="20"/>
              </w:rPr>
              <w:t xml:space="preserve"> </w:t>
            </w:r>
            <w:r w:rsidRPr="00D40B19">
              <w:rPr>
                <w:rFonts w:ascii="Arial" w:hAnsi="Arial" w:cs="Arial"/>
                <w:iCs/>
                <w:color w:val="000000" w:themeColor="text1"/>
                <w:sz w:val="20"/>
                <w:szCs w:val="20"/>
              </w:rPr>
              <w:t>=</w:t>
            </w:r>
            <w:r w:rsidR="00755F49" w:rsidRPr="00D40B19">
              <w:rPr>
                <w:rFonts w:ascii="Arial" w:hAnsi="Arial" w:cs="Arial"/>
                <w:iCs/>
                <w:color w:val="000000" w:themeColor="text1"/>
                <w:sz w:val="20"/>
                <w:szCs w:val="20"/>
              </w:rPr>
              <w:t xml:space="preserve"> </w:t>
            </w:r>
            <w:r w:rsidRPr="00D40B19">
              <w:rPr>
                <w:rFonts w:ascii="Arial" w:hAnsi="Arial" w:cs="Arial"/>
                <w:iCs/>
                <w:color w:val="000000" w:themeColor="text1"/>
                <w:sz w:val="20"/>
                <w:szCs w:val="20"/>
              </w:rPr>
              <w:t xml:space="preserve">2. </w:t>
            </w:r>
            <w:r w:rsidRPr="00D40B19">
              <w:rPr>
                <w:rFonts w:ascii="Arial" w:hAnsi="Arial" w:cs="Arial"/>
                <w:color w:val="000000" w:themeColor="text1"/>
                <w:sz w:val="20"/>
                <w:szCs w:val="20"/>
                <w:shd w:val="clear" w:color="auto" w:fill="FFFFFF"/>
              </w:rPr>
              <w:t>Both groups reported similar frequency of symptoms</w:t>
            </w:r>
            <w:r w:rsidR="00755F49"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 xml:space="preserve"> but low</w:t>
            </w:r>
            <w:r w:rsidR="00755F49" w:rsidRPr="00D40B19">
              <w:rPr>
                <w:rFonts w:ascii="Arial" w:hAnsi="Arial" w:cs="Arial"/>
                <w:color w:val="000000" w:themeColor="text1"/>
                <w:sz w:val="20"/>
                <w:szCs w:val="20"/>
                <w:shd w:val="clear" w:color="auto" w:fill="FFFFFF"/>
              </w:rPr>
              <w:t>-</w:t>
            </w:r>
            <w:r w:rsidRPr="00D40B19">
              <w:rPr>
                <w:rFonts w:ascii="Arial" w:hAnsi="Arial" w:cs="Arial"/>
                <w:color w:val="000000" w:themeColor="text1"/>
                <w:sz w:val="20"/>
                <w:szCs w:val="20"/>
                <w:shd w:val="clear" w:color="auto" w:fill="FFFFFF"/>
              </w:rPr>
              <w:t>risk patients were more likely to have ICM confirmed</w:t>
            </w:r>
            <w:r w:rsidR="00755F49" w:rsidRPr="00D40B19">
              <w:rPr>
                <w:rFonts w:ascii="Arial" w:hAnsi="Arial" w:cs="Arial"/>
                <w:color w:val="000000" w:themeColor="text1"/>
                <w:sz w:val="20"/>
                <w:szCs w:val="20"/>
                <w:shd w:val="clear" w:color="auto" w:fill="FFFFFF"/>
              </w:rPr>
              <w:t>.</w:t>
            </w:r>
          </w:p>
        </w:tc>
      </w:tr>
      <w:tr w:rsidR="009D78BE" w:rsidRPr="009D78BE" w14:paraId="70CC1CDE" w14:textId="77777777" w:rsidTr="00D40B19">
        <w:tc>
          <w:tcPr>
            <w:tcW w:w="1728" w:type="dxa"/>
          </w:tcPr>
          <w:p w14:paraId="628203DC" w14:textId="6446A640" w:rsidR="00CD27D0" w:rsidRPr="00D40B19" w:rsidRDefault="00CD27D0" w:rsidP="0058087D">
            <w:pPr>
              <w:pStyle w:val="No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Frangini</w:t>
            </w:r>
            <w:proofErr w:type="spellEnd"/>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23</w:t>
            </w:r>
            <w:r w:rsidR="00FF0279" w:rsidRPr="00D40B19">
              <w:rPr>
                <w:rFonts w:ascii="Arial" w:hAnsi="Arial" w:cs="Arial"/>
                <w:color w:val="000000" w:themeColor="text1"/>
                <w:sz w:val="20"/>
                <w:szCs w:val="20"/>
                <w:vertAlign w:val="superscript"/>
              </w:rPr>
              <w:t>3</w:t>
            </w:r>
          </w:p>
          <w:p w14:paraId="30DAF6EC"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5B3F9A11"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2008</w:t>
            </w:r>
          </w:p>
        </w:tc>
        <w:tc>
          <w:tcPr>
            <w:tcW w:w="1728" w:type="dxa"/>
          </w:tcPr>
          <w:p w14:paraId="32067251" w14:textId="0564C21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center retrospective </w:t>
            </w:r>
            <w:r w:rsidR="00E6304A" w:rsidRPr="00D40B19">
              <w:rPr>
                <w:rFonts w:ascii="Arial" w:hAnsi="Arial" w:cs="Arial"/>
                <w:color w:val="000000" w:themeColor="text1"/>
                <w:sz w:val="20"/>
                <w:szCs w:val="20"/>
              </w:rPr>
              <w:t>study</w:t>
            </w:r>
          </w:p>
        </w:tc>
        <w:tc>
          <w:tcPr>
            <w:tcW w:w="1440" w:type="dxa"/>
          </w:tcPr>
          <w:p w14:paraId="3C5C55BB" w14:textId="0576A1DC"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27</w:t>
            </w:r>
            <w:r w:rsidR="004B70C4" w:rsidRPr="00D40B19">
              <w:rPr>
                <w:rFonts w:ascii="Arial" w:hAnsi="Arial" w:cs="Arial"/>
                <w:color w:val="000000" w:themeColor="text1"/>
                <w:sz w:val="20"/>
                <w:szCs w:val="20"/>
              </w:rPr>
              <w:t xml:space="preserve"> patients</w:t>
            </w:r>
          </w:p>
        </w:tc>
        <w:tc>
          <w:tcPr>
            <w:tcW w:w="2055" w:type="dxa"/>
          </w:tcPr>
          <w:p w14:paraId="3D51CBA3" w14:textId="332C1C8F"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All patients with ICM between 1998</w:t>
            </w:r>
            <w:r w:rsidR="004B3D6D"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2007</w:t>
            </w:r>
          </w:p>
        </w:tc>
        <w:tc>
          <w:tcPr>
            <w:tcW w:w="1833" w:type="dxa"/>
          </w:tcPr>
          <w:p w14:paraId="05FE0ADA"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7DF3107A" w14:textId="571EF83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Median follow</w:t>
            </w:r>
            <w:r w:rsidR="004365BE" w:rsidRPr="00D40B19">
              <w:rPr>
                <w:rFonts w:ascii="Arial" w:hAnsi="Arial" w:cs="Arial"/>
                <w:color w:val="000000" w:themeColor="text1"/>
                <w:sz w:val="20"/>
                <w:szCs w:val="20"/>
              </w:rPr>
              <w:t>-</w:t>
            </w:r>
            <w:r w:rsidRPr="00D40B19">
              <w:rPr>
                <w:rFonts w:ascii="Arial" w:hAnsi="Arial" w:cs="Arial"/>
                <w:color w:val="000000" w:themeColor="text1"/>
                <w:sz w:val="20"/>
                <w:szCs w:val="20"/>
              </w:rPr>
              <w:t>up of 3 months</w:t>
            </w:r>
            <w:r w:rsidR="00755F4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17 had symptomatic events.  Asystole or transient AV block (n</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2), sinus bradycardia (n</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6), or normal sinus rhythm (n</w:t>
            </w:r>
            <w:r w:rsidR="00FF0279" w:rsidRPr="00D40B19">
              <w:rPr>
                <w:rFonts w:ascii="Arial" w:hAnsi="Arial" w:cs="Arial"/>
                <w:color w:val="000000" w:themeColor="text1"/>
                <w:sz w:val="20"/>
                <w:szCs w:val="20"/>
              </w:rPr>
              <w:t xml:space="preserve"> = </w:t>
            </w:r>
            <w:r w:rsidRPr="00D40B19">
              <w:rPr>
                <w:rFonts w:ascii="Arial" w:hAnsi="Arial" w:cs="Arial"/>
                <w:color w:val="000000" w:themeColor="text1"/>
                <w:sz w:val="20"/>
                <w:szCs w:val="20"/>
              </w:rPr>
              <w:t>8). Automatic detection in 10 asymptomatic patients showed intermittent AV block or long pauses</w:t>
            </w:r>
            <w:r w:rsidR="00755F4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(n</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FF0279"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3). ICM diagnostic in 95% of symptomatic p</w:t>
            </w:r>
            <w:r w:rsidR="00755F49" w:rsidRPr="00D40B19">
              <w:rPr>
                <w:rFonts w:ascii="Arial" w:hAnsi="Arial" w:cs="Arial"/>
                <w:color w:val="000000" w:themeColor="text1"/>
                <w:sz w:val="20"/>
                <w:szCs w:val="20"/>
              </w:rPr>
              <w:t>atients</w:t>
            </w:r>
            <w:r w:rsidRPr="00D40B19">
              <w:rPr>
                <w:rFonts w:ascii="Arial" w:hAnsi="Arial" w:cs="Arial"/>
                <w:color w:val="000000" w:themeColor="text1"/>
                <w:sz w:val="20"/>
                <w:szCs w:val="20"/>
              </w:rPr>
              <w:t xml:space="preserve"> and in 30% of asymptomatic p</w:t>
            </w:r>
            <w:r w:rsidR="004365BE" w:rsidRPr="00D40B19">
              <w:rPr>
                <w:rFonts w:ascii="Arial" w:hAnsi="Arial" w:cs="Arial"/>
                <w:color w:val="000000" w:themeColor="text1"/>
                <w:sz w:val="20"/>
                <w:szCs w:val="20"/>
              </w:rPr>
              <w:t>a</w:t>
            </w:r>
            <w:r w:rsidRPr="00D40B19">
              <w:rPr>
                <w:rFonts w:ascii="Arial" w:hAnsi="Arial" w:cs="Arial"/>
                <w:color w:val="000000" w:themeColor="text1"/>
                <w:sz w:val="20"/>
                <w:szCs w:val="20"/>
              </w:rPr>
              <w:t>t</w:t>
            </w:r>
            <w:r w:rsidR="004365BE" w:rsidRPr="00D40B19">
              <w:rPr>
                <w:rFonts w:ascii="Arial" w:hAnsi="Arial" w:cs="Arial"/>
                <w:color w:val="000000" w:themeColor="text1"/>
                <w:sz w:val="20"/>
                <w:szCs w:val="20"/>
              </w:rPr>
              <w:t>ient</w:t>
            </w:r>
            <w:r w:rsidRPr="00D40B19">
              <w:rPr>
                <w:rFonts w:ascii="Arial" w:hAnsi="Arial" w:cs="Arial"/>
                <w:color w:val="000000" w:themeColor="text1"/>
                <w:sz w:val="20"/>
                <w:szCs w:val="20"/>
              </w:rPr>
              <w:t>s</w:t>
            </w:r>
            <w:r w:rsidR="00755F49" w:rsidRPr="00D40B19">
              <w:rPr>
                <w:rFonts w:ascii="Arial" w:hAnsi="Arial" w:cs="Arial"/>
                <w:color w:val="000000" w:themeColor="text1"/>
                <w:sz w:val="20"/>
                <w:szCs w:val="20"/>
              </w:rPr>
              <w:t>.</w:t>
            </w:r>
          </w:p>
        </w:tc>
      </w:tr>
      <w:tr w:rsidR="009D78BE" w:rsidRPr="009D78BE" w14:paraId="3BD0C467" w14:textId="77777777" w:rsidTr="00D40B19">
        <w:trPr>
          <w:trHeight w:val="863"/>
        </w:trPr>
        <w:tc>
          <w:tcPr>
            <w:tcW w:w="1728" w:type="dxa"/>
          </w:tcPr>
          <w:p w14:paraId="617C56ED" w14:textId="5A2541CD" w:rsidR="00CD27D0" w:rsidRPr="00D40B19" w:rsidRDefault="00CD27D0" w:rsidP="0058087D">
            <w:pPr>
              <w:pStyle w:val="No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Kenny</w:t>
            </w:r>
            <w:r w:rsidR="00E81116" w:rsidRPr="00D40B19">
              <w:rPr>
                <w:rFonts w:ascii="Arial" w:hAnsi="Arial" w:cs="Arial"/>
                <w:color w:val="000000" w:themeColor="text1"/>
                <w:sz w:val="20"/>
                <w:szCs w:val="20"/>
              </w:rPr>
              <w:t xml:space="preserve"> et al</w:t>
            </w:r>
            <w:r w:rsidRPr="00D40B19">
              <w:rPr>
                <w:rFonts w:ascii="Arial" w:hAnsi="Arial" w:cs="Arial"/>
                <w:color w:val="000000" w:themeColor="text1"/>
                <w:sz w:val="20"/>
                <w:szCs w:val="20"/>
                <w:vertAlign w:val="superscript"/>
              </w:rPr>
              <w:t>23</w:t>
            </w:r>
            <w:r w:rsidR="00FF0279" w:rsidRPr="00D40B19">
              <w:rPr>
                <w:rFonts w:ascii="Arial" w:hAnsi="Arial" w:cs="Arial"/>
                <w:color w:val="000000" w:themeColor="text1"/>
                <w:sz w:val="20"/>
                <w:szCs w:val="20"/>
                <w:vertAlign w:val="superscript"/>
              </w:rPr>
              <w:t>4</w:t>
            </w:r>
          </w:p>
          <w:p w14:paraId="7A1F99B0" w14:textId="77777777" w:rsidR="00CD27D0" w:rsidRPr="00D40B19" w:rsidRDefault="00CD27D0" w:rsidP="0058087D">
            <w:pPr>
              <w:pStyle w:val="NoSpacing"/>
              <w:rPr>
                <w:rFonts w:ascii="Arial" w:hAnsi="Arial" w:cs="Arial"/>
                <w:color w:val="000000" w:themeColor="text1"/>
                <w:sz w:val="20"/>
                <w:szCs w:val="20"/>
              </w:rPr>
            </w:pPr>
          </w:p>
        </w:tc>
        <w:tc>
          <w:tcPr>
            <w:tcW w:w="784" w:type="dxa"/>
          </w:tcPr>
          <w:p w14:paraId="2957DBBE" w14:textId="77777777"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2009</w:t>
            </w:r>
          </w:p>
        </w:tc>
        <w:tc>
          <w:tcPr>
            <w:tcW w:w="1728" w:type="dxa"/>
          </w:tcPr>
          <w:p w14:paraId="2A95C398" w14:textId="625A3DEC" w:rsidR="00CD27D0" w:rsidRPr="00D40B19" w:rsidRDefault="00CD27D0" w:rsidP="00B05A29">
            <w:pPr>
              <w:pStyle w:val="NoSpacing"/>
              <w:rPr>
                <w:rFonts w:ascii="Arial" w:hAnsi="Arial" w:cs="Arial"/>
                <w:color w:val="000000" w:themeColor="text1"/>
                <w:sz w:val="20"/>
                <w:szCs w:val="20"/>
              </w:rPr>
            </w:pPr>
            <w:r w:rsidRPr="00D40B19">
              <w:rPr>
                <w:rFonts w:ascii="Arial" w:hAnsi="Arial" w:cs="Arial"/>
                <w:color w:val="000000" w:themeColor="text1"/>
                <w:sz w:val="20"/>
                <w:szCs w:val="20"/>
              </w:rPr>
              <w:t>Single</w:t>
            </w:r>
            <w:r w:rsidR="00851767" w:rsidRPr="00D40B19">
              <w:rPr>
                <w:rFonts w:ascii="Arial" w:hAnsi="Arial" w:cs="Arial"/>
                <w:color w:val="000000" w:themeColor="text1"/>
                <w:sz w:val="20"/>
                <w:szCs w:val="20"/>
              </w:rPr>
              <w:t>-</w:t>
            </w:r>
            <w:r w:rsidRPr="00D40B19">
              <w:rPr>
                <w:rFonts w:ascii="Arial" w:hAnsi="Arial" w:cs="Arial"/>
                <w:color w:val="000000" w:themeColor="text1"/>
                <w:sz w:val="20"/>
                <w:szCs w:val="20"/>
              </w:rPr>
              <w:t>center retrospective</w:t>
            </w:r>
            <w:r w:rsidR="00E6304A" w:rsidRPr="00D40B19">
              <w:rPr>
                <w:rFonts w:ascii="Arial" w:hAnsi="Arial" w:cs="Arial"/>
                <w:color w:val="000000" w:themeColor="text1"/>
                <w:sz w:val="20"/>
                <w:szCs w:val="20"/>
              </w:rPr>
              <w:t xml:space="preserve"> study</w:t>
            </w:r>
          </w:p>
        </w:tc>
        <w:tc>
          <w:tcPr>
            <w:tcW w:w="1440" w:type="dxa"/>
          </w:tcPr>
          <w:p w14:paraId="4E7D6134" w14:textId="3B066884"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22</w:t>
            </w:r>
            <w:r w:rsidR="004B70C4" w:rsidRPr="00D40B19">
              <w:rPr>
                <w:rFonts w:ascii="Arial" w:hAnsi="Arial" w:cs="Arial"/>
                <w:color w:val="000000" w:themeColor="text1"/>
                <w:sz w:val="20"/>
                <w:szCs w:val="20"/>
              </w:rPr>
              <w:t xml:space="preserve"> patients</w:t>
            </w:r>
          </w:p>
        </w:tc>
        <w:tc>
          <w:tcPr>
            <w:tcW w:w="2055" w:type="dxa"/>
          </w:tcPr>
          <w:p w14:paraId="3B06F091" w14:textId="7FE46B5D"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Patients with CHD and ICM implant between 2000</w:t>
            </w:r>
            <w:r w:rsidR="004B3D6D" w:rsidRPr="00D40B19">
              <w:rPr>
                <w:rFonts w:ascii="Arial" w:hAnsi="Arial" w:cs="Arial"/>
                <w:color w:val="000000" w:themeColor="text1"/>
                <w:sz w:val="20"/>
                <w:szCs w:val="20"/>
              </w:rPr>
              <w:t xml:space="preserve"> and </w:t>
            </w:r>
            <w:r w:rsidRPr="00D40B19">
              <w:rPr>
                <w:rFonts w:ascii="Arial" w:hAnsi="Arial" w:cs="Arial"/>
                <w:color w:val="000000" w:themeColor="text1"/>
                <w:sz w:val="20"/>
                <w:szCs w:val="20"/>
              </w:rPr>
              <w:t>2007</w:t>
            </w:r>
          </w:p>
        </w:tc>
        <w:tc>
          <w:tcPr>
            <w:tcW w:w="1833" w:type="dxa"/>
          </w:tcPr>
          <w:p w14:paraId="1447BB00" w14:textId="77777777"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Automatic or manually activated ICM event</w:t>
            </w:r>
          </w:p>
        </w:tc>
        <w:tc>
          <w:tcPr>
            <w:tcW w:w="3027" w:type="dxa"/>
          </w:tcPr>
          <w:p w14:paraId="1EDDBE0D" w14:textId="78F7BFB3" w:rsidR="00CD27D0" w:rsidRPr="00D40B19" w:rsidRDefault="00CD27D0" w:rsidP="0058087D">
            <w:pPr>
              <w:pStyle w:val="NoSpacing"/>
              <w:rPr>
                <w:rFonts w:ascii="Arial" w:hAnsi="Arial" w:cs="Arial"/>
                <w:color w:val="000000" w:themeColor="text1"/>
                <w:sz w:val="20"/>
                <w:szCs w:val="20"/>
              </w:rPr>
            </w:pPr>
            <w:r w:rsidRPr="00D40B19">
              <w:rPr>
                <w:rFonts w:ascii="Arial" w:hAnsi="Arial" w:cs="Arial"/>
                <w:color w:val="000000" w:themeColor="text1"/>
                <w:sz w:val="20"/>
                <w:szCs w:val="20"/>
              </w:rPr>
              <w:t>Over a median follow-up</w:t>
            </w:r>
            <w:r w:rsidR="00755F49" w:rsidRPr="00D40B19">
              <w:rPr>
                <w:rFonts w:ascii="Arial" w:hAnsi="Arial" w:cs="Arial"/>
                <w:color w:val="000000" w:themeColor="text1"/>
                <w:sz w:val="20"/>
                <w:szCs w:val="20"/>
              </w:rPr>
              <w:t xml:space="preserve"> of</w:t>
            </w:r>
            <w:r w:rsidRPr="00D40B19">
              <w:rPr>
                <w:rFonts w:ascii="Arial" w:hAnsi="Arial" w:cs="Arial"/>
                <w:color w:val="000000" w:themeColor="text1"/>
                <w:sz w:val="20"/>
                <w:szCs w:val="20"/>
              </w:rPr>
              <w:t xml:space="preserve"> 19 mo</w:t>
            </w:r>
            <w:r w:rsidR="00755F49" w:rsidRPr="00D40B19">
              <w:rPr>
                <w:rFonts w:ascii="Arial" w:hAnsi="Arial" w:cs="Arial"/>
                <w:color w:val="000000" w:themeColor="text1"/>
                <w:sz w:val="20"/>
                <w:szCs w:val="20"/>
              </w:rPr>
              <w:t>nths</w:t>
            </w:r>
            <w:r w:rsidRPr="00D40B19">
              <w:rPr>
                <w:rFonts w:ascii="Arial" w:hAnsi="Arial" w:cs="Arial"/>
                <w:color w:val="000000" w:themeColor="text1"/>
                <w:sz w:val="20"/>
                <w:szCs w:val="20"/>
              </w:rPr>
              <w:t>, VT (n</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2) and SND (n</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1) were detected resulting in ICD in 2</w:t>
            </w:r>
            <w:r w:rsidR="00755F49" w:rsidRPr="00D40B19">
              <w:rPr>
                <w:rFonts w:ascii="Arial" w:hAnsi="Arial" w:cs="Arial"/>
                <w:color w:val="000000" w:themeColor="text1"/>
                <w:sz w:val="20"/>
                <w:szCs w:val="20"/>
              </w:rPr>
              <w:t xml:space="preserve"> patients</w:t>
            </w:r>
            <w:r w:rsidRPr="00D40B19">
              <w:rPr>
                <w:rFonts w:ascii="Arial" w:hAnsi="Arial" w:cs="Arial"/>
                <w:color w:val="000000" w:themeColor="text1"/>
                <w:sz w:val="20"/>
                <w:szCs w:val="20"/>
              </w:rPr>
              <w:t xml:space="preserve"> and DDD pacemaker in 1 patient. Positive or negative arrhythmic diagnosis was reached in 71%. ICM particularly beneficial in </w:t>
            </w:r>
            <w:r w:rsidRPr="00D40B19">
              <w:rPr>
                <w:rFonts w:ascii="Arial" w:hAnsi="Arial" w:cs="Arial"/>
                <w:color w:val="000000" w:themeColor="text1"/>
                <w:sz w:val="20"/>
                <w:szCs w:val="20"/>
              </w:rPr>
              <w:lastRenderedPageBreak/>
              <w:t>patients with neurodevelopmental delay.</w:t>
            </w:r>
          </w:p>
        </w:tc>
      </w:tr>
    </w:tbl>
    <w:p w14:paraId="4704FB7D" w14:textId="77777777" w:rsidR="00281987" w:rsidRDefault="00281987" w:rsidP="00D91381">
      <w:pPr>
        <w:pStyle w:val="Caption"/>
        <w:keepNext/>
        <w:rPr>
          <w:rFonts w:ascii="Arial" w:hAnsi="Arial" w:cs="Arial"/>
          <w:b/>
          <w:i w:val="0"/>
          <w:color w:val="000000" w:themeColor="text1"/>
          <w:sz w:val="24"/>
          <w:szCs w:val="24"/>
        </w:rPr>
      </w:pPr>
    </w:p>
    <w:p w14:paraId="3EF63798" w14:textId="53822C0A" w:rsidR="00D91381" w:rsidRPr="009D78BE" w:rsidRDefault="009D128D" w:rsidP="00D91381">
      <w:pPr>
        <w:pStyle w:val="Caption"/>
        <w:keepNext/>
        <w:rPr>
          <w:rFonts w:ascii="Arial" w:hAnsi="Arial" w:cs="Arial"/>
          <w:b/>
          <w:i w:val="0"/>
          <w:color w:val="000000" w:themeColor="text1"/>
          <w:sz w:val="24"/>
          <w:szCs w:val="24"/>
        </w:rPr>
      </w:pPr>
      <w:r w:rsidRPr="009D78BE">
        <w:rPr>
          <w:rFonts w:ascii="Arial" w:hAnsi="Arial" w:cs="Arial"/>
          <w:b/>
          <w:i w:val="0"/>
          <w:color w:val="000000" w:themeColor="text1"/>
          <w:sz w:val="24"/>
          <w:szCs w:val="24"/>
        </w:rPr>
        <w:t xml:space="preserve">Table </w:t>
      </w:r>
      <w:r w:rsidR="00BA22E5">
        <w:rPr>
          <w:rFonts w:ascii="Arial" w:hAnsi="Arial" w:cs="Arial"/>
          <w:b/>
          <w:i w:val="0"/>
          <w:color w:val="000000" w:themeColor="text1"/>
          <w:sz w:val="24"/>
          <w:szCs w:val="24"/>
        </w:rPr>
        <w:t>S</w:t>
      </w:r>
      <w:r w:rsidRPr="009D78BE">
        <w:rPr>
          <w:rFonts w:ascii="Arial" w:hAnsi="Arial" w:cs="Arial"/>
          <w:b/>
          <w:i w:val="0"/>
          <w:color w:val="000000" w:themeColor="text1"/>
          <w:sz w:val="24"/>
          <w:szCs w:val="24"/>
        </w:rPr>
        <w:t xml:space="preserve">5. </w:t>
      </w:r>
      <w:r w:rsidR="00D91381" w:rsidRPr="009D78BE">
        <w:rPr>
          <w:rFonts w:ascii="Arial" w:hAnsi="Arial" w:cs="Arial"/>
          <w:b/>
          <w:i w:val="0"/>
          <w:color w:val="000000" w:themeColor="text1"/>
          <w:sz w:val="24"/>
          <w:szCs w:val="24"/>
        </w:rPr>
        <w:t xml:space="preserve">Evidence for CIED </w:t>
      </w:r>
      <w:r w:rsidR="006D10B9" w:rsidRPr="009D78BE">
        <w:rPr>
          <w:rFonts w:ascii="Arial" w:hAnsi="Arial" w:cs="Arial"/>
          <w:b/>
          <w:i w:val="0"/>
          <w:color w:val="000000" w:themeColor="text1"/>
          <w:sz w:val="24"/>
          <w:szCs w:val="24"/>
        </w:rPr>
        <w:t xml:space="preserve">Lead Management </w:t>
      </w:r>
    </w:p>
    <w:tbl>
      <w:tblPr>
        <w:tblW w:w="12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778"/>
        <w:gridCol w:w="1728"/>
        <w:gridCol w:w="1440"/>
        <w:gridCol w:w="1728"/>
        <w:gridCol w:w="2160"/>
        <w:gridCol w:w="3033"/>
      </w:tblGrid>
      <w:tr w:rsidR="009D78BE" w:rsidRPr="009D78BE" w14:paraId="180D5219" w14:textId="77777777" w:rsidTr="005A7328">
        <w:trPr>
          <w:trHeight w:val="576"/>
        </w:trPr>
        <w:tc>
          <w:tcPr>
            <w:tcW w:w="1728" w:type="dxa"/>
          </w:tcPr>
          <w:p w14:paraId="2085035A" w14:textId="7FA8ED80" w:rsidR="00D91381" w:rsidRPr="00D40B19" w:rsidRDefault="00D91381"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author</w:t>
            </w:r>
          </w:p>
        </w:tc>
        <w:tc>
          <w:tcPr>
            <w:tcW w:w="778" w:type="dxa"/>
          </w:tcPr>
          <w:p w14:paraId="29DE521D" w14:textId="77777777" w:rsidR="00D91381" w:rsidRPr="00D40B19" w:rsidRDefault="00D91381"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Year</w:t>
            </w:r>
          </w:p>
        </w:tc>
        <w:tc>
          <w:tcPr>
            <w:tcW w:w="1728" w:type="dxa"/>
          </w:tcPr>
          <w:p w14:paraId="5100E1C6" w14:textId="3C7C7F3D" w:rsidR="00D91381" w:rsidRPr="00D40B19" w:rsidRDefault="00D91381"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 xml:space="preserve">Study </w:t>
            </w:r>
            <w:r w:rsidR="000B3A0C" w:rsidRPr="00D40B19">
              <w:rPr>
                <w:rFonts w:ascii="Arial" w:hAnsi="Arial" w:cs="Arial"/>
                <w:b/>
                <w:color w:val="000000" w:themeColor="text1"/>
              </w:rPr>
              <w:t>type</w:t>
            </w:r>
          </w:p>
        </w:tc>
        <w:tc>
          <w:tcPr>
            <w:tcW w:w="1440" w:type="dxa"/>
          </w:tcPr>
          <w:p w14:paraId="29E24E76" w14:textId="236C13AD" w:rsidR="00D91381" w:rsidRPr="00D40B19" w:rsidRDefault="00AB1CA3"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 xml:space="preserve">Patient </w:t>
            </w:r>
            <w:r w:rsidR="000B3A0C" w:rsidRPr="00D40B19">
              <w:rPr>
                <w:rFonts w:ascii="Arial" w:hAnsi="Arial" w:cs="Arial"/>
                <w:b/>
                <w:color w:val="000000" w:themeColor="text1"/>
              </w:rPr>
              <w:t>population</w:t>
            </w:r>
          </w:p>
        </w:tc>
        <w:tc>
          <w:tcPr>
            <w:tcW w:w="1728" w:type="dxa"/>
          </w:tcPr>
          <w:p w14:paraId="69E8BD10" w14:textId="2A8A3B94" w:rsidR="00D91381" w:rsidRPr="00D40B19" w:rsidRDefault="00D91381"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 xml:space="preserve">Inclusion </w:t>
            </w:r>
            <w:r w:rsidR="000B3A0C" w:rsidRPr="00D40B19">
              <w:rPr>
                <w:rFonts w:ascii="Arial" w:hAnsi="Arial" w:cs="Arial"/>
                <w:b/>
                <w:color w:val="000000" w:themeColor="text1"/>
              </w:rPr>
              <w:t>criteria</w:t>
            </w:r>
          </w:p>
        </w:tc>
        <w:tc>
          <w:tcPr>
            <w:tcW w:w="2160" w:type="dxa"/>
          </w:tcPr>
          <w:p w14:paraId="20A9F17F" w14:textId="77777777" w:rsidR="00D91381" w:rsidRPr="00D40B19" w:rsidRDefault="00D91381"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Endpoints</w:t>
            </w:r>
          </w:p>
        </w:tc>
        <w:tc>
          <w:tcPr>
            <w:tcW w:w="3033" w:type="dxa"/>
          </w:tcPr>
          <w:p w14:paraId="32A25115" w14:textId="2B520778" w:rsidR="00D91381" w:rsidRPr="00D40B19" w:rsidRDefault="00AB1CA3" w:rsidP="007C7477">
            <w:pPr>
              <w:spacing w:after="0" w:line="240" w:lineRule="auto"/>
              <w:contextualSpacing/>
              <w:rPr>
                <w:rFonts w:ascii="Arial" w:hAnsi="Arial" w:cs="Arial"/>
                <w:b/>
                <w:color w:val="000000" w:themeColor="text1"/>
              </w:rPr>
            </w:pPr>
            <w:r w:rsidRPr="00D40B19">
              <w:rPr>
                <w:rFonts w:ascii="Arial" w:hAnsi="Arial" w:cs="Arial"/>
                <w:b/>
                <w:color w:val="000000" w:themeColor="text1"/>
              </w:rPr>
              <w:t>Results/</w:t>
            </w:r>
            <w:r w:rsidR="000B3A0C" w:rsidRPr="00D40B19">
              <w:rPr>
                <w:rFonts w:ascii="Arial" w:hAnsi="Arial" w:cs="Arial"/>
                <w:b/>
                <w:color w:val="000000" w:themeColor="text1"/>
              </w:rPr>
              <w:t>findings</w:t>
            </w:r>
          </w:p>
        </w:tc>
      </w:tr>
      <w:tr w:rsidR="009D78BE" w:rsidRPr="009D78BE" w14:paraId="1FFD430F" w14:textId="77777777" w:rsidTr="005A7328">
        <w:tc>
          <w:tcPr>
            <w:tcW w:w="1728" w:type="dxa"/>
          </w:tcPr>
          <w:p w14:paraId="521336CA" w14:textId="43E058C5" w:rsidR="00D91381" w:rsidRPr="00D40B19" w:rsidRDefault="00D91381" w:rsidP="007C7477">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Atallah</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23</w:t>
            </w:r>
            <w:r w:rsidR="004C19A4" w:rsidRPr="00D40B19">
              <w:rPr>
                <w:rFonts w:ascii="Arial" w:hAnsi="Arial" w:cs="Arial"/>
                <w:color w:val="000000" w:themeColor="text1"/>
                <w:sz w:val="20"/>
                <w:szCs w:val="20"/>
                <w:vertAlign w:val="superscript"/>
              </w:rPr>
              <w:t>9</w:t>
            </w:r>
          </w:p>
        </w:tc>
        <w:tc>
          <w:tcPr>
            <w:tcW w:w="778" w:type="dxa"/>
          </w:tcPr>
          <w:p w14:paraId="4629B594"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2013</w:t>
            </w:r>
          </w:p>
        </w:tc>
        <w:tc>
          <w:tcPr>
            <w:tcW w:w="1728" w:type="dxa"/>
          </w:tcPr>
          <w:p w14:paraId="4927D292" w14:textId="10BA4EF1"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Multicenter registry</w:t>
            </w:r>
          </w:p>
        </w:tc>
        <w:tc>
          <w:tcPr>
            <w:tcW w:w="1440" w:type="dxa"/>
          </w:tcPr>
          <w:p w14:paraId="17C602C8"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878 patients</w:t>
            </w:r>
          </w:p>
        </w:tc>
        <w:tc>
          <w:tcPr>
            <w:tcW w:w="1728" w:type="dxa"/>
          </w:tcPr>
          <w:p w14:paraId="22658109" w14:textId="56733111"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Consecutive patients both w</w:t>
            </w:r>
            <w:r w:rsidR="004B3D6D" w:rsidRPr="00D40B19">
              <w:rPr>
                <w:rFonts w:ascii="Arial" w:hAnsi="Arial" w:cs="Arial"/>
                <w:color w:val="000000" w:themeColor="text1"/>
                <w:sz w:val="20"/>
                <w:szCs w:val="20"/>
              </w:rPr>
              <w:t>ith and without</w:t>
            </w:r>
            <w:r w:rsidRPr="00D40B19">
              <w:rPr>
                <w:rFonts w:ascii="Arial" w:hAnsi="Arial" w:cs="Arial"/>
                <w:color w:val="000000" w:themeColor="text1"/>
                <w:sz w:val="20"/>
                <w:szCs w:val="20"/>
              </w:rPr>
              <w:t xml:space="preserve"> CHD undergoing  ICD implantation </w:t>
            </w:r>
          </w:p>
        </w:tc>
        <w:tc>
          <w:tcPr>
            <w:tcW w:w="2160" w:type="dxa"/>
          </w:tcPr>
          <w:p w14:paraId="2B13E999" w14:textId="0735309E"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ICD </w:t>
            </w:r>
            <w:r w:rsidR="003A29B1" w:rsidRPr="00D40B19">
              <w:rPr>
                <w:rFonts w:ascii="Arial" w:hAnsi="Arial" w:cs="Arial"/>
                <w:color w:val="000000" w:themeColor="text1"/>
                <w:sz w:val="20"/>
                <w:szCs w:val="20"/>
              </w:rPr>
              <w:t xml:space="preserve">lead </w:t>
            </w:r>
            <w:r w:rsidRPr="00D40B19">
              <w:rPr>
                <w:rFonts w:ascii="Arial" w:hAnsi="Arial" w:cs="Arial"/>
                <w:color w:val="000000" w:themeColor="text1"/>
                <w:sz w:val="20"/>
                <w:szCs w:val="20"/>
              </w:rPr>
              <w:t xml:space="preserve">failure </w:t>
            </w:r>
          </w:p>
        </w:tc>
        <w:tc>
          <w:tcPr>
            <w:tcW w:w="3033" w:type="dxa"/>
          </w:tcPr>
          <w:p w14:paraId="35F55651" w14:textId="1C2E37E3"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14% ICD lead failure at a mean lead age of 2.0 </w:t>
            </w:r>
            <w:r w:rsidR="00755F49" w:rsidRPr="00D40B19">
              <w:rPr>
                <w:rFonts w:ascii="Arial" w:hAnsi="Arial" w:cs="Arial"/>
                <w:color w:val="000000" w:themeColor="text1"/>
                <w:sz w:val="20"/>
                <w:szCs w:val="20"/>
              </w:rPr>
              <w:sym w:font="Symbol" w:char="F0B1"/>
            </w:r>
            <w:r w:rsidRPr="00D40B19">
              <w:rPr>
                <w:rFonts w:ascii="Arial" w:hAnsi="Arial" w:cs="Arial"/>
                <w:color w:val="000000" w:themeColor="text1"/>
                <w:sz w:val="20"/>
                <w:szCs w:val="20"/>
              </w:rPr>
              <w:t xml:space="preserve"> 1.4 years, compounded by high failure rates of Fidelis leads. Younger implantation age was an independent predictor for lead failure. Lead age was an independent predictor of need for advanced extraction techniques.</w:t>
            </w:r>
          </w:p>
        </w:tc>
      </w:tr>
      <w:tr w:rsidR="009D78BE" w:rsidRPr="009D78BE" w14:paraId="5C2BB652" w14:textId="77777777" w:rsidTr="005A7328">
        <w:tc>
          <w:tcPr>
            <w:tcW w:w="1728" w:type="dxa"/>
          </w:tcPr>
          <w:p w14:paraId="520263ED" w14:textId="35A171E9" w:rsidR="00D91381" w:rsidRPr="00D40B19" w:rsidRDefault="00D91381" w:rsidP="007C7477">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Cecchin</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w:t>
            </w:r>
            <w:r w:rsidR="004C19A4" w:rsidRPr="00D40B19">
              <w:rPr>
                <w:rFonts w:ascii="Arial" w:hAnsi="Arial" w:cs="Arial"/>
                <w:color w:val="000000" w:themeColor="text1"/>
                <w:sz w:val="20"/>
                <w:szCs w:val="20"/>
                <w:vertAlign w:val="superscript"/>
              </w:rPr>
              <w:t>40</w:t>
            </w:r>
          </w:p>
        </w:tc>
        <w:tc>
          <w:tcPr>
            <w:tcW w:w="778" w:type="dxa"/>
          </w:tcPr>
          <w:p w14:paraId="40C04DE5"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2010</w:t>
            </w:r>
          </w:p>
        </w:tc>
        <w:tc>
          <w:tcPr>
            <w:tcW w:w="1728" w:type="dxa"/>
          </w:tcPr>
          <w:p w14:paraId="2C791904"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cohort study</w:t>
            </w:r>
          </w:p>
        </w:tc>
        <w:tc>
          <w:tcPr>
            <w:tcW w:w="1440" w:type="dxa"/>
          </w:tcPr>
          <w:p w14:paraId="3CC18B97"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144 patients (203 leads)</w:t>
            </w:r>
          </w:p>
        </w:tc>
        <w:tc>
          <w:tcPr>
            <w:tcW w:w="1728" w:type="dxa"/>
          </w:tcPr>
          <w:p w14:paraId="6814F13A" w14:textId="0D9BB7DD"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Consecutive patients both </w:t>
            </w:r>
            <w:r w:rsidR="004B3D6D" w:rsidRPr="00D40B19">
              <w:rPr>
                <w:rFonts w:ascii="Arial" w:hAnsi="Arial" w:cs="Arial"/>
                <w:color w:val="000000" w:themeColor="text1"/>
                <w:sz w:val="20"/>
                <w:szCs w:val="20"/>
              </w:rPr>
              <w:t>with and without</w:t>
            </w:r>
            <w:r w:rsidRPr="00D40B19">
              <w:rPr>
                <w:rFonts w:ascii="Arial" w:hAnsi="Arial" w:cs="Arial"/>
                <w:color w:val="000000" w:themeColor="text1"/>
                <w:sz w:val="20"/>
                <w:szCs w:val="20"/>
              </w:rPr>
              <w:t xml:space="preserve"> CHD undergoing lead extraction </w:t>
            </w:r>
          </w:p>
          <w:p w14:paraId="067721F4" w14:textId="29E93FF3"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(2002</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2008)</w:t>
            </w:r>
          </w:p>
        </w:tc>
        <w:tc>
          <w:tcPr>
            <w:tcW w:w="2160" w:type="dxa"/>
          </w:tcPr>
          <w:p w14:paraId="235E45FD"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Successful lead extraction and complication rates</w:t>
            </w:r>
          </w:p>
        </w:tc>
        <w:tc>
          <w:tcPr>
            <w:tcW w:w="3033" w:type="dxa"/>
          </w:tcPr>
          <w:p w14:paraId="72AFC529"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Successful extraction in 80% of all leads and 94% of leads undergoing complex extraction. Older lead age, ventricular leads, and polyurethane insulation were independent predictors of decreased likelihood of simple extraction. 2.7% incidence of both major and minor complications.  </w:t>
            </w:r>
          </w:p>
        </w:tc>
      </w:tr>
      <w:tr w:rsidR="009D78BE" w:rsidRPr="009D78BE" w14:paraId="7C146D62" w14:textId="77777777" w:rsidTr="005A7328">
        <w:tc>
          <w:tcPr>
            <w:tcW w:w="1728" w:type="dxa"/>
          </w:tcPr>
          <w:p w14:paraId="13FE4E85" w14:textId="74471CA0" w:rsidR="00D91381" w:rsidRPr="00D40B19" w:rsidRDefault="00D91381" w:rsidP="007C7477">
            <w:pPr>
              <w:spacing w:after="0" w:line="240" w:lineRule="auto"/>
              <w:contextualSpacing/>
              <w:rPr>
                <w:rFonts w:ascii="Arial" w:hAnsi="Arial" w:cs="Arial"/>
                <w:color w:val="000000" w:themeColor="text1"/>
                <w:sz w:val="20"/>
                <w:szCs w:val="20"/>
              </w:rPr>
            </w:pPr>
            <w:proofErr w:type="spellStart"/>
            <w:r w:rsidRPr="00D40B19">
              <w:rPr>
                <w:rFonts w:ascii="Arial" w:hAnsi="Arial" w:cs="Arial"/>
                <w:color w:val="000000" w:themeColor="text1"/>
                <w:sz w:val="20"/>
                <w:szCs w:val="20"/>
              </w:rPr>
              <w:t>Mah</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w:t>
            </w:r>
            <w:r w:rsidR="00A04AAC" w:rsidRPr="00D40B19">
              <w:rPr>
                <w:rFonts w:ascii="Arial" w:hAnsi="Arial" w:cs="Arial"/>
                <w:color w:val="000000" w:themeColor="text1"/>
                <w:sz w:val="20"/>
                <w:szCs w:val="20"/>
                <w:vertAlign w:val="superscript"/>
              </w:rPr>
              <w:t>4</w:t>
            </w:r>
            <w:r w:rsidR="004C19A4" w:rsidRPr="00D40B19">
              <w:rPr>
                <w:rFonts w:ascii="Arial" w:hAnsi="Arial" w:cs="Arial"/>
                <w:color w:val="000000" w:themeColor="text1"/>
                <w:sz w:val="20"/>
                <w:szCs w:val="20"/>
                <w:vertAlign w:val="superscript"/>
              </w:rPr>
              <w:t>1</w:t>
            </w:r>
            <w:r w:rsidRPr="00D40B19">
              <w:rPr>
                <w:rFonts w:ascii="Arial" w:hAnsi="Arial" w:cs="Arial"/>
                <w:color w:val="000000" w:themeColor="text1"/>
                <w:sz w:val="20"/>
                <w:szCs w:val="20"/>
              </w:rPr>
              <w:t xml:space="preserve"> </w:t>
            </w:r>
          </w:p>
        </w:tc>
        <w:tc>
          <w:tcPr>
            <w:tcW w:w="778" w:type="dxa"/>
          </w:tcPr>
          <w:p w14:paraId="1E16F8EB"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2018</w:t>
            </w:r>
          </w:p>
        </w:tc>
        <w:tc>
          <w:tcPr>
            <w:tcW w:w="1728" w:type="dxa"/>
          </w:tcPr>
          <w:p w14:paraId="7258167A"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observational study</w:t>
            </w:r>
          </w:p>
        </w:tc>
        <w:tc>
          <w:tcPr>
            <w:tcW w:w="1440" w:type="dxa"/>
          </w:tcPr>
          <w:p w14:paraId="38632E9F"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145 patients</w:t>
            </w:r>
          </w:p>
        </w:tc>
        <w:tc>
          <w:tcPr>
            <w:tcW w:w="1728" w:type="dxa"/>
          </w:tcPr>
          <w:p w14:paraId="50005D9B"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All patients with epicardial leads undergoing angiography or CT</w:t>
            </w:r>
          </w:p>
        </w:tc>
        <w:tc>
          <w:tcPr>
            <w:tcW w:w="2160" w:type="dxa"/>
          </w:tcPr>
          <w:p w14:paraId="3913E6F7"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Coronary compression</w:t>
            </w:r>
          </w:p>
        </w:tc>
        <w:tc>
          <w:tcPr>
            <w:tcW w:w="3033" w:type="dxa"/>
          </w:tcPr>
          <w:p w14:paraId="4B905B89" w14:textId="62A71B69"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Coronary compression noted in 5.5% of patients with epicardial leads, 75% of whom were symptomatic. CT scan had 100% sensitivity and 93% specificity</w:t>
            </w:r>
            <w:r w:rsidR="00755F4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while angiography had 86% sensitivity and 100% specificity. </w:t>
            </w:r>
          </w:p>
        </w:tc>
      </w:tr>
      <w:tr w:rsidR="009D78BE" w:rsidRPr="009D78BE" w14:paraId="0B46815C" w14:textId="77777777" w:rsidTr="005A7328">
        <w:tc>
          <w:tcPr>
            <w:tcW w:w="1728" w:type="dxa"/>
          </w:tcPr>
          <w:p w14:paraId="36B547E8" w14:textId="67220DAD" w:rsidR="00D91381" w:rsidRPr="00D40B19" w:rsidRDefault="00D91381" w:rsidP="007C7477">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lastRenderedPageBreak/>
              <w:t>Fender</w:t>
            </w:r>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w:t>
            </w:r>
            <w:r w:rsidR="00A04AAC" w:rsidRPr="00D40B19">
              <w:rPr>
                <w:rFonts w:ascii="Arial" w:hAnsi="Arial" w:cs="Arial"/>
                <w:color w:val="000000" w:themeColor="text1"/>
                <w:sz w:val="20"/>
                <w:szCs w:val="20"/>
                <w:vertAlign w:val="superscript"/>
              </w:rPr>
              <w:t>4</w:t>
            </w:r>
            <w:r w:rsidR="004C19A4" w:rsidRPr="00D40B19">
              <w:rPr>
                <w:rFonts w:ascii="Arial" w:hAnsi="Arial" w:cs="Arial"/>
                <w:color w:val="000000" w:themeColor="text1"/>
                <w:sz w:val="20"/>
                <w:szCs w:val="20"/>
                <w:vertAlign w:val="superscript"/>
              </w:rPr>
              <w:t>2</w:t>
            </w:r>
          </w:p>
        </w:tc>
        <w:tc>
          <w:tcPr>
            <w:tcW w:w="778" w:type="dxa"/>
          </w:tcPr>
          <w:p w14:paraId="63945A2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2017</w:t>
            </w:r>
          </w:p>
        </w:tc>
        <w:tc>
          <w:tcPr>
            <w:tcW w:w="1728" w:type="dxa"/>
          </w:tcPr>
          <w:p w14:paraId="4D52B5CC"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retrospective case control study</w:t>
            </w:r>
          </w:p>
        </w:tc>
        <w:tc>
          <w:tcPr>
            <w:tcW w:w="1440" w:type="dxa"/>
          </w:tcPr>
          <w:p w14:paraId="3F21D8A7" w14:textId="207380E3" w:rsidR="00D91381" w:rsidRPr="00D40B19" w:rsidRDefault="00D91381" w:rsidP="004B3D6D">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40 CHD </w:t>
            </w:r>
            <w:r w:rsidR="004B70C4" w:rsidRPr="00D40B19">
              <w:rPr>
                <w:rFonts w:ascii="Arial" w:hAnsi="Arial" w:cs="Arial"/>
                <w:color w:val="000000" w:themeColor="text1"/>
                <w:sz w:val="20"/>
                <w:szCs w:val="20"/>
              </w:rPr>
              <w:t xml:space="preserve">patients </w:t>
            </w:r>
            <w:r w:rsidRPr="00D40B19">
              <w:rPr>
                <w:rFonts w:ascii="Arial" w:hAnsi="Arial" w:cs="Arial"/>
                <w:color w:val="000000" w:themeColor="text1"/>
                <w:sz w:val="20"/>
                <w:szCs w:val="20"/>
              </w:rPr>
              <w:t>(77 leads)</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80 controls (146 leads)</w:t>
            </w:r>
          </w:p>
        </w:tc>
        <w:tc>
          <w:tcPr>
            <w:tcW w:w="1728" w:type="dxa"/>
          </w:tcPr>
          <w:p w14:paraId="10815836"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All patients undergoing lead extraction of leads older than 1 year </w:t>
            </w:r>
          </w:p>
          <w:p w14:paraId="4D21C56A" w14:textId="0A24528B"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(2001</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2014)</w:t>
            </w:r>
          </w:p>
        </w:tc>
        <w:tc>
          <w:tcPr>
            <w:tcW w:w="2160" w:type="dxa"/>
          </w:tcPr>
          <w:p w14:paraId="239F5D6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Successful lead extraction and complication rates</w:t>
            </w:r>
          </w:p>
        </w:tc>
        <w:tc>
          <w:tcPr>
            <w:tcW w:w="3033" w:type="dxa"/>
          </w:tcPr>
          <w:p w14:paraId="33CE4554" w14:textId="4F0CD34A"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There was no significant difference in extraction techniques between the </w:t>
            </w:r>
            <w:r w:rsidR="00755F49" w:rsidRPr="00D40B19">
              <w:rPr>
                <w:rFonts w:ascii="Arial" w:hAnsi="Arial" w:cs="Arial"/>
                <w:color w:val="000000" w:themeColor="text1"/>
                <w:sz w:val="20"/>
                <w:szCs w:val="20"/>
              </w:rPr>
              <w:t>two</w:t>
            </w:r>
            <w:r w:rsidRPr="00D40B19">
              <w:rPr>
                <w:rFonts w:ascii="Arial" w:hAnsi="Arial" w:cs="Arial"/>
                <w:color w:val="000000" w:themeColor="text1"/>
                <w:sz w:val="20"/>
                <w:szCs w:val="20"/>
              </w:rPr>
              <w:t xml:space="preserve"> groups</w:t>
            </w:r>
            <w:r w:rsidR="00755F4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with complete extraction achieved in 94% of patients in both those with CHD and</w:t>
            </w:r>
            <w:r w:rsidR="00755F49" w:rsidRPr="00D40B19">
              <w:rPr>
                <w:rFonts w:ascii="Arial" w:hAnsi="Arial" w:cs="Arial"/>
                <w:color w:val="000000" w:themeColor="text1"/>
                <w:sz w:val="20"/>
                <w:szCs w:val="20"/>
              </w:rPr>
              <w:t xml:space="preserve"> those</w:t>
            </w:r>
            <w:r w:rsidRPr="00D40B19">
              <w:rPr>
                <w:rFonts w:ascii="Arial" w:hAnsi="Arial" w:cs="Arial"/>
                <w:color w:val="000000" w:themeColor="text1"/>
                <w:sz w:val="20"/>
                <w:szCs w:val="20"/>
              </w:rPr>
              <w:t xml:space="preserve"> without CHD. No significant difference in complication rates between the </w:t>
            </w:r>
            <w:r w:rsidR="00755F49" w:rsidRPr="00D40B19">
              <w:rPr>
                <w:rFonts w:ascii="Arial" w:hAnsi="Arial" w:cs="Arial"/>
                <w:color w:val="000000" w:themeColor="text1"/>
                <w:sz w:val="20"/>
                <w:szCs w:val="20"/>
              </w:rPr>
              <w:t>two</w:t>
            </w:r>
            <w:r w:rsidRPr="00D40B19">
              <w:rPr>
                <w:rFonts w:ascii="Arial" w:hAnsi="Arial" w:cs="Arial"/>
                <w:color w:val="000000" w:themeColor="text1"/>
                <w:sz w:val="20"/>
                <w:szCs w:val="20"/>
              </w:rPr>
              <w:t xml:space="preserve"> groups.  </w:t>
            </w:r>
          </w:p>
        </w:tc>
      </w:tr>
      <w:tr w:rsidR="009D78BE" w:rsidRPr="009D78BE" w14:paraId="445FBA2A" w14:textId="77777777" w:rsidTr="005A7328">
        <w:tc>
          <w:tcPr>
            <w:tcW w:w="1728" w:type="dxa"/>
          </w:tcPr>
          <w:p w14:paraId="2ADD51BB" w14:textId="3A129972" w:rsidR="00D91381" w:rsidRPr="00D40B19" w:rsidRDefault="00D91381" w:rsidP="007C7477">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McCanta</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w:t>
            </w:r>
            <w:r w:rsidR="00A04AAC" w:rsidRPr="00D40B19">
              <w:rPr>
                <w:rFonts w:ascii="Arial" w:hAnsi="Arial" w:cs="Arial"/>
                <w:color w:val="000000" w:themeColor="text1"/>
                <w:sz w:val="20"/>
                <w:szCs w:val="20"/>
                <w:vertAlign w:val="superscript"/>
              </w:rPr>
              <w:t>4</w:t>
            </w:r>
            <w:r w:rsidR="004C19A4" w:rsidRPr="00D40B19">
              <w:rPr>
                <w:rFonts w:ascii="Arial" w:hAnsi="Arial" w:cs="Arial"/>
                <w:color w:val="000000" w:themeColor="text1"/>
                <w:sz w:val="20"/>
                <w:szCs w:val="20"/>
                <w:vertAlign w:val="superscript"/>
              </w:rPr>
              <w:t>3</w:t>
            </w:r>
          </w:p>
        </w:tc>
        <w:tc>
          <w:tcPr>
            <w:tcW w:w="778" w:type="dxa"/>
          </w:tcPr>
          <w:p w14:paraId="07954C54"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2013</w:t>
            </w:r>
          </w:p>
        </w:tc>
        <w:tc>
          <w:tcPr>
            <w:tcW w:w="1728" w:type="dxa"/>
          </w:tcPr>
          <w:p w14:paraId="059DDA6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retrospective case control study</w:t>
            </w:r>
          </w:p>
        </w:tc>
        <w:tc>
          <w:tcPr>
            <w:tcW w:w="1440" w:type="dxa"/>
          </w:tcPr>
          <w:p w14:paraId="1B7A8A41" w14:textId="769582E7" w:rsidR="00D91381" w:rsidRPr="00D40B19" w:rsidRDefault="00D91381" w:rsidP="004B3D6D">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22 CHD </w:t>
            </w:r>
            <w:r w:rsidR="004B70C4" w:rsidRPr="00D40B19">
              <w:rPr>
                <w:rFonts w:ascii="Arial" w:hAnsi="Arial" w:cs="Arial"/>
                <w:color w:val="000000" w:themeColor="text1"/>
                <w:sz w:val="20"/>
                <w:szCs w:val="20"/>
              </w:rPr>
              <w:t xml:space="preserve">patients </w:t>
            </w:r>
            <w:r w:rsidRPr="00D40B19">
              <w:rPr>
                <w:rFonts w:ascii="Arial" w:hAnsi="Arial" w:cs="Arial"/>
                <w:color w:val="000000" w:themeColor="text1"/>
                <w:sz w:val="20"/>
                <w:szCs w:val="20"/>
              </w:rPr>
              <w:t>(35 leads)</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22 controls (37 leads)</w:t>
            </w:r>
          </w:p>
        </w:tc>
        <w:tc>
          <w:tcPr>
            <w:tcW w:w="1728" w:type="dxa"/>
          </w:tcPr>
          <w:p w14:paraId="47169A2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All patients undergoing laser lead extraction</w:t>
            </w:r>
          </w:p>
          <w:p w14:paraId="4923DEDF" w14:textId="60CBC59C"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(2002</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2010)</w:t>
            </w:r>
          </w:p>
        </w:tc>
        <w:tc>
          <w:tcPr>
            <w:tcW w:w="2160" w:type="dxa"/>
          </w:tcPr>
          <w:p w14:paraId="0029E6A9"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Successful lead extraction and complication rates</w:t>
            </w:r>
          </w:p>
        </w:tc>
        <w:tc>
          <w:tcPr>
            <w:tcW w:w="3033" w:type="dxa"/>
          </w:tcPr>
          <w:p w14:paraId="6282861C" w14:textId="48A0F538"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Laser lead extraction was deemed successful in 74% of leads in patients with CHD vs</w:t>
            </w:r>
            <w:r w:rsidR="00755F49" w:rsidRPr="00D40B19">
              <w:rPr>
                <w:rFonts w:ascii="Arial" w:hAnsi="Arial" w:cs="Arial"/>
                <w:color w:val="000000" w:themeColor="text1"/>
                <w:sz w:val="20"/>
                <w:szCs w:val="20"/>
              </w:rPr>
              <w:t>.</w:t>
            </w:r>
            <w:r w:rsidRPr="00D40B19">
              <w:rPr>
                <w:rFonts w:ascii="Arial" w:hAnsi="Arial" w:cs="Arial"/>
                <w:color w:val="000000" w:themeColor="text1"/>
                <w:sz w:val="20"/>
                <w:szCs w:val="20"/>
              </w:rPr>
              <w:t xml:space="preserve"> 92% in controls without CHD (</w:t>
            </w:r>
            <w:r w:rsidR="00EE2737" w:rsidRPr="00D40B19">
              <w:rPr>
                <w:rFonts w:ascii="Arial" w:hAnsi="Arial" w:cs="Arial"/>
                <w:i/>
                <w:iCs/>
                <w:color w:val="000000" w:themeColor="text1"/>
                <w:sz w:val="20"/>
                <w:szCs w:val="20"/>
                <w:shd w:val="clear" w:color="auto" w:fill="FFFFFF"/>
              </w:rPr>
              <w:t>P</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w:t>
            </w:r>
            <w:r w:rsidR="004B3D6D" w:rsidRPr="00D40B19">
              <w:rPr>
                <w:rFonts w:ascii="Arial" w:hAnsi="Arial" w:cs="Arial"/>
                <w:color w:val="000000" w:themeColor="text1"/>
                <w:sz w:val="20"/>
                <w:szCs w:val="20"/>
              </w:rPr>
              <w:t xml:space="preserve"> </w:t>
            </w:r>
            <w:r w:rsidRPr="00D40B19">
              <w:rPr>
                <w:rFonts w:ascii="Arial" w:hAnsi="Arial" w:cs="Arial"/>
                <w:color w:val="000000" w:themeColor="text1"/>
                <w:sz w:val="20"/>
                <w:szCs w:val="20"/>
              </w:rPr>
              <w:t xml:space="preserve">.02). Majority that failed with laser extraction were successfully extracted by femoral snare or mechanical rotational devices. No complications were noted in the CHD group.   </w:t>
            </w:r>
          </w:p>
        </w:tc>
      </w:tr>
      <w:tr w:rsidR="009D78BE" w:rsidRPr="009D78BE" w14:paraId="37B7C525" w14:textId="77777777" w:rsidTr="005A7328">
        <w:tc>
          <w:tcPr>
            <w:tcW w:w="1728" w:type="dxa"/>
          </w:tcPr>
          <w:p w14:paraId="2775A4E4" w14:textId="61EC4A1F" w:rsidR="00D91381" w:rsidRPr="00D40B19" w:rsidRDefault="00D91381" w:rsidP="007C7477">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Moak</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24</w:t>
            </w:r>
            <w:r w:rsidR="004C19A4" w:rsidRPr="00D40B19">
              <w:rPr>
                <w:rFonts w:ascii="Arial" w:hAnsi="Arial" w:cs="Arial"/>
                <w:color w:val="000000" w:themeColor="text1"/>
                <w:sz w:val="20"/>
                <w:szCs w:val="20"/>
                <w:vertAlign w:val="superscript"/>
              </w:rPr>
              <w:t>4</w:t>
            </w:r>
          </w:p>
        </w:tc>
        <w:tc>
          <w:tcPr>
            <w:tcW w:w="778" w:type="dxa"/>
          </w:tcPr>
          <w:p w14:paraId="67438B2E"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2006</w:t>
            </w:r>
          </w:p>
        </w:tc>
        <w:tc>
          <w:tcPr>
            <w:tcW w:w="1728" w:type="dxa"/>
          </w:tcPr>
          <w:p w14:paraId="253F4113"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Single-center retrospective review </w:t>
            </w:r>
          </w:p>
        </w:tc>
        <w:tc>
          <w:tcPr>
            <w:tcW w:w="1440" w:type="dxa"/>
          </w:tcPr>
          <w:p w14:paraId="06B035D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25 patients (43 leads)</w:t>
            </w:r>
          </w:p>
        </w:tc>
        <w:tc>
          <w:tcPr>
            <w:tcW w:w="1728" w:type="dxa"/>
          </w:tcPr>
          <w:p w14:paraId="310D6A71"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All patients undergoing laser lead extraction</w:t>
            </w:r>
          </w:p>
        </w:tc>
        <w:tc>
          <w:tcPr>
            <w:tcW w:w="2160" w:type="dxa"/>
          </w:tcPr>
          <w:p w14:paraId="6AB950E2"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Successful lead extraction and complication rates</w:t>
            </w:r>
          </w:p>
        </w:tc>
        <w:tc>
          <w:tcPr>
            <w:tcW w:w="3033" w:type="dxa"/>
          </w:tcPr>
          <w:p w14:paraId="6260D427" w14:textId="16313FD1"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Lead removal was complete in 91% of leads and partial for 9% of leads. Major complications noted in 2 (6.9%) patients</w:t>
            </w:r>
            <w:r w:rsidR="00755F49" w:rsidRPr="00D40B19">
              <w:rPr>
                <w:rFonts w:ascii="Arial" w:hAnsi="Arial" w:cs="Arial"/>
                <w:color w:val="000000" w:themeColor="text1"/>
                <w:sz w:val="20"/>
                <w:szCs w:val="20"/>
              </w:rPr>
              <w:t>.</w:t>
            </w:r>
          </w:p>
        </w:tc>
      </w:tr>
      <w:tr w:rsidR="009D78BE" w:rsidRPr="009D78BE" w14:paraId="38253ED8" w14:textId="77777777" w:rsidTr="005A7328">
        <w:tc>
          <w:tcPr>
            <w:tcW w:w="1728" w:type="dxa"/>
          </w:tcPr>
          <w:p w14:paraId="2012E247" w14:textId="7A69ED1E" w:rsidR="00D91381" w:rsidRPr="00D40B19" w:rsidRDefault="00D91381" w:rsidP="007C7477">
            <w:pPr>
              <w:spacing w:after="0" w:line="240" w:lineRule="auto"/>
              <w:contextualSpacing/>
              <w:rPr>
                <w:rFonts w:ascii="Arial" w:hAnsi="Arial" w:cs="Arial"/>
                <w:color w:val="000000" w:themeColor="text1"/>
                <w:sz w:val="20"/>
                <w:szCs w:val="20"/>
                <w:vertAlign w:val="superscript"/>
              </w:rPr>
            </w:pPr>
            <w:proofErr w:type="spellStart"/>
            <w:r w:rsidRPr="00D40B19">
              <w:rPr>
                <w:rFonts w:ascii="Arial" w:hAnsi="Arial" w:cs="Arial"/>
                <w:color w:val="000000" w:themeColor="text1"/>
                <w:sz w:val="20"/>
                <w:szCs w:val="20"/>
              </w:rPr>
              <w:t>Gourraud</w:t>
            </w:r>
            <w:proofErr w:type="spellEnd"/>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24</w:t>
            </w:r>
            <w:r w:rsidR="004C19A4" w:rsidRPr="00D40B19">
              <w:rPr>
                <w:rFonts w:ascii="Arial" w:hAnsi="Arial" w:cs="Arial"/>
                <w:color w:val="000000" w:themeColor="text1"/>
                <w:sz w:val="20"/>
                <w:szCs w:val="20"/>
                <w:vertAlign w:val="superscript"/>
              </w:rPr>
              <w:t>6</w:t>
            </w:r>
          </w:p>
        </w:tc>
        <w:tc>
          <w:tcPr>
            <w:tcW w:w="778" w:type="dxa"/>
          </w:tcPr>
          <w:p w14:paraId="0F7F7C5D"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2018</w:t>
            </w:r>
          </w:p>
        </w:tc>
        <w:tc>
          <w:tcPr>
            <w:tcW w:w="1728" w:type="dxa"/>
          </w:tcPr>
          <w:p w14:paraId="28D2A29A"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prospective registry study</w:t>
            </w:r>
          </w:p>
        </w:tc>
        <w:tc>
          <w:tcPr>
            <w:tcW w:w="1440" w:type="dxa"/>
          </w:tcPr>
          <w:p w14:paraId="33B4A4DE" w14:textId="2EBD1FEF"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49 patients (71 procedures/121 leads)</w:t>
            </w:r>
          </w:p>
        </w:tc>
        <w:tc>
          <w:tcPr>
            <w:tcW w:w="1728" w:type="dxa"/>
          </w:tcPr>
          <w:p w14:paraId="3425B7F5" w14:textId="287EDA42"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Consecutive patients w</w:t>
            </w:r>
            <w:r w:rsidR="00C948BF" w:rsidRPr="00D40B19">
              <w:rPr>
                <w:rFonts w:ascii="Arial" w:hAnsi="Arial" w:cs="Arial"/>
                <w:color w:val="000000" w:themeColor="text1"/>
                <w:sz w:val="20"/>
                <w:szCs w:val="20"/>
              </w:rPr>
              <w:t>ith</w:t>
            </w:r>
            <w:r w:rsidRPr="00D40B19">
              <w:rPr>
                <w:rFonts w:ascii="Arial" w:hAnsi="Arial" w:cs="Arial"/>
                <w:color w:val="000000" w:themeColor="text1"/>
                <w:sz w:val="20"/>
                <w:szCs w:val="20"/>
              </w:rPr>
              <w:t xml:space="preserve"> CHD undergoing lead extraction</w:t>
            </w:r>
          </w:p>
        </w:tc>
        <w:tc>
          <w:tcPr>
            <w:tcW w:w="2160" w:type="dxa"/>
          </w:tcPr>
          <w:p w14:paraId="260F0DA5"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Successful lead extraction and complication rates</w:t>
            </w:r>
          </w:p>
        </w:tc>
        <w:tc>
          <w:tcPr>
            <w:tcW w:w="3033" w:type="dxa"/>
          </w:tcPr>
          <w:p w14:paraId="2A8B2C0A" w14:textId="2587E5ED"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Complete lead extraction was achieved in 92% of all leads. Lead duration and number of previous cardiac surgeries were predictive of failure. </w:t>
            </w:r>
            <w:proofErr w:type="spellStart"/>
            <w:r w:rsidRPr="00D40B19">
              <w:rPr>
                <w:rFonts w:ascii="Arial" w:hAnsi="Arial" w:cs="Arial"/>
                <w:color w:val="000000" w:themeColor="text1"/>
                <w:sz w:val="20"/>
                <w:szCs w:val="20"/>
              </w:rPr>
              <w:t>Subpulmonary</w:t>
            </w:r>
            <w:proofErr w:type="spellEnd"/>
            <w:r w:rsidRPr="00D40B19">
              <w:rPr>
                <w:rFonts w:ascii="Arial" w:hAnsi="Arial" w:cs="Arial"/>
                <w:color w:val="000000" w:themeColor="text1"/>
                <w:sz w:val="20"/>
                <w:szCs w:val="20"/>
              </w:rPr>
              <w:t xml:space="preserve"> AV valve regurgitation was a prevalent complication in those with</w:t>
            </w:r>
            <w:r w:rsidR="00357515" w:rsidRPr="00D40B19">
              <w:rPr>
                <w:rFonts w:ascii="Arial" w:hAnsi="Arial" w:cs="Arial"/>
                <w:color w:val="000000" w:themeColor="text1"/>
                <w:sz w:val="20"/>
                <w:szCs w:val="20"/>
              </w:rPr>
              <w:t xml:space="preserve"> transposition of the great arteries</w:t>
            </w:r>
            <w:r w:rsidRPr="00D40B19">
              <w:rPr>
                <w:rFonts w:ascii="Arial" w:hAnsi="Arial" w:cs="Arial"/>
                <w:color w:val="000000" w:themeColor="text1"/>
                <w:sz w:val="20"/>
                <w:szCs w:val="20"/>
              </w:rPr>
              <w:t>. No deaths noted.</w:t>
            </w:r>
          </w:p>
        </w:tc>
      </w:tr>
      <w:tr w:rsidR="009D78BE" w:rsidRPr="009D78BE" w14:paraId="2DC0B12F" w14:textId="77777777" w:rsidTr="005A7328">
        <w:tc>
          <w:tcPr>
            <w:tcW w:w="1728" w:type="dxa"/>
          </w:tcPr>
          <w:p w14:paraId="07E8BBB0" w14:textId="698C87AB" w:rsidR="00D91381" w:rsidRPr="00D40B19" w:rsidRDefault="00D91381" w:rsidP="007C7477">
            <w:pPr>
              <w:spacing w:after="0" w:line="240" w:lineRule="auto"/>
              <w:contextualSpacing/>
              <w:rPr>
                <w:rFonts w:ascii="Arial" w:hAnsi="Arial" w:cs="Arial"/>
                <w:color w:val="000000" w:themeColor="text1"/>
                <w:sz w:val="20"/>
                <w:szCs w:val="20"/>
                <w:vertAlign w:val="superscript"/>
              </w:rPr>
            </w:pPr>
            <w:r w:rsidRPr="00D40B19">
              <w:rPr>
                <w:rFonts w:ascii="Arial" w:hAnsi="Arial" w:cs="Arial"/>
                <w:color w:val="000000" w:themeColor="text1"/>
                <w:sz w:val="20"/>
                <w:szCs w:val="20"/>
              </w:rPr>
              <w:t>Bar-Cohen</w:t>
            </w:r>
            <w:r w:rsidR="00E81116" w:rsidRPr="00D40B19">
              <w:rPr>
                <w:rFonts w:ascii="Arial" w:hAnsi="Arial" w:cs="Arial"/>
                <w:color w:val="000000" w:themeColor="text1"/>
                <w:sz w:val="20"/>
                <w:szCs w:val="20"/>
              </w:rPr>
              <w:t xml:space="preserve"> et al</w:t>
            </w:r>
            <w:r w:rsidR="001D0F9C" w:rsidRPr="00D40B19">
              <w:rPr>
                <w:rFonts w:ascii="Arial" w:hAnsi="Arial" w:cs="Arial"/>
                <w:color w:val="000000" w:themeColor="text1"/>
                <w:sz w:val="20"/>
                <w:szCs w:val="20"/>
                <w:vertAlign w:val="superscript"/>
              </w:rPr>
              <w:t>24</w:t>
            </w:r>
            <w:r w:rsidR="004C19A4" w:rsidRPr="00D40B19">
              <w:rPr>
                <w:rFonts w:ascii="Arial" w:hAnsi="Arial" w:cs="Arial"/>
                <w:color w:val="000000" w:themeColor="text1"/>
                <w:sz w:val="20"/>
                <w:szCs w:val="20"/>
                <w:vertAlign w:val="superscript"/>
              </w:rPr>
              <w:t>9</w:t>
            </w:r>
          </w:p>
        </w:tc>
        <w:tc>
          <w:tcPr>
            <w:tcW w:w="778" w:type="dxa"/>
          </w:tcPr>
          <w:p w14:paraId="067512E7"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2006</w:t>
            </w:r>
          </w:p>
        </w:tc>
        <w:tc>
          <w:tcPr>
            <w:tcW w:w="1728" w:type="dxa"/>
          </w:tcPr>
          <w:p w14:paraId="5462D1BA"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prospective study</w:t>
            </w:r>
          </w:p>
        </w:tc>
        <w:tc>
          <w:tcPr>
            <w:tcW w:w="1440" w:type="dxa"/>
          </w:tcPr>
          <w:p w14:paraId="6E14B40B"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85 patients</w:t>
            </w:r>
          </w:p>
        </w:tc>
        <w:tc>
          <w:tcPr>
            <w:tcW w:w="1728" w:type="dxa"/>
          </w:tcPr>
          <w:p w14:paraId="2B4C0448"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Consecutive patients undergoing repeat </w:t>
            </w:r>
            <w:r w:rsidRPr="00D40B19">
              <w:rPr>
                <w:rFonts w:ascii="Arial" w:hAnsi="Arial" w:cs="Arial"/>
                <w:color w:val="000000" w:themeColor="text1"/>
                <w:sz w:val="20"/>
                <w:szCs w:val="20"/>
              </w:rPr>
              <w:lastRenderedPageBreak/>
              <w:t>pacemaker procedures</w:t>
            </w:r>
          </w:p>
          <w:p w14:paraId="1E4D026B" w14:textId="4F3D8B6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(2002</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2004)</w:t>
            </w:r>
          </w:p>
        </w:tc>
        <w:tc>
          <w:tcPr>
            <w:tcW w:w="2160" w:type="dxa"/>
          </w:tcPr>
          <w:p w14:paraId="0B62888F"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Venous obstruction after transvenous lead implant</w:t>
            </w:r>
          </w:p>
        </w:tc>
        <w:tc>
          <w:tcPr>
            <w:tcW w:w="3033" w:type="dxa"/>
          </w:tcPr>
          <w:p w14:paraId="5E1D8694" w14:textId="057D22A0"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Complete venous obstruction seen in 13% and partial obstruction seen in 12% of patients. No significant differences between obstructed </w:t>
            </w:r>
            <w:r w:rsidRPr="00D40B19">
              <w:rPr>
                <w:rFonts w:ascii="Arial" w:hAnsi="Arial" w:cs="Arial"/>
                <w:color w:val="000000" w:themeColor="text1"/>
                <w:sz w:val="20"/>
                <w:szCs w:val="20"/>
              </w:rPr>
              <w:lastRenderedPageBreak/>
              <w:t xml:space="preserve">and </w:t>
            </w:r>
            <w:proofErr w:type="spellStart"/>
            <w:r w:rsidRPr="00D40B19">
              <w:rPr>
                <w:rFonts w:ascii="Arial" w:hAnsi="Arial" w:cs="Arial"/>
                <w:color w:val="000000" w:themeColor="text1"/>
                <w:sz w:val="20"/>
                <w:szCs w:val="20"/>
              </w:rPr>
              <w:t>nonobstructed</w:t>
            </w:r>
            <w:proofErr w:type="spellEnd"/>
            <w:r w:rsidRPr="00D40B19">
              <w:rPr>
                <w:rFonts w:ascii="Arial" w:hAnsi="Arial" w:cs="Arial"/>
                <w:color w:val="000000" w:themeColor="text1"/>
                <w:sz w:val="20"/>
                <w:szCs w:val="20"/>
              </w:rPr>
              <w:t xml:space="preserve"> patients in relation to age, size, growth, or lead factors.</w:t>
            </w:r>
          </w:p>
        </w:tc>
      </w:tr>
      <w:tr w:rsidR="00D91381" w:rsidRPr="009D78BE" w14:paraId="324BE950" w14:textId="77777777" w:rsidTr="005A7328">
        <w:tc>
          <w:tcPr>
            <w:tcW w:w="1728" w:type="dxa"/>
          </w:tcPr>
          <w:p w14:paraId="545A349C" w14:textId="2CA5F5D8"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lastRenderedPageBreak/>
              <w:t>Janson</w:t>
            </w:r>
            <w:r w:rsidR="00E81116" w:rsidRPr="00D40B19">
              <w:rPr>
                <w:rFonts w:ascii="Arial" w:hAnsi="Arial" w:cs="Arial"/>
                <w:color w:val="000000" w:themeColor="text1"/>
                <w:sz w:val="20"/>
                <w:szCs w:val="20"/>
              </w:rPr>
              <w:t xml:space="preserve"> et al</w:t>
            </w:r>
            <w:r w:rsidR="00343F8A" w:rsidRPr="00D40B19">
              <w:rPr>
                <w:rFonts w:ascii="Arial" w:hAnsi="Arial" w:cs="Arial"/>
                <w:color w:val="000000" w:themeColor="text1"/>
                <w:sz w:val="20"/>
                <w:szCs w:val="20"/>
                <w:vertAlign w:val="superscript"/>
              </w:rPr>
              <w:t>25</w:t>
            </w:r>
            <w:r w:rsidR="00807BAB" w:rsidRPr="00D40B19">
              <w:rPr>
                <w:rFonts w:ascii="Arial" w:hAnsi="Arial" w:cs="Arial"/>
                <w:color w:val="000000" w:themeColor="text1"/>
                <w:sz w:val="20"/>
                <w:szCs w:val="20"/>
                <w:vertAlign w:val="superscript"/>
              </w:rPr>
              <w:t>5</w:t>
            </w:r>
            <w:r w:rsidRPr="00D40B19">
              <w:rPr>
                <w:rFonts w:ascii="Arial" w:hAnsi="Arial" w:cs="Arial"/>
                <w:color w:val="000000" w:themeColor="text1"/>
                <w:sz w:val="20"/>
                <w:szCs w:val="20"/>
              </w:rPr>
              <w:t xml:space="preserve"> </w:t>
            </w:r>
          </w:p>
        </w:tc>
        <w:tc>
          <w:tcPr>
            <w:tcW w:w="778" w:type="dxa"/>
          </w:tcPr>
          <w:p w14:paraId="23A12B07"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2014</w:t>
            </w:r>
          </w:p>
        </w:tc>
        <w:tc>
          <w:tcPr>
            <w:tcW w:w="1728" w:type="dxa"/>
          </w:tcPr>
          <w:p w14:paraId="78FC63A9"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Single-center retrospective review</w:t>
            </w:r>
          </w:p>
        </w:tc>
        <w:tc>
          <w:tcPr>
            <w:tcW w:w="1440" w:type="dxa"/>
          </w:tcPr>
          <w:p w14:paraId="05884C79"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101 patients (120 leads)</w:t>
            </w:r>
          </w:p>
        </w:tc>
        <w:tc>
          <w:tcPr>
            <w:tcW w:w="1728" w:type="dxa"/>
          </w:tcPr>
          <w:p w14:paraId="58EA7E05"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Consecutive patients undergoing transvenous ICD implantation</w:t>
            </w:r>
          </w:p>
          <w:p w14:paraId="36F16B45" w14:textId="75D52F44"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(1995</w:t>
            </w:r>
            <w:r w:rsidR="004B3D6D" w:rsidRPr="00D40B19">
              <w:rPr>
                <w:rFonts w:ascii="Arial" w:hAnsi="Arial" w:cs="Arial"/>
                <w:color w:val="000000" w:themeColor="text1"/>
                <w:sz w:val="20"/>
                <w:szCs w:val="20"/>
              </w:rPr>
              <w:t>–</w:t>
            </w:r>
            <w:r w:rsidRPr="00D40B19">
              <w:rPr>
                <w:rFonts w:ascii="Arial" w:hAnsi="Arial" w:cs="Arial"/>
                <w:color w:val="000000" w:themeColor="text1"/>
                <w:sz w:val="20"/>
                <w:szCs w:val="20"/>
              </w:rPr>
              <w:t>2011)</w:t>
            </w:r>
          </w:p>
        </w:tc>
        <w:tc>
          <w:tcPr>
            <w:tcW w:w="2160" w:type="dxa"/>
          </w:tcPr>
          <w:p w14:paraId="66AD0DA8" w14:textId="49362E18"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 xml:space="preserve">ICD </w:t>
            </w:r>
            <w:r w:rsidR="004B3D6D" w:rsidRPr="00D40B19">
              <w:rPr>
                <w:rFonts w:ascii="Arial" w:hAnsi="Arial" w:cs="Arial"/>
                <w:color w:val="000000" w:themeColor="text1"/>
                <w:sz w:val="20"/>
                <w:szCs w:val="20"/>
              </w:rPr>
              <w:t>lead failure</w:t>
            </w:r>
          </w:p>
        </w:tc>
        <w:tc>
          <w:tcPr>
            <w:tcW w:w="3033" w:type="dxa"/>
          </w:tcPr>
          <w:p w14:paraId="17F1CCD6" w14:textId="77777777" w:rsidR="00D91381" w:rsidRPr="00D40B19" w:rsidRDefault="00D91381" w:rsidP="007C7477">
            <w:pPr>
              <w:spacing w:after="0" w:line="240" w:lineRule="auto"/>
              <w:contextualSpacing/>
              <w:rPr>
                <w:rFonts w:ascii="Arial" w:hAnsi="Arial" w:cs="Arial"/>
                <w:color w:val="000000" w:themeColor="text1"/>
                <w:sz w:val="20"/>
                <w:szCs w:val="20"/>
              </w:rPr>
            </w:pPr>
            <w:r w:rsidRPr="00D40B19">
              <w:rPr>
                <w:rFonts w:ascii="Arial" w:hAnsi="Arial" w:cs="Arial"/>
                <w:color w:val="000000" w:themeColor="text1"/>
                <w:sz w:val="20"/>
                <w:szCs w:val="20"/>
              </w:rPr>
              <w:t>21% ICD failure with median follow-up of 28.7 months. Incidence of failure of 5.6% per year, compounded by high failure rates of Fidelis lead. Age and growth were not significantly associated with lead failure.</w:t>
            </w:r>
          </w:p>
        </w:tc>
      </w:tr>
    </w:tbl>
    <w:p w14:paraId="7CB40086" w14:textId="77777777" w:rsidR="00D91381" w:rsidRPr="00D40B19" w:rsidRDefault="00D91381" w:rsidP="00D65DB1">
      <w:pPr>
        <w:rPr>
          <w:rFonts w:ascii="Arial" w:hAnsi="Arial" w:cs="Arial"/>
          <w:color w:val="000000" w:themeColor="text1"/>
          <w:sz w:val="20"/>
          <w:szCs w:val="20"/>
        </w:rPr>
      </w:pPr>
    </w:p>
    <w:sectPr w:rsidR="00D91381" w:rsidRPr="00D40B19" w:rsidSect="002B393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406FA" w16cex:dateUtc="2021-07-10T15:46:00Z"/>
  <w16cex:commentExtensible w16cex:durableId="2494446F" w16cex:dateUtc="2021-07-10T20:08:00Z"/>
  <w16cex:commentExtensible w16cex:durableId="2494157F" w16cex:dateUtc="2021-07-10T16:47:00Z"/>
  <w16cex:commentExtensible w16cex:durableId="24940EE1" w16cex:dateUtc="2021-07-10T16:19:00Z"/>
  <w16cex:commentExtensible w16cex:durableId="248DD927" w16cex:dateUtc="2021-07-05T23:16:00Z"/>
  <w16cex:commentExtensible w16cex:durableId="249415EC" w16cex:dateUtc="2021-07-10T16:49:00Z"/>
  <w16cex:commentExtensible w16cex:durableId="249416D2" w16cex:dateUtc="2021-07-10T16:53:00Z"/>
  <w16cex:commentExtensible w16cex:durableId="24941683" w16cex:dateUtc="2021-07-10T16:52:00Z"/>
  <w16cex:commentExtensible w16cex:durableId="249418A7" w16cex:dateUtc="2021-07-10T17:01:00Z"/>
  <w16cex:commentExtensible w16cex:durableId="249419D0" w16cex:dateUtc="2021-07-10T17:06:00Z"/>
  <w16cex:commentExtensible w16cex:durableId="249429E3" w16cex:dateUtc="2021-07-10T18:14:00Z"/>
  <w16cex:commentExtensible w16cex:durableId="24942A04" w16cex:dateUtc="2021-07-10T18:15:00Z"/>
  <w16cex:commentExtensible w16cex:durableId="24941EB0" w16cex:dateUtc="2021-07-10T17:27:00Z"/>
  <w16cex:commentExtensible w16cex:durableId="24941EDE" w16cex:dateUtc="2021-07-10T17:27:00Z"/>
  <w16cex:commentExtensible w16cex:durableId="249441A6" w16cex:dateUtc="2021-07-10T19:56:00Z"/>
  <w16cex:commentExtensible w16cex:durableId="24941277" w16cex:dateUtc="2021-07-10T16:35:00Z"/>
  <w16cex:commentExtensible w16cex:durableId="248DE0B0" w16cex:dateUtc="2021-07-05T23:49:00Z"/>
  <w16cex:commentExtensible w16cex:durableId="24944131" w16cex:dateUtc="2021-07-10T19:54:00Z"/>
  <w16cex:commentExtensible w16cex:durableId="24942B4F" w16cex:dateUtc="2021-07-10T18:21:00Z"/>
  <w16cex:commentExtensible w16cex:durableId="248DE23E" w16cex:dateUtc="2021-07-05T23:55:00Z"/>
  <w16cex:commentExtensible w16cex:durableId="24942033" w16cex:dateUtc="2021-07-10T17:33:00Z"/>
  <w16cex:commentExtensible w16cex:durableId="24940B37" w16cex:dateUtc="2021-07-10T16:04:00Z"/>
  <w16cex:commentExtensible w16cex:durableId="249422D5" w16cex:dateUtc="2021-07-10T17:44:00Z"/>
  <w16cex:commentExtensible w16cex:durableId="248DE760" w16cex:dateUtc="2021-07-06T0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B4BCA" w14:textId="77777777" w:rsidR="00A31196" w:rsidRDefault="00A31196" w:rsidP="00D65D8E">
      <w:pPr>
        <w:spacing w:after="0" w:line="240" w:lineRule="auto"/>
      </w:pPr>
      <w:r>
        <w:separator/>
      </w:r>
    </w:p>
  </w:endnote>
  <w:endnote w:type="continuationSeparator" w:id="0">
    <w:p w14:paraId="63DE54BE" w14:textId="77777777" w:rsidR="00A31196" w:rsidRDefault="00A31196" w:rsidP="00D6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7FB8" w14:textId="77777777" w:rsidR="00A31196" w:rsidRDefault="00A31196" w:rsidP="00D65D8E">
      <w:pPr>
        <w:spacing w:after="0" w:line="240" w:lineRule="auto"/>
      </w:pPr>
      <w:r>
        <w:separator/>
      </w:r>
    </w:p>
  </w:footnote>
  <w:footnote w:type="continuationSeparator" w:id="0">
    <w:p w14:paraId="2D92239B" w14:textId="77777777" w:rsidR="00A31196" w:rsidRDefault="00A31196" w:rsidP="00D65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3826"/>
    <w:multiLevelType w:val="hybridMultilevel"/>
    <w:tmpl w:val="ACBE83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C6D1D"/>
    <w:multiLevelType w:val="hybridMultilevel"/>
    <w:tmpl w:val="B5FC12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A7B"/>
    <w:multiLevelType w:val="hybridMultilevel"/>
    <w:tmpl w:val="E9923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9431A"/>
    <w:multiLevelType w:val="hybridMultilevel"/>
    <w:tmpl w:val="D6B2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81291"/>
    <w:multiLevelType w:val="hybridMultilevel"/>
    <w:tmpl w:val="6FAEC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E"/>
    <w:rsid w:val="000002DA"/>
    <w:rsid w:val="000210EE"/>
    <w:rsid w:val="00024A51"/>
    <w:rsid w:val="00027AC5"/>
    <w:rsid w:val="0003126F"/>
    <w:rsid w:val="0003175E"/>
    <w:rsid w:val="000328CB"/>
    <w:rsid w:val="0003386F"/>
    <w:rsid w:val="000469B1"/>
    <w:rsid w:val="00053834"/>
    <w:rsid w:val="00053964"/>
    <w:rsid w:val="0005729F"/>
    <w:rsid w:val="00061292"/>
    <w:rsid w:val="00064B73"/>
    <w:rsid w:val="0006779F"/>
    <w:rsid w:val="000752C2"/>
    <w:rsid w:val="00096DB3"/>
    <w:rsid w:val="000A0220"/>
    <w:rsid w:val="000A3E76"/>
    <w:rsid w:val="000B0C98"/>
    <w:rsid w:val="000B2C0D"/>
    <w:rsid w:val="000B380D"/>
    <w:rsid w:val="000B3A0C"/>
    <w:rsid w:val="000C27AF"/>
    <w:rsid w:val="000C416D"/>
    <w:rsid w:val="000D17F9"/>
    <w:rsid w:val="000E3EAD"/>
    <w:rsid w:val="000F227C"/>
    <w:rsid w:val="000F41F6"/>
    <w:rsid w:val="00100F09"/>
    <w:rsid w:val="00117FF0"/>
    <w:rsid w:val="001351BB"/>
    <w:rsid w:val="00141F4F"/>
    <w:rsid w:val="00171356"/>
    <w:rsid w:val="00186351"/>
    <w:rsid w:val="00186B28"/>
    <w:rsid w:val="00195224"/>
    <w:rsid w:val="001B0728"/>
    <w:rsid w:val="001C2122"/>
    <w:rsid w:val="001C50F4"/>
    <w:rsid w:val="001C5F9D"/>
    <w:rsid w:val="001C6855"/>
    <w:rsid w:val="001D0F9C"/>
    <w:rsid w:val="001D164A"/>
    <w:rsid w:val="001D7524"/>
    <w:rsid w:val="001E2E1D"/>
    <w:rsid w:val="001E4C36"/>
    <w:rsid w:val="00221FC8"/>
    <w:rsid w:val="00222CA9"/>
    <w:rsid w:val="002328B3"/>
    <w:rsid w:val="00233F97"/>
    <w:rsid w:val="00250884"/>
    <w:rsid w:val="002534E8"/>
    <w:rsid w:val="002555EF"/>
    <w:rsid w:val="00265D63"/>
    <w:rsid w:val="00273151"/>
    <w:rsid w:val="00274490"/>
    <w:rsid w:val="00281987"/>
    <w:rsid w:val="002959DA"/>
    <w:rsid w:val="002B2117"/>
    <w:rsid w:val="002B3939"/>
    <w:rsid w:val="002C064F"/>
    <w:rsid w:val="002C4406"/>
    <w:rsid w:val="002C7C63"/>
    <w:rsid w:val="002D27CF"/>
    <w:rsid w:val="002D7420"/>
    <w:rsid w:val="002E4433"/>
    <w:rsid w:val="002E5A2B"/>
    <w:rsid w:val="002F7E5E"/>
    <w:rsid w:val="00311D58"/>
    <w:rsid w:val="0031254F"/>
    <w:rsid w:val="00315FDE"/>
    <w:rsid w:val="0032244D"/>
    <w:rsid w:val="00343F8A"/>
    <w:rsid w:val="00347D11"/>
    <w:rsid w:val="003522B1"/>
    <w:rsid w:val="003539DD"/>
    <w:rsid w:val="00353B88"/>
    <w:rsid w:val="00357515"/>
    <w:rsid w:val="003610E0"/>
    <w:rsid w:val="003621BB"/>
    <w:rsid w:val="0036688D"/>
    <w:rsid w:val="00370BD4"/>
    <w:rsid w:val="00373BB3"/>
    <w:rsid w:val="003747DA"/>
    <w:rsid w:val="003774DC"/>
    <w:rsid w:val="00377A62"/>
    <w:rsid w:val="003865A5"/>
    <w:rsid w:val="003A29B1"/>
    <w:rsid w:val="003A57EB"/>
    <w:rsid w:val="003A702A"/>
    <w:rsid w:val="003A7C4F"/>
    <w:rsid w:val="003A7FE2"/>
    <w:rsid w:val="003B0469"/>
    <w:rsid w:val="003B358B"/>
    <w:rsid w:val="003D0CCE"/>
    <w:rsid w:val="003D4DFB"/>
    <w:rsid w:val="003E03D0"/>
    <w:rsid w:val="003E5607"/>
    <w:rsid w:val="003E7537"/>
    <w:rsid w:val="00411ADF"/>
    <w:rsid w:val="004124B8"/>
    <w:rsid w:val="00412EB6"/>
    <w:rsid w:val="00415FAE"/>
    <w:rsid w:val="00432D76"/>
    <w:rsid w:val="004365BE"/>
    <w:rsid w:val="00447DD8"/>
    <w:rsid w:val="00452EE5"/>
    <w:rsid w:val="00455C54"/>
    <w:rsid w:val="00462CB3"/>
    <w:rsid w:val="00466999"/>
    <w:rsid w:val="00471C2D"/>
    <w:rsid w:val="00473ED8"/>
    <w:rsid w:val="004821C8"/>
    <w:rsid w:val="004854CD"/>
    <w:rsid w:val="004A3C38"/>
    <w:rsid w:val="004A4366"/>
    <w:rsid w:val="004A7364"/>
    <w:rsid w:val="004A75AD"/>
    <w:rsid w:val="004B3D6D"/>
    <w:rsid w:val="004B5AB1"/>
    <w:rsid w:val="004B70C4"/>
    <w:rsid w:val="004C19A4"/>
    <w:rsid w:val="004D736A"/>
    <w:rsid w:val="004E26EC"/>
    <w:rsid w:val="004E3D07"/>
    <w:rsid w:val="004F0DFC"/>
    <w:rsid w:val="004F6901"/>
    <w:rsid w:val="004F6F52"/>
    <w:rsid w:val="004F7D3A"/>
    <w:rsid w:val="00503FDF"/>
    <w:rsid w:val="005045C3"/>
    <w:rsid w:val="005063EC"/>
    <w:rsid w:val="0050678F"/>
    <w:rsid w:val="005110CD"/>
    <w:rsid w:val="00512AA1"/>
    <w:rsid w:val="005160B7"/>
    <w:rsid w:val="00527CC6"/>
    <w:rsid w:val="00543CBB"/>
    <w:rsid w:val="00562022"/>
    <w:rsid w:val="0057269D"/>
    <w:rsid w:val="005747AE"/>
    <w:rsid w:val="005761F6"/>
    <w:rsid w:val="00576968"/>
    <w:rsid w:val="00577814"/>
    <w:rsid w:val="0058087D"/>
    <w:rsid w:val="0058456A"/>
    <w:rsid w:val="00590361"/>
    <w:rsid w:val="005A32D8"/>
    <w:rsid w:val="005A7328"/>
    <w:rsid w:val="005A78B5"/>
    <w:rsid w:val="005B1709"/>
    <w:rsid w:val="005B27E9"/>
    <w:rsid w:val="005B51F0"/>
    <w:rsid w:val="005B7713"/>
    <w:rsid w:val="005C7125"/>
    <w:rsid w:val="005C7DA6"/>
    <w:rsid w:val="005D197A"/>
    <w:rsid w:val="005E0251"/>
    <w:rsid w:val="005E4B43"/>
    <w:rsid w:val="00614269"/>
    <w:rsid w:val="006167A8"/>
    <w:rsid w:val="00620147"/>
    <w:rsid w:val="00631BFE"/>
    <w:rsid w:val="00644B18"/>
    <w:rsid w:val="00645360"/>
    <w:rsid w:val="00654D22"/>
    <w:rsid w:val="006651BA"/>
    <w:rsid w:val="00667418"/>
    <w:rsid w:val="006875B8"/>
    <w:rsid w:val="00693519"/>
    <w:rsid w:val="006A5CB5"/>
    <w:rsid w:val="006A6044"/>
    <w:rsid w:val="006B4B39"/>
    <w:rsid w:val="006B5FB2"/>
    <w:rsid w:val="006B79AF"/>
    <w:rsid w:val="006C2257"/>
    <w:rsid w:val="006C420E"/>
    <w:rsid w:val="006D10B9"/>
    <w:rsid w:val="006D4E35"/>
    <w:rsid w:val="006E0E4B"/>
    <w:rsid w:val="006E7031"/>
    <w:rsid w:val="00711531"/>
    <w:rsid w:val="00723143"/>
    <w:rsid w:val="00723513"/>
    <w:rsid w:val="00732639"/>
    <w:rsid w:val="00732E7E"/>
    <w:rsid w:val="00735202"/>
    <w:rsid w:val="00735D61"/>
    <w:rsid w:val="007446E3"/>
    <w:rsid w:val="0074696A"/>
    <w:rsid w:val="00751C4D"/>
    <w:rsid w:val="007537FC"/>
    <w:rsid w:val="00755F49"/>
    <w:rsid w:val="00764250"/>
    <w:rsid w:val="0077105E"/>
    <w:rsid w:val="00783F05"/>
    <w:rsid w:val="007A3279"/>
    <w:rsid w:val="007A36F3"/>
    <w:rsid w:val="007B5200"/>
    <w:rsid w:val="007C1806"/>
    <w:rsid w:val="007C7477"/>
    <w:rsid w:val="007D319D"/>
    <w:rsid w:val="007D44F2"/>
    <w:rsid w:val="007F630A"/>
    <w:rsid w:val="007F6771"/>
    <w:rsid w:val="00807BAB"/>
    <w:rsid w:val="00832377"/>
    <w:rsid w:val="00836FB2"/>
    <w:rsid w:val="008374A7"/>
    <w:rsid w:val="00850A83"/>
    <w:rsid w:val="00851767"/>
    <w:rsid w:val="00857A3C"/>
    <w:rsid w:val="00887B0F"/>
    <w:rsid w:val="0089159E"/>
    <w:rsid w:val="008965A1"/>
    <w:rsid w:val="008A1E8C"/>
    <w:rsid w:val="008A65BD"/>
    <w:rsid w:val="008B2F70"/>
    <w:rsid w:val="008B6804"/>
    <w:rsid w:val="008C48F3"/>
    <w:rsid w:val="008D16CA"/>
    <w:rsid w:val="008E7FE1"/>
    <w:rsid w:val="008F0A13"/>
    <w:rsid w:val="008F1CCD"/>
    <w:rsid w:val="00901FE7"/>
    <w:rsid w:val="00915BD0"/>
    <w:rsid w:val="00927532"/>
    <w:rsid w:val="009451C0"/>
    <w:rsid w:val="00947065"/>
    <w:rsid w:val="00966421"/>
    <w:rsid w:val="00966EE5"/>
    <w:rsid w:val="0098329D"/>
    <w:rsid w:val="009B5C17"/>
    <w:rsid w:val="009B7A75"/>
    <w:rsid w:val="009C35B3"/>
    <w:rsid w:val="009C3B45"/>
    <w:rsid w:val="009D128D"/>
    <w:rsid w:val="009D78BE"/>
    <w:rsid w:val="009E0B6F"/>
    <w:rsid w:val="009E0F6A"/>
    <w:rsid w:val="009F543E"/>
    <w:rsid w:val="00A02947"/>
    <w:rsid w:val="00A03CF6"/>
    <w:rsid w:val="00A04AAC"/>
    <w:rsid w:val="00A23052"/>
    <w:rsid w:val="00A31196"/>
    <w:rsid w:val="00A3720B"/>
    <w:rsid w:val="00A411EF"/>
    <w:rsid w:val="00A54E6E"/>
    <w:rsid w:val="00A57B5D"/>
    <w:rsid w:val="00A626A6"/>
    <w:rsid w:val="00A6609C"/>
    <w:rsid w:val="00A772C2"/>
    <w:rsid w:val="00A820EF"/>
    <w:rsid w:val="00A843E1"/>
    <w:rsid w:val="00A86AE0"/>
    <w:rsid w:val="00AA16C5"/>
    <w:rsid w:val="00AB1CA3"/>
    <w:rsid w:val="00AB245B"/>
    <w:rsid w:val="00AB5E08"/>
    <w:rsid w:val="00AD061C"/>
    <w:rsid w:val="00AE2EC8"/>
    <w:rsid w:val="00AF0EC0"/>
    <w:rsid w:val="00B03125"/>
    <w:rsid w:val="00B05A29"/>
    <w:rsid w:val="00B14310"/>
    <w:rsid w:val="00B23767"/>
    <w:rsid w:val="00B327E3"/>
    <w:rsid w:val="00B53D83"/>
    <w:rsid w:val="00B63802"/>
    <w:rsid w:val="00B711F3"/>
    <w:rsid w:val="00B85C64"/>
    <w:rsid w:val="00B95144"/>
    <w:rsid w:val="00BA22E5"/>
    <w:rsid w:val="00BA3415"/>
    <w:rsid w:val="00BB1D27"/>
    <w:rsid w:val="00BD03C9"/>
    <w:rsid w:val="00BE04C3"/>
    <w:rsid w:val="00BE3D8B"/>
    <w:rsid w:val="00BE4E41"/>
    <w:rsid w:val="00BF0511"/>
    <w:rsid w:val="00BF3EA6"/>
    <w:rsid w:val="00BF7196"/>
    <w:rsid w:val="00C006B2"/>
    <w:rsid w:val="00C012BD"/>
    <w:rsid w:val="00C03F40"/>
    <w:rsid w:val="00C249E0"/>
    <w:rsid w:val="00C25128"/>
    <w:rsid w:val="00C31529"/>
    <w:rsid w:val="00C50E20"/>
    <w:rsid w:val="00C8104A"/>
    <w:rsid w:val="00C83A07"/>
    <w:rsid w:val="00C83EAB"/>
    <w:rsid w:val="00C948BF"/>
    <w:rsid w:val="00CA3D9A"/>
    <w:rsid w:val="00CB0D55"/>
    <w:rsid w:val="00CC17A5"/>
    <w:rsid w:val="00CD27D0"/>
    <w:rsid w:val="00CE094D"/>
    <w:rsid w:val="00CE603E"/>
    <w:rsid w:val="00D028ED"/>
    <w:rsid w:val="00D03087"/>
    <w:rsid w:val="00D10ABD"/>
    <w:rsid w:val="00D10FD7"/>
    <w:rsid w:val="00D12699"/>
    <w:rsid w:val="00D13BC5"/>
    <w:rsid w:val="00D21267"/>
    <w:rsid w:val="00D21529"/>
    <w:rsid w:val="00D3558F"/>
    <w:rsid w:val="00D40B19"/>
    <w:rsid w:val="00D436C0"/>
    <w:rsid w:val="00D44173"/>
    <w:rsid w:val="00D5291B"/>
    <w:rsid w:val="00D55420"/>
    <w:rsid w:val="00D57477"/>
    <w:rsid w:val="00D65D8E"/>
    <w:rsid w:val="00D65DB1"/>
    <w:rsid w:val="00D71DB3"/>
    <w:rsid w:val="00D730DF"/>
    <w:rsid w:val="00D82A47"/>
    <w:rsid w:val="00D84DBB"/>
    <w:rsid w:val="00D85299"/>
    <w:rsid w:val="00D86C1B"/>
    <w:rsid w:val="00D91381"/>
    <w:rsid w:val="00D92BFB"/>
    <w:rsid w:val="00D93146"/>
    <w:rsid w:val="00D961BD"/>
    <w:rsid w:val="00DA6F92"/>
    <w:rsid w:val="00DB0C13"/>
    <w:rsid w:val="00DB416F"/>
    <w:rsid w:val="00DD4540"/>
    <w:rsid w:val="00DD48A7"/>
    <w:rsid w:val="00DD5327"/>
    <w:rsid w:val="00DE47BF"/>
    <w:rsid w:val="00DF1D9A"/>
    <w:rsid w:val="00DF4179"/>
    <w:rsid w:val="00E06F28"/>
    <w:rsid w:val="00E158B1"/>
    <w:rsid w:val="00E30BF8"/>
    <w:rsid w:val="00E35A4F"/>
    <w:rsid w:val="00E4233D"/>
    <w:rsid w:val="00E42E9D"/>
    <w:rsid w:val="00E46824"/>
    <w:rsid w:val="00E51BC8"/>
    <w:rsid w:val="00E52B12"/>
    <w:rsid w:val="00E6304A"/>
    <w:rsid w:val="00E72C64"/>
    <w:rsid w:val="00E74136"/>
    <w:rsid w:val="00E747F2"/>
    <w:rsid w:val="00E81116"/>
    <w:rsid w:val="00E90118"/>
    <w:rsid w:val="00EA082A"/>
    <w:rsid w:val="00EA3BF0"/>
    <w:rsid w:val="00EA5203"/>
    <w:rsid w:val="00EB306E"/>
    <w:rsid w:val="00EE2737"/>
    <w:rsid w:val="00EE4596"/>
    <w:rsid w:val="00EF0CAD"/>
    <w:rsid w:val="00F04A2D"/>
    <w:rsid w:val="00F05BED"/>
    <w:rsid w:val="00F05E6D"/>
    <w:rsid w:val="00F130A1"/>
    <w:rsid w:val="00F1412C"/>
    <w:rsid w:val="00F15CA8"/>
    <w:rsid w:val="00F174C0"/>
    <w:rsid w:val="00F3301D"/>
    <w:rsid w:val="00F34813"/>
    <w:rsid w:val="00F364CB"/>
    <w:rsid w:val="00F426B1"/>
    <w:rsid w:val="00F50980"/>
    <w:rsid w:val="00F50F59"/>
    <w:rsid w:val="00F86630"/>
    <w:rsid w:val="00F93916"/>
    <w:rsid w:val="00F94AE9"/>
    <w:rsid w:val="00F9753F"/>
    <w:rsid w:val="00FA0030"/>
    <w:rsid w:val="00FA6C5D"/>
    <w:rsid w:val="00FB29E0"/>
    <w:rsid w:val="00FB407C"/>
    <w:rsid w:val="00FC22DB"/>
    <w:rsid w:val="00FC6D57"/>
    <w:rsid w:val="00FD1CBE"/>
    <w:rsid w:val="00FD1EEF"/>
    <w:rsid w:val="00FE05C7"/>
    <w:rsid w:val="00FE2F2A"/>
    <w:rsid w:val="00FE72CD"/>
    <w:rsid w:val="00FF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FADF7"/>
  <w15:docId w15:val="{5F0B9A0B-AADA-5145-868B-A1A54BBB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FD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D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5D8E"/>
    <w:rPr>
      <w:rFonts w:ascii="Calibri" w:eastAsia="Times New Roman" w:hAnsi="Calibri" w:cs="Times New Roman"/>
    </w:rPr>
  </w:style>
  <w:style w:type="paragraph" w:styleId="Footer">
    <w:name w:val="footer"/>
    <w:basedOn w:val="Normal"/>
    <w:link w:val="FooterChar"/>
    <w:uiPriority w:val="99"/>
    <w:unhideWhenUsed/>
    <w:rsid w:val="00D65D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5D8E"/>
    <w:rPr>
      <w:rFonts w:ascii="Calibri" w:eastAsia="Times New Roman" w:hAnsi="Calibri" w:cs="Times New Roman"/>
    </w:rPr>
  </w:style>
  <w:style w:type="character" w:styleId="CommentReference">
    <w:name w:val="annotation reference"/>
    <w:basedOn w:val="DefaultParagraphFont"/>
    <w:uiPriority w:val="99"/>
    <w:semiHidden/>
    <w:unhideWhenUsed/>
    <w:rsid w:val="005E0251"/>
    <w:rPr>
      <w:sz w:val="16"/>
      <w:szCs w:val="16"/>
    </w:rPr>
  </w:style>
  <w:style w:type="paragraph" w:styleId="CommentText">
    <w:name w:val="annotation text"/>
    <w:basedOn w:val="Normal"/>
    <w:link w:val="CommentTextChar"/>
    <w:uiPriority w:val="99"/>
    <w:semiHidden/>
    <w:unhideWhenUsed/>
    <w:rsid w:val="005E0251"/>
    <w:pPr>
      <w:spacing w:line="240" w:lineRule="auto"/>
    </w:pPr>
    <w:rPr>
      <w:sz w:val="20"/>
      <w:szCs w:val="20"/>
    </w:rPr>
  </w:style>
  <w:style w:type="character" w:customStyle="1" w:styleId="CommentTextChar">
    <w:name w:val="Comment Text Char"/>
    <w:basedOn w:val="DefaultParagraphFont"/>
    <w:link w:val="CommentText"/>
    <w:uiPriority w:val="99"/>
    <w:semiHidden/>
    <w:rsid w:val="005E025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0251"/>
    <w:rPr>
      <w:b/>
      <w:bCs/>
    </w:rPr>
  </w:style>
  <w:style w:type="character" w:customStyle="1" w:styleId="CommentSubjectChar">
    <w:name w:val="Comment Subject Char"/>
    <w:basedOn w:val="CommentTextChar"/>
    <w:link w:val="CommentSubject"/>
    <w:uiPriority w:val="99"/>
    <w:semiHidden/>
    <w:rsid w:val="005E025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E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51"/>
    <w:rPr>
      <w:rFonts w:ascii="Tahoma" w:eastAsia="Times New Roman" w:hAnsi="Tahoma" w:cs="Tahoma"/>
      <w:sz w:val="16"/>
      <w:szCs w:val="16"/>
    </w:rPr>
  </w:style>
  <w:style w:type="paragraph" w:styleId="ListParagraph">
    <w:name w:val="List Paragraph"/>
    <w:basedOn w:val="Normal"/>
    <w:link w:val="ListParagraphChar"/>
    <w:uiPriority w:val="34"/>
    <w:qFormat/>
    <w:rsid w:val="00D65DB1"/>
    <w:pPr>
      <w:ind w:left="720"/>
      <w:contextualSpacing/>
    </w:pPr>
  </w:style>
  <w:style w:type="paragraph" w:styleId="Caption">
    <w:name w:val="caption"/>
    <w:basedOn w:val="Normal"/>
    <w:next w:val="Normal"/>
    <w:uiPriority w:val="35"/>
    <w:unhideWhenUsed/>
    <w:qFormat/>
    <w:rsid w:val="00347D11"/>
    <w:pPr>
      <w:spacing w:line="240" w:lineRule="auto"/>
    </w:pPr>
    <w:rPr>
      <w:i/>
      <w:iCs/>
      <w:color w:val="1F497D" w:themeColor="text2"/>
      <w:sz w:val="18"/>
      <w:szCs w:val="18"/>
    </w:rPr>
  </w:style>
  <w:style w:type="paragraph" w:styleId="NoSpacing">
    <w:name w:val="No Spacing"/>
    <w:link w:val="NoSpacingChar"/>
    <w:uiPriority w:val="1"/>
    <w:qFormat/>
    <w:rsid w:val="00D92BFB"/>
    <w:pPr>
      <w:spacing w:after="0" w:line="240" w:lineRule="auto"/>
    </w:pPr>
    <w:rPr>
      <w:sz w:val="24"/>
      <w:szCs w:val="24"/>
    </w:rPr>
  </w:style>
  <w:style w:type="character" w:customStyle="1" w:styleId="NoSpacingChar">
    <w:name w:val="No Spacing Char"/>
    <w:basedOn w:val="DefaultParagraphFont"/>
    <w:link w:val="NoSpacing"/>
    <w:uiPriority w:val="1"/>
    <w:rsid w:val="006651BA"/>
    <w:rPr>
      <w:sz w:val="24"/>
      <w:szCs w:val="24"/>
    </w:rPr>
  </w:style>
  <w:style w:type="paragraph" w:styleId="NormalWeb">
    <w:name w:val="Normal (Web)"/>
    <w:basedOn w:val="Normal"/>
    <w:uiPriority w:val="99"/>
    <w:unhideWhenUsed/>
    <w:rsid w:val="004124B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124B8"/>
  </w:style>
  <w:style w:type="character" w:customStyle="1" w:styleId="eop">
    <w:name w:val="eop"/>
    <w:basedOn w:val="DefaultParagraphFont"/>
    <w:rsid w:val="004124B8"/>
  </w:style>
  <w:style w:type="table" w:styleId="TableGrid">
    <w:name w:val="Table Grid"/>
    <w:basedOn w:val="TableNormal"/>
    <w:uiPriority w:val="39"/>
    <w:rsid w:val="00A626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626A6"/>
    <w:rPr>
      <w:rFonts w:ascii="Calibri" w:eastAsia="Times New Roman" w:hAnsi="Calibri" w:cs="Times New Roman"/>
    </w:rPr>
  </w:style>
  <w:style w:type="paragraph" w:styleId="Revision">
    <w:name w:val="Revision"/>
    <w:hidden/>
    <w:uiPriority w:val="99"/>
    <w:semiHidden/>
    <w:rsid w:val="0085176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8441">
      <w:bodyDiv w:val="1"/>
      <w:marLeft w:val="0"/>
      <w:marRight w:val="0"/>
      <w:marTop w:val="0"/>
      <w:marBottom w:val="0"/>
      <w:divBdr>
        <w:top w:val="none" w:sz="0" w:space="0" w:color="auto"/>
        <w:left w:val="none" w:sz="0" w:space="0" w:color="auto"/>
        <w:bottom w:val="none" w:sz="0" w:space="0" w:color="auto"/>
        <w:right w:val="none" w:sz="0" w:space="0" w:color="auto"/>
      </w:divBdr>
    </w:div>
    <w:div w:id="274599687">
      <w:bodyDiv w:val="1"/>
      <w:marLeft w:val="0"/>
      <w:marRight w:val="0"/>
      <w:marTop w:val="0"/>
      <w:marBottom w:val="0"/>
      <w:divBdr>
        <w:top w:val="none" w:sz="0" w:space="0" w:color="auto"/>
        <w:left w:val="none" w:sz="0" w:space="0" w:color="auto"/>
        <w:bottom w:val="none" w:sz="0" w:space="0" w:color="auto"/>
        <w:right w:val="none" w:sz="0" w:space="0" w:color="auto"/>
      </w:divBdr>
    </w:div>
    <w:div w:id="587613577">
      <w:bodyDiv w:val="1"/>
      <w:marLeft w:val="0"/>
      <w:marRight w:val="0"/>
      <w:marTop w:val="0"/>
      <w:marBottom w:val="0"/>
      <w:divBdr>
        <w:top w:val="none" w:sz="0" w:space="0" w:color="auto"/>
        <w:left w:val="none" w:sz="0" w:space="0" w:color="auto"/>
        <w:bottom w:val="none" w:sz="0" w:space="0" w:color="auto"/>
        <w:right w:val="none" w:sz="0" w:space="0" w:color="auto"/>
      </w:divBdr>
    </w:div>
    <w:div w:id="681979702">
      <w:bodyDiv w:val="1"/>
      <w:marLeft w:val="0"/>
      <w:marRight w:val="0"/>
      <w:marTop w:val="0"/>
      <w:marBottom w:val="0"/>
      <w:divBdr>
        <w:top w:val="none" w:sz="0" w:space="0" w:color="auto"/>
        <w:left w:val="none" w:sz="0" w:space="0" w:color="auto"/>
        <w:bottom w:val="none" w:sz="0" w:space="0" w:color="auto"/>
        <w:right w:val="none" w:sz="0" w:space="0" w:color="auto"/>
      </w:divBdr>
    </w:div>
    <w:div w:id="762336337">
      <w:bodyDiv w:val="1"/>
      <w:marLeft w:val="0"/>
      <w:marRight w:val="0"/>
      <w:marTop w:val="0"/>
      <w:marBottom w:val="0"/>
      <w:divBdr>
        <w:top w:val="none" w:sz="0" w:space="0" w:color="auto"/>
        <w:left w:val="none" w:sz="0" w:space="0" w:color="auto"/>
        <w:bottom w:val="none" w:sz="0" w:space="0" w:color="auto"/>
        <w:right w:val="none" w:sz="0" w:space="0" w:color="auto"/>
      </w:divBdr>
    </w:div>
    <w:div w:id="875049408">
      <w:bodyDiv w:val="1"/>
      <w:marLeft w:val="0"/>
      <w:marRight w:val="0"/>
      <w:marTop w:val="0"/>
      <w:marBottom w:val="0"/>
      <w:divBdr>
        <w:top w:val="none" w:sz="0" w:space="0" w:color="auto"/>
        <w:left w:val="none" w:sz="0" w:space="0" w:color="auto"/>
        <w:bottom w:val="none" w:sz="0" w:space="0" w:color="auto"/>
        <w:right w:val="none" w:sz="0" w:space="0" w:color="auto"/>
      </w:divBdr>
    </w:div>
    <w:div w:id="930119203">
      <w:bodyDiv w:val="1"/>
      <w:marLeft w:val="0"/>
      <w:marRight w:val="0"/>
      <w:marTop w:val="0"/>
      <w:marBottom w:val="0"/>
      <w:divBdr>
        <w:top w:val="none" w:sz="0" w:space="0" w:color="auto"/>
        <w:left w:val="none" w:sz="0" w:space="0" w:color="auto"/>
        <w:bottom w:val="none" w:sz="0" w:space="0" w:color="auto"/>
        <w:right w:val="none" w:sz="0" w:space="0" w:color="auto"/>
      </w:divBdr>
    </w:div>
    <w:div w:id="943416753">
      <w:bodyDiv w:val="1"/>
      <w:marLeft w:val="0"/>
      <w:marRight w:val="0"/>
      <w:marTop w:val="0"/>
      <w:marBottom w:val="0"/>
      <w:divBdr>
        <w:top w:val="none" w:sz="0" w:space="0" w:color="auto"/>
        <w:left w:val="none" w:sz="0" w:space="0" w:color="auto"/>
        <w:bottom w:val="none" w:sz="0" w:space="0" w:color="auto"/>
        <w:right w:val="none" w:sz="0" w:space="0" w:color="auto"/>
      </w:divBdr>
    </w:div>
    <w:div w:id="968438251">
      <w:bodyDiv w:val="1"/>
      <w:marLeft w:val="0"/>
      <w:marRight w:val="0"/>
      <w:marTop w:val="0"/>
      <w:marBottom w:val="0"/>
      <w:divBdr>
        <w:top w:val="none" w:sz="0" w:space="0" w:color="auto"/>
        <w:left w:val="none" w:sz="0" w:space="0" w:color="auto"/>
        <w:bottom w:val="none" w:sz="0" w:space="0" w:color="auto"/>
        <w:right w:val="none" w:sz="0" w:space="0" w:color="auto"/>
      </w:divBdr>
    </w:div>
    <w:div w:id="979109926">
      <w:bodyDiv w:val="1"/>
      <w:marLeft w:val="0"/>
      <w:marRight w:val="0"/>
      <w:marTop w:val="0"/>
      <w:marBottom w:val="0"/>
      <w:divBdr>
        <w:top w:val="none" w:sz="0" w:space="0" w:color="auto"/>
        <w:left w:val="none" w:sz="0" w:space="0" w:color="auto"/>
        <w:bottom w:val="none" w:sz="0" w:space="0" w:color="auto"/>
        <w:right w:val="none" w:sz="0" w:space="0" w:color="auto"/>
      </w:divBdr>
    </w:div>
    <w:div w:id="1007365164">
      <w:bodyDiv w:val="1"/>
      <w:marLeft w:val="0"/>
      <w:marRight w:val="0"/>
      <w:marTop w:val="0"/>
      <w:marBottom w:val="0"/>
      <w:divBdr>
        <w:top w:val="none" w:sz="0" w:space="0" w:color="auto"/>
        <w:left w:val="none" w:sz="0" w:space="0" w:color="auto"/>
        <w:bottom w:val="none" w:sz="0" w:space="0" w:color="auto"/>
        <w:right w:val="none" w:sz="0" w:space="0" w:color="auto"/>
      </w:divBdr>
    </w:div>
    <w:div w:id="1072696972">
      <w:bodyDiv w:val="1"/>
      <w:marLeft w:val="0"/>
      <w:marRight w:val="0"/>
      <w:marTop w:val="0"/>
      <w:marBottom w:val="0"/>
      <w:divBdr>
        <w:top w:val="none" w:sz="0" w:space="0" w:color="auto"/>
        <w:left w:val="none" w:sz="0" w:space="0" w:color="auto"/>
        <w:bottom w:val="none" w:sz="0" w:space="0" w:color="auto"/>
        <w:right w:val="none" w:sz="0" w:space="0" w:color="auto"/>
      </w:divBdr>
    </w:div>
    <w:div w:id="1096436062">
      <w:bodyDiv w:val="1"/>
      <w:marLeft w:val="0"/>
      <w:marRight w:val="0"/>
      <w:marTop w:val="0"/>
      <w:marBottom w:val="0"/>
      <w:divBdr>
        <w:top w:val="none" w:sz="0" w:space="0" w:color="auto"/>
        <w:left w:val="none" w:sz="0" w:space="0" w:color="auto"/>
        <w:bottom w:val="none" w:sz="0" w:space="0" w:color="auto"/>
        <w:right w:val="none" w:sz="0" w:space="0" w:color="auto"/>
      </w:divBdr>
    </w:div>
    <w:div w:id="1112046051">
      <w:bodyDiv w:val="1"/>
      <w:marLeft w:val="0"/>
      <w:marRight w:val="0"/>
      <w:marTop w:val="0"/>
      <w:marBottom w:val="0"/>
      <w:divBdr>
        <w:top w:val="none" w:sz="0" w:space="0" w:color="auto"/>
        <w:left w:val="none" w:sz="0" w:space="0" w:color="auto"/>
        <w:bottom w:val="none" w:sz="0" w:space="0" w:color="auto"/>
        <w:right w:val="none" w:sz="0" w:space="0" w:color="auto"/>
      </w:divBdr>
    </w:div>
    <w:div w:id="1128203969">
      <w:bodyDiv w:val="1"/>
      <w:marLeft w:val="0"/>
      <w:marRight w:val="0"/>
      <w:marTop w:val="0"/>
      <w:marBottom w:val="0"/>
      <w:divBdr>
        <w:top w:val="none" w:sz="0" w:space="0" w:color="auto"/>
        <w:left w:val="none" w:sz="0" w:space="0" w:color="auto"/>
        <w:bottom w:val="none" w:sz="0" w:space="0" w:color="auto"/>
        <w:right w:val="none" w:sz="0" w:space="0" w:color="auto"/>
      </w:divBdr>
    </w:div>
    <w:div w:id="1172573714">
      <w:bodyDiv w:val="1"/>
      <w:marLeft w:val="0"/>
      <w:marRight w:val="0"/>
      <w:marTop w:val="0"/>
      <w:marBottom w:val="0"/>
      <w:divBdr>
        <w:top w:val="none" w:sz="0" w:space="0" w:color="auto"/>
        <w:left w:val="none" w:sz="0" w:space="0" w:color="auto"/>
        <w:bottom w:val="none" w:sz="0" w:space="0" w:color="auto"/>
        <w:right w:val="none" w:sz="0" w:space="0" w:color="auto"/>
      </w:divBdr>
    </w:div>
    <w:div w:id="1223326378">
      <w:bodyDiv w:val="1"/>
      <w:marLeft w:val="0"/>
      <w:marRight w:val="0"/>
      <w:marTop w:val="0"/>
      <w:marBottom w:val="0"/>
      <w:divBdr>
        <w:top w:val="none" w:sz="0" w:space="0" w:color="auto"/>
        <w:left w:val="none" w:sz="0" w:space="0" w:color="auto"/>
        <w:bottom w:val="none" w:sz="0" w:space="0" w:color="auto"/>
        <w:right w:val="none" w:sz="0" w:space="0" w:color="auto"/>
      </w:divBdr>
    </w:div>
    <w:div w:id="1244336597">
      <w:bodyDiv w:val="1"/>
      <w:marLeft w:val="0"/>
      <w:marRight w:val="0"/>
      <w:marTop w:val="0"/>
      <w:marBottom w:val="0"/>
      <w:divBdr>
        <w:top w:val="none" w:sz="0" w:space="0" w:color="auto"/>
        <w:left w:val="none" w:sz="0" w:space="0" w:color="auto"/>
        <w:bottom w:val="none" w:sz="0" w:space="0" w:color="auto"/>
        <w:right w:val="none" w:sz="0" w:space="0" w:color="auto"/>
      </w:divBdr>
    </w:div>
    <w:div w:id="1418093120">
      <w:bodyDiv w:val="1"/>
      <w:marLeft w:val="0"/>
      <w:marRight w:val="0"/>
      <w:marTop w:val="0"/>
      <w:marBottom w:val="0"/>
      <w:divBdr>
        <w:top w:val="none" w:sz="0" w:space="0" w:color="auto"/>
        <w:left w:val="none" w:sz="0" w:space="0" w:color="auto"/>
        <w:bottom w:val="none" w:sz="0" w:space="0" w:color="auto"/>
        <w:right w:val="none" w:sz="0" w:space="0" w:color="auto"/>
      </w:divBdr>
    </w:div>
    <w:div w:id="1445929333">
      <w:bodyDiv w:val="1"/>
      <w:marLeft w:val="0"/>
      <w:marRight w:val="0"/>
      <w:marTop w:val="0"/>
      <w:marBottom w:val="0"/>
      <w:divBdr>
        <w:top w:val="none" w:sz="0" w:space="0" w:color="auto"/>
        <w:left w:val="none" w:sz="0" w:space="0" w:color="auto"/>
        <w:bottom w:val="none" w:sz="0" w:space="0" w:color="auto"/>
        <w:right w:val="none" w:sz="0" w:space="0" w:color="auto"/>
      </w:divBdr>
    </w:div>
    <w:div w:id="1524396697">
      <w:bodyDiv w:val="1"/>
      <w:marLeft w:val="0"/>
      <w:marRight w:val="0"/>
      <w:marTop w:val="0"/>
      <w:marBottom w:val="0"/>
      <w:divBdr>
        <w:top w:val="none" w:sz="0" w:space="0" w:color="auto"/>
        <w:left w:val="none" w:sz="0" w:space="0" w:color="auto"/>
        <w:bottom w:val="none" w:sz="0" w:space="0" w:color="auto"/>
        <w:right w:val="none" w:sz="0" w:space="0" w:color="auto"/>
      </w:divBdr>
    </w:div>
    <w:div w:id="1559827046">
      <w:bodyDiv w:val="1"/>
      <w:marLeft w:val="0"/>
      <w:marRight w:val="0"/>
      <w:marTop w:val="0"/>
      <w:marBottom w:val="0"/>
      <w:divBdr>
        <w:top w:val="none" w:sz="0" w:space="0" w:color="auto"/>
        <w:left w:val="none" w:sz="0" w:space="0" w:color="auto"/>
        <w:bottom w:val="none" w:sz="0" w:space="0" w:color="auto"/>
        <w:right w:val="none" w:sz="0" w:space="0" w:color="auto"/>
      </w:divBdr>
    </w:div>
    <w:div w:id="1590308985">
      <w:bodyDiv w:val="1"/>
      <w:marLeft w:val="0"/>
      <w:marRight w:val="0"/>
      <w:marTop w:val="0"/>
      <w:marBottom w:val="0"/>
      <w:divBdr>
        <w:top w:val="none" w:sz="0" w:space="0" w:color="auto"/>
        <w:left w:val="none" w:sz="0" w:space="0" w:color="auto"/>
        <w:bottom w:val="none" w:sz="0" w:space="0" w:color="auto"/>
        <w:right w:val="none" w:sz="0" w:space="0" w:color="auto"/>
      </w:divBdr>
    </w:div>
    <w:div w:id="1610579007">
      <w:bodyDiv w:val="1"/>
      <w:marLeft w:val="0"/>
      <w:marRight w:val="0"/>
      <w:marTop w:val="0"/>
      <w:marBottom w:val="0"/>
      <w:divBdr>
        <w:top w:val="none" w:sz="0" w:space="0" w:color="auto"/>
        <w:left w:val="none" w:sz="0" w:space="0" w:color="auto"/>
        <w:bottom w:val="none" w:sz="0" w:space="0" w:color="auto"/>
        <w:right w:val="none" w:sz="0" w:space="0" w:color="auto"/>
      </w:divBdr>
    </w:div>
    <w:div w:id="1673870948">
      <w:bodyDiv w:val="1"/>
      <w:marLeft w:val="0"/>
      <w:marRight w:val="0"/>
      <w:marTop w:val="0"/>
      <w:marBottom w:val="0"/>
      <w:divBdr>
        <w:top w:val="none" w:sz="0" w:space="0" w:color="auto"/>
        <w:left w:val="none" w:sz="0" w:space="0" w:color="auto"/>
        <w:bottom w:val="none" w:sz="0" w:space="0" w:color="auto"/>
        <w:right w:val="none" w:sz="0" w:space="0" w:color="auto"/>
      </w:divBdr>
    </w:div>
    <w:div w:id="1705789387">
      <w:bodyDiv w:val="1"/>
      <w:marLeft w:val="0"/>
      <w:marRight w:val="0"/>
      <w:marTop w:val="0"/>
      <w:marBottom w:val="0"/>
      <w:divBdr>
        <w:top w:val="none" w:sz="0" w:space="0" w:color="auto"/>
        <w:left w:val="none" w:sz="0" w:space="0" w:color="auto"/>
        <w:bottom w:val="none" w:sz="0" w:space="0" w:color="auto"/>
        <w:right w:val="none" w:sz="0" w:space="0" w:color="auto"/>
      </w:divBdr>
    </w:div>
    <w:div w:id="1785730582">
      <w:bodyDiv w:val="1"/>
      <w:marLeft w:val="0"/>
      <w:marRight w:val="0"/>
      <w:marTop w:val="0"/>
      <w:marBottom w:val="0"/>
      <w:divBdr>
        <w:top w:val="none" w:sz="0" w:space="0" w:color="auto"/>
        <w:left w:val="none" w:sz="0" w:space="0" w:color="auto"/>
        <w:bottom w:val="none" w:sz="0" w:space="0" w:color="auto"/>
        <w:right w:val="none" w:sz="0" w:space="0" w:color="auto"/>
      </w:divBdr>
    </w:div>
    <w:div w:id="1919051798">
      <w:bodyDiv w:val="1"/>
      <w:marLeft w:val="0"/>
      <w:marRight w:val="0"/>
      <w:marTop w:val="0"/>
      <w:marBottom w:val="0"/>
      <w:divBdr>
        <w:top w:val="none" w:sz="0" w:space="0" w:color="auto"/>
        <w:left w:val="none" w:sz="0" w:space="0" w:color="auto"/>
        <w:bottom w:val="none" w:sz="0" w:space="0" w:color="auto"/>
        <w:right w:val="none" w:sz="0" w:space="0" w:color="auto"/>
      </w:divBdr>
    </w:div>
    <w:div w:id="2018187619">
      <w:bodyDiv w:val="1"/>
      <w:marLeft w:val="0"/>
      <w:marRight w:val="0"/>
      <w:marTop w:val="0"/>
      <w:marBottom w:val="0"/>
      <w:divBdr>
        <w:top w:val="none" w:sz="0" w:space="0" w:color="auto"/>
        <w:left w:val="none" w:sz="0" w:space="0" w:color="auto"/>
        <w:bottom w:val="none" w:sz="0" w:space="0" w:color="auto"/>
        <w:right w:val="none" w:sz="0" w:space="0" w:color="auto"/>
      </w:divBdr>
    </w:div>
    <w:div w:id="21416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Indik</dc:creator>
  <cp:lastModifiedBy>Shah, Maully</cp:lastModifiedBy>
  <cp:revision>2</cp:revision>
  <cp:lastPrinted>2021-05-14T17:29:00Z</cp:lastPrinted>
  <dcterms:created xsi:type="dcterms:W3CDTF">2021-07-15T11:50:00Z</dcterms:created>
  <dcterms:modified xsi:type="dcterms:W3CDTF">2021-07-15T11:50:00Z</dcterms:modified>
</cp:coreProperties>
</file>