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AD096" w14:textId="1A40C7F4" w:rsidR="0010087A" w:rsidRDefault="0010087A" w:rsidP="0010087A">
      <w:pPr>
        <w:pStyle w:val="Caption"/>
        <w:keepNext/>
        <w:rPr>
          <w:b/>
          <w:i w:val="0"/>
          <w:color w:val="000000" w:themeColor="text1"/>
          <w:sz w:val="24"/>
          <w:szCs w:val="24"/>
        </w:rPr>
      </w:pPr>
      <w:r>
        <w:rPr>
          <w:b/>
          <w:i w:val="0"/>
          <w:color w:val="000000" w:themeColor="text1"/>
          <w:sz w:val="24"/>
          <w:szCs w:val="24"/>
        </w:rPr>
        <w:t xml:space="preserve">Appendix </w:t>
      </w:r>
      <w:r w:rsidR="00725AE1">
        <w:rPr>
          <w:b/>
          <w:i w:val="0"/>
          <w:color w:val="000000" w:themeColor="text1"/>
          <w:sz w:val="24"/>
          <w:szCs w:val="24"/>
        </w:rPr>
        <w:t>4</w:t>
      </w:r>
    </w:p>
    <w:p w14:paraId="60976F24" w14:textId="12BA0271" w:rsidR="0019182D" w:rsidRDefault="0019182D" w:rsidP="0019182D">
      <w:pPr>
        <w:spacing w:after="160" w:line="360" w:lineRule="auto"/>
        <w:ind w:firstLine="720"/>
        <w:jc w:val="both"/>
        <w:rPr>
          <w:color w:val="000000" w:themeColor="text1"/>
        </w:rPr>
      </w:pPr>
      <w:r>
        <w:rPr>
          <w:color w:val="000000" w:themeColor="text1"/>
        </w:rPr>
        <w:t xml:space="preserve">Of the 130 recommendations in this document, 36 (28%)  represent new proposals not previously formally addressed in prior guidelines. The majority of these recommendations address issues unique to pediatric patients, such as ICD indications in very young patients.  Furthermore, several of the “new” recommendations are based on specific topics </w:t>
      </w:r>
      <w:r w:rsidR="00D3740A">
        <w:rPr>
          <w:color w:val="000000" w:themeColor="text1"/>
        </w:rPr>
        <w:t xml:space="preserve">that </w:t>
      </w:r>
      <w:r>
        <w:rPr>
          <w:color w:val="000000" w:themeColor="text1"/>
        </w:rPr>
        <w:t xml:space="preserve">have been discussed in the text/diagrams in prior guidelines but were not included as formal recommendations. Changes in the category of recommendation from current guidelines are made in 15 recommendations (12%), primarily a change in the class of recommendation by one grade, i.e.,  change from </w:t>
      </w:r>
      <w:proofErr w:type="spellStart"/>
      <w:r>
        <w:rPr>
          <w:color w:val="000000" w:themeColor="text1"/>
        </w:rPr>
        <w:t>II</w:t>
      </w:r>
      <w:r w:rsidR="00F335F1">
        <w:rPr>
          <w:color w:val="000000" w:themeColor="text1"/>
        </w:rPr>
        <w:t>a</w:t>
      </w:r>
      <w:proofErr w:type="spellEnd"/>
      <w:r>
        <w:rPr>
          <w:color w:val="000000" w:themeColor="text1"/>
        </w:rPr>
        <w:t xml:space="preserve"> to II</w:t>
      </w:r>
      <w:r w:rsidR="00F335F1">
        <w:rPr>
          <w:color w:val="000000" w:themeColor="text1"/>
        </w:rPr>
        <w:t>b</w:t>
      </w:r>
      <w:r>
        <w:rPr>
          <w:color w:val="000000" w:themeColor="text1"/>
        </w:rPr>
        <w:t xml:space="preserve">.  Some of these differences from adult guidelines reflect variances in disease progression when there is onset in childhood, such as Kearns-Sayre syndrome or </w:t>
      </w:r>
      <w:r w:rsidR="00415480">
        <w:rPr>
          <w:color w:val="000000" w:themeColor="text1"/>
        </w:rPr>
        <w:t>myotonic dystrophy</w:t>
      </w:r>
      <w:r>
        <w:rPr>
          <w:color w:val="000000" w:themeColor="text1"/>
        </w:rPr>
        <w:t xml:space="preserve">. Other changes reflect considerations such as small patient size and the need for surgical implant of epicardial device leads, the need for decades of lead survival and vascular patency, or device management in the setting of minor epicardial lead abnormalities or superficial wound infections.  The presence </w:t>
      </w:r>
      <w:r w:rsidR="00D3740A">
        <w:rPr>
          <w:color w:val="000000" w:themeColor="text1"/>
        </w:rPr>
        <w:t xml:space="preserve">of </w:t>
      </w:r>
      <w:r>
        <w:rPr>
          <w:color w:val="000000" w:themeColor="text1"/>
        </w:rPr>
        <w:t xml:space="preserve">comorbid conditions such as genetic or neurologic abnormalities or anatomic abnormalities </w:t>
      </w:r>
      <w:r w:rsidR="00D3740A">
        <w:rPr>
          <w:color w:val="000000" w:themeColor="text1"/>
        </w:rPr>
        <w:t xml:space="preserve">that </w:t>
      </w:r>
      <w:r>
        <w:rPr>
          <w:color w:val="000000" w:themeColor="text1"/>
        </w:rPr>
        <w:t>preclude use of transvenous lead systems also were considered.  Otherwise, as stated in the preamble, there is often overlap in the care of patients in the 18</w:t>
      </w:r>
      <w:r w:rsidR="00D3740A">
        <w:rPr>
          <w:color w:val="000000" w:themeColor="text1"/>
        </w:rPr>
        <w:t xml:space="preserve">- to </w:t>
      </w:r>
      <w:r>
        <w:rPr>
          <w:color w:val="000000" w:themeColor="text1"/>
        </w:rPr>
        <w:t>21</w:t>
      </w:r>
      <w:r w:rsidR="00D3740A">
        <w:rPr>
          <w:color w:val="000000" w:themeColor="text1"/>
        </w:rPr>
        <w:t>-</w:t>
      </w:r>
      <w:r>
        <w:rPr>
          <w:color w:val="000000" w:themeColor="text1"/>
        </w:rPr>
        <w:t>year</w:t>
      </w:r>
      <w:r w:rsidR="00D3740A">
        <w:rPr>
          <w:color w:val="000000" w:themeColor="text1"/>
        </w:rPr>
        <w:t>-</w:t>
      </w:r>
      <w:r>
        <w:rPr>
          <w:color w:val="000000" w:themeColor="text1"/>
        </w:rPr>
        <w:t xml:space="preserve">old range, and in the absence of confounding factors, CIED management guidelines should be consistent.  Finally, there were </w:t>
      </w:r>
      <w:r w:rsidR="00D3740A">
        <w:rPr>
          <w:color w:val="000000" w:themeColor="text1"/>
        </w:rPr>
        <w:t>nine</w:t>
      </w:r>
      <w:r>
        <w:rPr>
          <w:color w:val="000000" w:themeColor="text1"/>
        </w:rPr>
        <w:t xml:space="preserve"> recommendations (7%) in which some modification of the wording of a prior recommendation was revised.</w:t>
      </w:r>
    </w:p>
    <w:p w14:paraId="2B5079C4" w14:textId="31F5D271" w:rsidR="00725AE1" w:rsidRDefault="0019182D" w:rsidP="0019182D">
      <w:pPr>
        <w:spacing w:after="160" w:line="360" w:lineRule="auto"/>
        <w:ind w:firstLine="720"/>
        <w:jc w:val="both"/>
        <w:rPr>
          <w:color w:val="000000" w:themeColor="text1"/>
        </w:rPr>
        <w:sectPr w:rsidR="00725AE1" w:rsidSect="007901AE">
          <w:pgSz w:w="12240" w:h="15840"/>
          <w:pgMar w:top="1440" w:right="1440" w:bottom="1440" w:left="1440" w:header="720" w:footer="720" w:gutter="0"/>
          <w:cols w:space="720"/>
          <w:docGrid w:linePitch="360"/>
        </w:sectPr>
      </w:pPr>
      <w:r>
        <w:rPr>
          <w:color w:val="000000" w:themeColor="text1"/>
        </w:rPr>
        <w:t>The attached table (</w:t>
      </w:r>
      <w:r w:rsidR="00817A88">
        <w:rPr>
          <w:color w:val="000000" w:themeColor="text1"/>
        </w:rPr>
        <w:t>T</w:t>
      </w:r>
      <w:r>
        <w:rPr>
          <w:color w:val="000000" w:themeColor="text1"/>
        </w:rPr>
        <w:t xml:space="preserve">able </w:t>
      </w:r>
      <w:r w:rsidR="00725AE1">
        <w:rPr>
          <w:color w:val="000000" w:themeColor="text1"/>
        </w:rPr>
        <w:t>S6</w:t>
      </w:r>
      <w:r>
        <w:rPr>
          <w:color w:val="000000" w:themeColor="text1"/>
        </w:rPr>
        <w:t xml:space="preserve">) lists each specific recommendation, the prior guidelines or expert consensus statements </w:t>
      </w:r>
      <w:r w:rsidR="00817A88">
        <w:rPr>
          <w:color w:val="000000" w:themeColor="text1"/>
        </w:rPr>
        <w:t xml:space="preserve">that </w:t>
      </w:r>
      <w:r>
        <w:rPr>
          <w:color w:val="000000" w:themeColor="text1"/>
        </w:rPr>
        <w:t xml:space="preserve">have been used as a basis for the recommendation, and if there is variance, specification of change.  Finally, given the scope of this document, overlap with other guidelines </w:t>
      </w:r>
      <w:r w:rsidR="00817A88">
        <w:rPr>
          <w:color w:val="000000" w:themeColor="text1"/>
        </w:rPr>
        <w:t xml:space="preserve">that </w:t>
      </w:r>
      <w:r>
        <w:rPr>
          <w:color w:val="000000" w:themeColor="text1"/>
        </w:rPr>
        <w:t xml:space="preserve">will be published in the near future will undoubtedly occur. Therefore, these recommendations will need to be periodically updated to reflect current best standards of practice, and </w:t>
      </w:r>
      <w:r w:rsidR="00817A88">
        <w:rPr>
          <w:color w:val="000000" w:themeColor="text1"/>
        </w:rPr>
        <w:t xml:space="preserve">they </w:t>
      </w:r>
      <w:r>
        <w:rPr>
          <w:color w:val="000000" w:themeColor="text1"/>
        </w:rPr>
        <w:t xml:space="preserve">do not replace the need for individual clinical judgment.  </w:t>
      </w:r>
    </w:p>
    <w:p w14:paraId="47538D36" w14:textId="421904E4" w:rsidR="000E0168" w:rsidRPr="004D66A7" w:rsidRDefault="000D1762" w:rsidP="004D66A7">
      <w:pPr>
        <w:pStyle w:val="Caption"/>
        <w:keepNext/>
        <w:rPr>
          <w:b/>
          <w:color w:val="000000" w:themeColor="text1"/>
        </w:rPr>
      </w:pPr>
      <w:r w:rsidRPr="000D1762">
        <w:rPr>
          <w:b/>
          <w:i w:val="0"/>
          <w:color w:val="000000" w:themeColor="text1"/>
          <w:sz w:val="24"/>
          <w:szCs w:val="24"/>
        </w:rPr>
        <w:lastRenderedPageBreak/>
        <w:t>Table</w:t>
      </w:r>
      <w:r w:rsidR="0019182D">
        <w:rPr>
          <w:b/>
          <w:i w:val="0"/>
          <w:color w:val="000000" w:themeColor="text1"/>
          <w:sz w:val="24"/>
          <w:szCs w:val="24"/>
        </w:rPr>
        <w:t xml:space="preserve"> </w:t>
      </w:r>
      <w:r w:rsidR="00725AE1">
        <w:rPr>
          <w:b/>
          <w:i w:val="0"/>
          <w:color w:val="000000" w:themeColor="text1"/>
          <w:sz w:val="24"/>
          <w:szCs w:val="24"/>
        </w:rPr>
        <w:t>S6</w:t>
      </w:r>
      <w:r w:rsidR="0010087A">
        <w:rPr>
          <w:b/>
          <w:i w:val="0"/>
          <w:color w:val="000000" w:themeColor="text1"/>
          <w:sz w:val="24"/>
          <w:szCs w:val="24"/>
        </w:rPr>
        <w:t xml:space="preserve">: Variations </w:t>
      </w:r>
      <w:r w:rsidR="00CA2C36">
        <w:rPr>
          <w:b/>
          <w:i w:val="0"/>
          <w:color w:val="000000" w:themeColor="text1"/>
          <w:sz w:val="24"/>
          <w:szCs w:val="24"/>
        </w:rPr>
        <w:t xml:space="preserve">Between Adult </w:t>
      </w:r>
      <w:r w:rsidR="0010087A">
        <w:rPr>
          <w:b/>
          <w:i w:val="0"/>
          <w:color w:val="000000" w:themeColor="text1"/>
          <w:sz w:val="24"/>
          <w:szCs w:val="24"/>
        </w:rPr>
        <w:t xml:space="preserve">and </w:t>
      </w:r>
      <w:r w:rsidR="00CA2C36">
        <w:rPr>
          <w:b/>
          <w:i w:val="0"/>
          <w:color w:val="000000" w:themeColor="text1"/>
          <w:sz w:val="24"/>
          <w:szCs w:val="24"/>
        </w:rPr>
        <w:t xml:space="preserve">Pediatric </w:t>
      </w:r>
      <w:r w:rsidR="00732F3E">
        <w:rPr>
          <w:b/>
          <w:i w:val="0"/>
          <w:color w:val="000000" w:themeColor="text1"/>
          <w:sz w:val="24"/>
          <w:szCs w:val="24"/>
        </w:rPr>
        <w:t xml:space="preserve">CIED </w:t>
      </w:r>
      <w:r w:rsidR="00CA2C36">
        <w:rPr>
          <w:b/>
          <w:i w:val="0"/>
          <w:color w:val="000000" w:themeColor="text1"/>
          <w:sz w:val="24"/>
          <w:szCs w:val="24"/>
        </w:rPr>
        <w:t>Recommendations</w:t>
      </w:r>
    </w:p>
    <w:p w14:paraId="6B5D3CE3" w14:textId="45DF40B3" w:rsidR="000E0168" w:rsidRDefault="000E0168" w:rsidP="000E0168">
      <w:r>
        <w:t xml:space="preserve">New: </w:t>
      </w:r>
      <w:r w:rsidR="00985D44">
        <w:tab/>
      </w:r>
      <w:r w:rsidR="00985D44">
        <w:tab/>
      </w:r>
      <w:r>
        <w:t>New recommendation that has not been published before</w:t>
      </w:r>
    </w:p>
    <w:p w14:paraId="584804D7" w14:textId="3DB53E9E" w:rsidR="000E0168" w:rsidRDefault="000E0168" w:rsidP="000E0168">
      <w:r>
        <w:t xml:space="preserve">Modification: </w:t>
      </w:r>
      <w:r w:rsidR="00985D44">
        <w:tab/>
      </w:r>
      <w:r>
        <w:t>Modification in some aspect</w:t>
      </w:r>
      <w:r w:rsidR="00985D44">
        <w:t>/wording</w:t>
      </w:r>
      <w:r>
        <w:t xml:space="preserve"> of a previously published recommendation</w:t>
      </w:r>
    </w:p>
    <w:p w14:paraId="68E2DE89" w14:textId="77777777" w:rsidR="000400BA" w:rsidRDefault="000400BA" w:rsidP="000400BA">
      <w:r>
        <w:t xml:space="preserve">Change: </w:t>
      </w:r>
      <w:r>
        <w:tab/>
        <w:t xml:space="preserve">Change in category (COR) of a previously published recommendation </w:t>
      </w:r>
    </w:p>
    <w:p w14:paraId="6D3016AD" w14:textId="77777777" w:rsidR="000400BA" w:rsidRDefault="000400BA" w:rsidP="000E0168"/>
    <w:p w14:paraId="3AB6AB0B" w14:textId="77777777" w:rsidR="000E0168" w:rsidRPr="004D66A7" w:rsidRDefault="000E0168" w:rsidP="004D66A7">
      <w:pPr>
        <w:rPr>
          <w:i/>
        </w:rPr>
      </w:pPr>
    </w:p>
    <w:tbl>
      <w:tblPr>
        <w:tblStyle w:val="TableGrid"/>
        <w:tblW w:w="13045" w:type="dxa"/>
        <w:tblLook w:val="04A0" w:firstRow="1" w:lastRow="0" w:firstColumn="1" w:lastColumn="0" w:noHBand="0" w:noVBand="1"/>
      </w:tblPr>
      <w:tblGrid>
        <w:gridCol w:w="2549"/>
        <w:gridCol w:w="1939"/>
        <w:gridCol w:w="2887"/>
        <w:gridCol w:w="5670"/>
      </w:tblGrid>
      <w:tr w:rsidR="00B069BB" w14:paraId="6AE80EF9" w14:textId="77777777" w:rsidTr="006165B4">
        <w:tc>
          <w:tcPr>
            <w:tcW w:w="2549" w:type="dxa"/>
          </w:tcPr>
          <w:p w14:paraId="18F273E5" w14:textId="01B5C9B5" w:rsidR="001F2B4D" w:rsidRPr="00D65180" w:rsidRDefault="001F2B4D" w:rsidP="003B475C">
            <w:pPr>
              <w:rPr>
                <w:b/>
                <w:bCs/>
              </w:rPr>
            </w:pPr>
            <w:r w:rsidRPr="00D65180">
              <w:rPr>
                <w:b/>
                <w:bCs/>
              </w:rPr>
              <w:t>Section</w:t>
            </w:r>
          </w:p>
        </w:tc>
        <w:tc>
          <w:tcPr>
            <w:tcW w:w="1939" w:type="dxa"/>
          </w:tcPr>
          <w:p w14:paraId="32881B48" w14:textId="0DC7A187" w:rsidR="001F2B4D" w:rsidRDefault="006120C9" w:rsidP="003B475C">
            <w:pPr>
              <w:rPr>
                <w:b/>
                <w:bCs/>
              </w:rPr>
            </w:pPr>
            <w:r>
              <w:rPr>
                <w:b/>
                <w:bCs/>
              </w:rPr>
              <w:t xml:space="preserve">PACES </w:t>
            </w:r>
            <w:r w:rsidR="00732F3E">
              <w:rPr>
                <w:b/>
                <w:bCs/>
              </w:rPr>
              <w:t>2021 COR</w:t>
            </w:r>
          </w:p>
          <w:p w14:paraId="256B5590" w14:textId="54DD8195" w:rsidR="00732F3E" w:rsidRPr="00D65180" w:rsidRDefault="00732F3E" w:rsidP="003B475C">
            <w:pPr>
              <w:rPr>
                <w:b/>
                <w:bCs/>
              </w:rPr>
            </w:pPr>
            <w:r>
              <w:rPr>
                <w:b/>
                <w:bCs/>
              </w:rPr>
              <w:t>(number</w:t>
            </w:r>
            <w:r w:rsidR="00A036AC">
              <w:rPr>
                <w:b/>
                <w:bCs/>
              </w:rPr>
              <w:t>-</w:t>
            </w:r>
            <w:r>
              <w:rPr>
                <w:b/>
                <w:bCs/>
              </w:rPr>
              <w:t xml:space="preserve">specific recommendation in COR category) </w:t>
            </w:r>
          </w:p>
        </w:tc>
        <w:tc>
          <w:tcPr>
            <w:tcW w:w="2887" w:type="dxa"/>
          </w:tcPr>
          <w:p w14:paraId="21BE4749" w14:textId="3E5F0BB5" w:rsidR="001F2B4D" w:rsidRPr="00D65180" w:rsidRDefault="001F2B4D" w:rsidP="003B475C">
            <w:pPr>
              <w:rPr>
                <w:b/>
                <w:bCs/>
              </w:rPr>
            </w:pPr>
            <w:r w:rsidRPr="00D65180">
              <w:rPr>
                <w:b/>
                <w:bCs/>
              </w:rPr>
              <w:t>New</w:t>
            </w:r>
            <w:r w:rsidR="00B52C7B" w:rsidRPr="00D65180">
              <w:rPr>
                <w:b/>
                <w:bCs/>
              </w:rPr>
              <w:t>, modification</w:t>
            </w:r>
            <w:r w:rsidR="00F335F1">
              <w:rPr>
                <w:b/>
                <w:bCs/>
              </w:rPr>
              <w:t>,</w:t>
            </w:r>
            <w:r w:rsidRPr="00D65180">
              <w:rPr>
                <w:b/>
                <w:bCs/>
              </w:rPr>
              <w:t xml:space="preserve"> or change </w:t>
            </w:r>
            <w:r w:rsidR="009C613D">
              <w:rPr>
                <w:b/>
                <w:bCs/>
              </w:rPr>
              <w:t>from</w:t>
            </w:r>
            <w:r w:rsidRPr="00D65180">
              <w:rPr>
                <w:b/>
                <w:bCs/>
              </w:rPr>
              <w:t xml:space="preserve"> existing guideline</w:t>
            </w:r>
            <w:r w:rsidR="000400BA">
              <w:rPr>
                <w:b/>
                <w:bCs/>
              </w:rPr>
              <w:t>s</w:t>
            </w:r>
          </w:p>
        </w:tc>
        <w:tc>
          <w:tcPr>
            <w:tcW w:w="5670" w:type="dxa"/>
          </w:tcPr>
          <w:p w14:paraId="1BC18A6C" w14:textId="4E917C6C" w:rsidR="001F2B4D" w:rsidRPr="00D65180" w:rsidRDefault="001F2B4D" w:rsidP="003B475C">
            <w:pPr>
              <w:rPr>
                <w:b/>
                <w:bCs/>
              </w:rPr>
            </w:pPr>
            <w:r w:rsidRPr="00D65180">
              <w:rPr>
                <w:b/>
                <w:bCs/>
              </w:rPr>
              <w:t xml:space="preserve">Rationale </w:t>
            </w:r>
            <w:r w:rsidR="00732F3E">
              <w:rPr>
                <w:b/>
                <w:bCs/>
              </w:rPr>
              <w:t xml:space="preserve">for </w:t>
            </w:r>
            <w:r w:rsidR="00F335F1">
              <w:rPr>
                <w:b/>
                <w:bCs/>
              </w:rPr>
              <w:t>change</w:t>
            </w:r>
          </w:p>
        </w:tc>
      </w:tr>
      <w:tr w:rsidR="00B069BB" w14:paraId="3DBF0CBA" w14:textId="77777777" w:rsidTr="006165B4">
        <w:tc>
          <w:tcPr>
            <w:tcW w:w="2549" w:type="dxa"/>
          </w:tcPr>
          <w:p w14:paraId="58E8075A" w14:textId="3BC92AC5" w:rsidR="001F2B4D" w:rsidRPr="00BC02D5" w:rsidRDefault="00F83F9F" w:rsidP="003B475C">
            <w:pPr>
              <w:rPr>
                <w:b/>
              </w:rPr>
            </w:pPr>
            <w:r>
              <w:rPr>
                <w:b/>
              </w:rPr>
              <w:t xml:space="preserve">2. Permanent </w:t>
            </w:r>
            <w:r w:rsidR="005F5D16" w:rsidRPr="00BC02D5">
              <w:rPr>
                <w:b/>
              </w:rPr>
              <w:t>pacemakers</w:t>
            </w:r>
          </w:p>
        </w:tc>
        <w:tc>
          <w:tcPr>
            <w:tcW w:w="1939" w:type="dxa"/>
          </w:tcPr>
          <w:p w14:paraId="63935A12" w14:textId="2854D124" w:rsidR="001F2B4D" w:rsidRDefault="001F2B4D" w:rsidP="003B475C"/>
        </w:tc>
        <w:tc>
          <w:tcPr>
            <w:tcW w:w="2887" w:type="dxa"/>
          </w:tcPr>
          <w:p w14:paraId="26F348DF" w14:textId="77777777" w:rsidR="001F2B4D" w:rsidRDefault="001F2B4D" w:rsidP="003B475C"/>
        </w:tc>
        <w:tc>
          <w:tcPr>
            <w:tcW w:w="5670" w:type="dxa"/>
          </w:tcPr>
          <w:p w14:paraId="5E3F4ECE" w14:textId="77777777" w:rsidR="001F2B4D" w:rsidRDefault="001F2B4D" w:rsidP="003B475C"/>
        </w:tc>
      </w:tr>
      <w:tr w:rsidR="00B069BB" w14:paraId="2001057F" w14:textId="77777777" w:rsidTr="006165B4">
        <w:tc>
          <w:tcPr>
            <w:tcW w:w="2549" w:type="dxa"/>
          </w:tcPr>
          <w:p w14:paraId="31A6ACBE" w14:textId="1B1EC321" w:rsidR="001F2B4D" w:rsidRPr="00696CD9" w:rsidRDefault="00BC02D5" w:rsidP="003B475C">
            <w:r w:rsidRPr="00696CD9">
              <w:t xml:space="preserve">2.2 </w:t>
            </w:r>
            <w:r w:rsidR="00F335F1">
              <w:t>Isolated s</w:t>
            </w:r>
            <w:r w:rsidRPr="00696CD9">
              <w:t>inus node dysfunction</w:t>
            </w:r>
          </w:p>
        </w:tc>
        <w:tc>
          <w:tcPr>
            <w:tcW w:w="1939" w:type="dxa"/>
          </w:tcPr>
          <w:p w14:paraId="655817E1" w14:textId="0C54BC38" w:rsidR="001F2B4D" w:rsidRPr="00696CD9" w:rsidRDefault="00426B52" w:rsidP="003B475C">
            <w:r w:rsidRPr="00696CD9">
              <w:t>II</w:t>
            </w:r>
            <w:r w:rsidR="00F335F1">
              <w:t>b</w:t>
            </w:r>
          </w:p>
        </w:tc>
        <w:tc>
          <w:tcPr>
            <w:tcW w:w="2887" w:type="dxa"/>
          </w:tcPr>
          <w:p w14:paraId="7F990A8C" w14:textId="42465659" w:rsidR="001F2B4D" w:rsidRPr="00696CD9" w:rsidRDefault="00BC02D5" w:rsidP="003B475C">
            <w:r w:rsidRPr="00696CD9">
              <w:t>New</w:t>
            </w:r>
          </w:p>
        </w:tc>
        <w:tc>
          <w:tcPr>
            <w:tcW w:w="5670" w:type="dxa"/>
          </w:tcPr>
          <w:p w14:paraId="2D3687B5" w14:textId="0BACD4C0" w:rsidR="001F2B4D" w:rsidRPr="00696CD9" w:rsidRDefault="001F613C" w:rsidP="003B475C">
            <w:r>
              <w:t>Consensus of the writing committee</w:t>
            </w:r>
            <w:r w:rsidR="00460166">
              <w:t>:</w:t>
            </w:r>
            <w:r w:rsidR="00225B38">
              <w:t xml:space="preserve"> S</w:t>
            </w:r>
            <w:r w:rsidR="00BC02D5" w:rsidRPr="00696CD9">
              <w:t>ymptom</w:t>
            </w:r>
            <w:r w:rsidR="00ED1158">
              <w:t xml:space="preserve"> </w:t>
            </w:r>
            <w:r w:rsidR="00BC02D5" w:rsidRPr="00696CD9">
              <w:t xml:space="preserve">rhythm correlation </w:t>
            </w:r>
            <w:r w:rsidR="00EB365F">
              <w:t>is not</w:t>
            </w:r>
            <w:r w:rsidR="00BC02D5" w:rsidRPr="00696CD9">
              <w:t xml:space="preserve"> always</w:t>
            </w:r>
            <w:r w:rsidR="00F83F9F">
              <w:t xml:space="preserve"> </w:t>
            </w:r>
            <w:r w:rsidR="00BC02D5" w:rsidRPr="00696CD9">
              <w:t>possible</w:t>
            </w:r>
            <w:r w:rsidR="00711357">
              <w:t>.</w:t>
            </w:r>
          </w:p>
        </w:tc>
      </w:tr>
      <w:tr w:rsidR="00B069BB" w14:paraId="188C4F39" w14:textId="77777777" w:rsidTr="006165B4">
        <w:tc>
          <w:tcPr>
            <w:tcW w:w="2549" w:type="dxa"/>
          </w:tcPr>
          <w:p w14:paraId="77D12A7B" w14:textId="0FCBD1D3" w:rsidR="001F2B4D" w:rsidRDefault="00CD177D" w:rsidP="003B475C">
            <w:r>
              <w:t xml:space="preserve">2.3 Isolated congenital complete </w:t>
            </w:r>
            <w:r w:rsidR="0083684C" w:rsidRPr="0083684C">
              <w:t>atrioventricular</w:t>
            </w:r>
            <w:r>
              <w:t xml:space="preserve"> block</w:t>
            </w:r>
          </w:p>
        </w:tc>
        <w:tc>
          <w:tcPr>
            <w:tcW w:w="1939" w:type="dxa"/>
          </w:tcPr>
          <w:p w14:paraId="351DE794" w14:textId="2A47418C" w:rsidR="001F2B4D" w:rsidRDefault="00B52C7B" w:rsidP="003B475C">
            <w:r>
              <w:t>I</w:t>
            </w:r>
            <w:r w:rsidR="00426B52">
              <w:t xml:space="preserve"> (#</w:t>
            </w:r>
            <w:r>
              <w:t>3</w:t>
            </w:r>
            <w:r w:rsidR="00426B52">
              <w:t>)</w:t>
            </w:r>
          </w:p>
          <w:p w14:paraId="623C8B56" w14:textId="45D5C61C" w:rsidR="00426B52" w:rsidRDefault="00426B52" w:rsidP="003B475C"/>
        </w:tc>
        <w:tc>
          <w:tcPr>
            <w:tcW w:w="2887" w:type="dxa"/>
          </w:tcPr>
          <w:p w14:paraId="2AEECA4C" w14:textId="11039105" w:rsidR="001F2B4D" w:rsidRDefault="00D65180" w:rsidP="003B475C">
            <w:pPr>
              <w:rPr>
                <w:vertAlign w:val="superscript"/>
              </w:rPr>
            </w:pPr>
            <w:r>
              <w:t>Modification</w:t>
            </w:r>
            <w:r w:rsidR="00B52C7B">
              <w:t xml:space="preserve"> from 2012 </w:t>
            </w:r>
            <w:r w:rsidR="00F83F9F">
              <w:t xml:space="preserve">device </w:t>
            </w:r>
            <w:r w:rsidR="000400BA">
              <w:t xml:space="preserve">therapy </w:t>
            </w:r>
            <w:r w:rsidR="00EA72E3">
              <w:t>guideline u</w:t>
            </w:r>
            <w:r w:rsidR="000400BA">
              <w:t>pdate</w:t>
            </w:r>
            <w:r w:rsidR="00B52C7B">
              <w:rPr>
                <w:vertAlign w:val="superscript"/>
              </w:rPr>
              <w:t>7</w:t>
            </w:r>
          </w:p>
          <w:p w14:paraId="47BA56E8" w14:textId="4E1892DB" w:rsidR="00D65180" w:rsidRDefault="00A036AC" w:rsidP="003B475C">
            <w:r>
              <w:rPr>
                <w:rFonts w:ascii="Times New Roman" w:hAnsi="Times New Roman" w:cs="Times New Roman"/>
              </w:rPr>
              <w:t xml:space="preserve">• </w:t>
            </w:r>
            <w:r w:rsidR="00D65180">
              <w:t>H</w:t>
            </w:r>
            <w:r w:rsidR="00F83F9F">
              <w:t>eart rate</w:t>
            </w:r>
            <w:r w:rsidR="00D65180">
              <w:t xml:space="preserve"> </w:t>
            </w:r>
            <w:r w:rsidR="002737F8">
              <w:t xml:space="preserve">threshold changed to </w:t>
            </w:r>
            <w:r w:rsidR="00D65180" w:rsidRPr="005026B3">
              <w:rPr>
                <w:rFonts w:cstheme="minorHAnsi"/>
                <w:color w:val="000000" w:themeColor="text1"/>
                <w:sz w:val="22"/>
                <w:szCs w:val="22"/>
              </w:rPr>
              <w:t>≤</w:t>
            </w:r>
            <w:r w:rsidR="00D65180">
              <w:t xml:space="preserve">50 </w:t>
            </w:r>
            <w:r w:rsidR="009736EA">
              <w:t>bpm</w:t>
            </w:r>
            <w:r w:rsidR="00D65180">
              <w:t xml:space="preserve"> </w:t>
            </w:r>
            <w:r w:rsidR="002737F8">
              <w:t>from</w:t>
            </w:r>
            <w:r w:rsidR="009736EA">
              <w:t xml:space="preserve"> </w:t>
            </w:r>
            <w:r w:rsidR="00D65180">
              <w:t xml:space="preserve">&lt;55 </w:t>
            </w:r>
            <w:r w:rsidR="009736EA">
              <w:t>bpm</w:t>
            </w:r>
          </w:p>
        </w:tc>
        <w:tc>
          <w:tcPr>
            <w:tcW w:w="5670" w:type="dxa"/>
          </w:tcPr>
          <w:p w14:paraId="52A4D500" w14:textId="58E46C94" w:rsidR="00DE39B6" w:rsidRPr="00DE39B6" w:rsidRDefault="00F323C6" w:rsidP="003B475C">
            <w:pPr>
              <w:rPr>
                <w:rFonts w:cstheme="minorHAnsi"/>
                <w:color w:val="000000" w:themeColor="text1"/>
                <w:sz w:val="22"/>
                <w:szCs w:val="22"/>
              </w:rPr>
            </w:pPr>
            <w:r>
              <w:t xml:space="preserve">To avoid unnecessary early </w:t>
            </w:r>
            <w:r w:rsidR="00F83F9F">
              <w:t>pacemaker</w:t>
            </w:r>
            <w:r w:rsidR="009736EA">
              <w:t xml:space="preserve"> implant </w:t>
            </w:r>
            <w:r w:rsidR="00BD7B2C">
              <w:t xml:space="preserve">in </w:t>
            </w:r>
            <w:r w:rsidR="00E4000D">
              <w:t>asymptomatic neonates and infants</w:t>
            </w:r>
            <w:r w:rsidR="009736EA">
              <w:t>;</w:t>
            </w:r>
            <w:r w:rsidR="007E2FA2">
              <w:t xml:space="preserve"> </w:t>
            </w:r>
            <w:r w:rsidR="00F83F9F">
              <w:t>heart rate</w:t>
            </w:r>
            <w:r w:rsidR="007E2FA2">
              <w:t xml:space="preserve"> </w:t>
            </w:r>
            <w:r w:rsidR="007E2FA2" w:rsidRPr="005026B3">
              <w:rPr>
                <w:rFonts w:cstheme="minorHAnsi"/>
                <w:color w:val="000000" w:themeColor="text1"/>
                <w:sz w:val="22"/>
                <w:szCs w:val="22"/>
              </w:rPr>
              <w:t>≤</w:t>
            </w:r>
            <w:r w:rsidR="007E2FA2">
              <w:t xml:space="preserve">50 bpm was </w:t>
            </w:r>
            <w:r w:rsidR="00ED5F0A">
              <w:t>selected</w:t>
            </w:r>
            <w:r w:rsidR="00725AE1">
              <w:t>,</w:t>
            </w:r>
            <w:r w:rsidR="00ED5F0A">
              <w:t xml:space="preserve"> </w:t>
            </w:r>
            <w:r w:rsidR="00DE39B6">
              <w:t>as</w:t>
            </w:r>
            <w:r w:rsidR="00641C40">
              <w:t xml:space="preserve"> many</w:t>
            </w:r>
            <w:r w:rsidR="00DE39B6">
              <w:t xml:space="preserve"> infants are</w:t>
            </w:r>
            <w:r w:rsidR="00641C40">
              <w:t xml:space="preserve"> </w:t>
            </w:r>
            <w:r w:rsidR="00353825" w:rsidRPr="00641C40">
              <w:t xml:space="preserve">hemodynamically </w:t>
            </w:r>
            <w:r w:rsidR="003C4D32" w:rsidRPr="00641C40">
              <w:t xml:space="preserve">stable </w:t>
            </w:r>
            <w:r w:rsidR="00B25E0E" w:rsidRPr="00641C40">
              <w:t xml:space="preserve">with </w:t>
            </w:r>
            <w:r w:rsidR="00F83F9F">
              <w:t>heart rate</w:t>
            </w:r>
            <w:r w:rsidR="00B25E0E" w:rsidRPr="00641C40">
              <w:t xml:space="preserve"> of</w:t>
            </w:r>
            <w:r w:rsidR="003C4D32" w:rsidRPr="00641C40">
              <w:t xml:space="preserve"> 50</w:t>
            </w:r>
            <w:r w:rsidR="00F83F9F" w:rsidRPr="001D5738">
              <w:rPr>
                <w:rFonts w:cs="Arial"/>
              </w:rPr>
              <w:t>–</w:t>
            </w:r>
            <w:r w:rsidR="003C4D32" w:rsidRPr="00641C40">
              <w:t>55 bpm</w:t>
            </w:r>
            <w:r w:rsidR="00B5288D" w:rsidRPr="00641C40">
              <w:t>.</w:t>
            </w:r>
            <w:r w:rsidR="008E7B05" w:rsidRPr="00641C40">
              <w:t xml:space="preserve"> The </w:t>
            </w:r>
            <w:r w:rsidR="001C7597" w:rsidRPr="00641C40">
              <w:t xml:space="preserve">recommendation is qualified by the statement that </w:t>
            </w:r>
            <w:r w:rsidR="00F83F9F">
              <w:t>heart rate</w:t>
            </w:r>
            <w:r w:rsidR="001C7597" w:rsidRPr="004D66A7">
              <w:rPr>
                <w:rFonts w:cstheme="minorHAnsi"/>
                <w:color w:val="000000" w:themeColor="text1"/>
              </w:rPr>
              <w:t xml:space="preserve"> alone should not be used as implant criteria.</w:t>
            </w:r>
            <w:r w:rsidR="00DE39B6" w:rsidRPr="004D66A7">
              <w:rPr>
                <w:sz w:val="28"/>
                <w:szCs w:val="28"/>
              </w:rPr>
              <w:t xml:space="preserve"> </w:t>
            </w:r>
          </w:p>
        </w:tc>
      </w:tr>
      <w:tr w:rsidR="00B069BB" w14:paraId="0FC1AD98" w14:textId="77777777" w:rsidTr="006165B4">
        <w:tc>
          <w:tcPr>
            <w:tcW w:w="2549" w:type="dxa"/>
          </w:tcPr>
          <w:p w14:paraId="73B6F6F7" w14:textId="77777777" w:rsidR="001F2B4D" w:rsidRDefault="001F2B4D" w:rsidP="003B475C"/>
        </w:tc>
        <w:tc>
          <w:tcPr>
            <w:tcW w:w="1939" w:type="dxa"/>
          </w:tcPr>
          <w:p w14:paraId="59C7F899" w14:textId="4E2656B6" w:rsidR="001F2B4D" w:rsidRDefault="00D65180" w:rsidP="003B475C">
            <w:proofErr w:type="spellStart"/>
            <w:r>
              <w:t>II</w:t>
            </w:r>
            <w:r w:rsidR="00F335F1">
              <w:t>a</w:t>
            </w:r>
            <w:proofErr w:type="spellEnd"/>
            <w:r>
              <w:t xml:space="preserve"> (#1)</w:t>
            </w:r>
          </w:p>
        </w:tc>
        <w:tc>
          <w:tcPr>
            <w:tcW w:w="2887" w:type="dxa"/>
          </w:tcPr>
          <w:p w14:paraId="30190104" w14:textId="2B99752F" w:rsidR="001F2B4D" w:rsidRDefault="00D65180" w:rsidP="003B475C">
            <w:pPr>
              <w:rPr>
                <w:vertAlign w:val="superscript"/>
              </w:rPr>
            </w:pPr>
            <w:r>
              <w:t xml:space="preserve">Change from 2018 </w:t>
            </w:r>
            <w:r w:rsidR="00866ECA">
              <w:t xml:space="preserve"> </w:t>
            </w:r>
            <w:r w:rsidR="006165B4">
              <w:t>B</w:t>
            </w:r>
            <w:r w:rsidR="00F83F9F">
              <w:t xml:space="preserve">radycardia </w:t>
            </w:r>
            <w:r>
              <w:t>guideline</w:t>
            </w:r>
            <w:r>
              <w:rPr>
                <w:vertAlign w:val="superscript"/>
              </w:rPr>
              <w:t>2</w:t>
            </w:r>
          </w:p>
          <w:p w14:paraId="62FC067D" w14:textId="35DB6456" w:rsidR="00D65180" w:rsidRDefault="00A036AC" w:rsidP="003B475C">
            <w:r>
              <w:rPr>
                <w:rFonts w:ascii="Times New Roman" w:hAnsi="Times New Roman" w:cs="Times New Roman"/>
              </w:rPr>
              <w:t xml:space="preserve">• </w:t>
            </w:r>
            <w:r w:rsidR="005F5D16">
              <w:t>T</w:t>
            </w:r>
            <w:r w:rsidR="00641C40">
              <w:t xml:space="preserve">o </w:t>
            </w:r>
            <w:r w:rsidR="00F83F9F">
              <w:t xml:space="preserve">class </w:t>
            </w:r>
            <w:proofErr w:type="spellStart"/>
            <w:r w:rsidR="00D65180">
              <w:t>II</w:t>
            </w:r>
            <w:r w:rsidR="00F335F1">
              <w:t>a</w:t>
            </w:r>
            <w:proofErr w:type="spellEnd"/>
            <w:r w:rsidR="00D65180">
              <w:t xml:space="preserve"> </w:t>
            </w:r>
            <w:r w:rsidR="00A9106E">
              <w:t>from</w:t>
            </w:r>
            <w:r w:rsidR="00D65180">
              <w:t xml:space="preserve"> </w:t>
            </w:r>
            <w:r w:rsidR="00F83F9F">
              <w:t xml:space="preserve">class </w:t>
            </w:r>
            <w:r w:rsidR="00D65180">
              <w:t>I</w:t>
            </w:r>
          </w:p>
          <w:p w14:paraId="6798FCF1" w14:textId="7CBEE6DF" w:rsidR="00D65180" w:rsidRPr="00D65180" w:rsidRDefault="00D65180" w:rsidP="008E31DD">
            <w:pPr>
              <w:rPr>
                <w:vertAlign w:val="superscript"/>
              </w:rPr>
            </w:pPr>
          </w:p>
        </w:tc>
        <w:tc>
          <w:tcPr>
            <w:tcW w:w="5670" w:type="dxa"/>
          </w:tcPr>
          <w:p w14:paraId="5F29676B" w14:textId="770DCD82" w:rsidR="001F2B4D" w:rsidRDefault="00641C40" w:rsidP="003B475C">
            <w:r>
              <w:t>COR</w:t>
            </w:r>
            <w:r w:rsidR="00DC28ED">
              <w:t xml:space="preserve"> for pacing</w:t>
            </w:r>
            <w:r w:rsidR="004A0711">
              <w:t xml:space="preserve"> is </w:t>
            </w:r>
            <w:proofErr w:type="spellStart"/>
            <w:r>
              <w:t>II</w:t>
            </w:r>
            <w:r w:rsidR="00F335F1">
              <w:t>a</w:t>
            </w:r>
            <w:proofErr w:type="spellEnd"/>
            <w:r>
              <w:t xml:space="preserve"> </w:t>
            </w:r>
            <w:r w:rsidR="004A0711">
              <w:t>as the r</w:t>
            </w:r>
            <w:r w:rsidR="00D65180">
              <w:t>isk/benefit of long</w:t>
            </w:r>
            <w:r w:rsidR="00F83F9F">
              <w:t>-</w:t>
            </w:r>
            <w:r w:rsidR="00D65180">
              <w:t>term pacing and</w:t>
            </w:r>
            <w:r w:rsidR="009117F6">
              <w:t xml:space="preserve"> lifetime of </w:t>
            </w:r>
            <w:r w:rsidR="00D65180">
              <w:t xml:space="preserve">device/lead revisions need to be considered in </w:t>
            </w:r>
            <w:r w:rsidR="003B5BFA">
              <w:t xml:space="preserve">young </w:t>
            </w:r>
            <w:r w:rsidR="00D65180">
              <w:t>children</w:t>
            </w:r>
            <w:r w:rsidR="00722BC6">
              <w:t xml:space="preserve">, especially when </w:t>
            </w:r>
            <w:r w:rsidR="00544350">
              <w:t xml:space="preserve">implanting </w:t>
            </w:r>
            <w:r w:rsidR="008C4DD1">
              <w:t>a pacemaker for heart rate alon</w:t>
            </w:r>
            <w:r w:rsidR="00BC2883">
              <w:t>e</w:t>
            </w:r>
            <w:r w:rsidR="008C4DD1">
              <w:t>, in the absence of symptoms.</w:t>
            </w:r>
          </w:p>
          <w:p w14:paraId="732C90F3" w14:textId="05AE8E4E" w:rsidR="00DE39B6" w:rsidRPr="00976F8C" w:rsidRDefault="00866ECA" w:rsidP="003B475C">
            <w:pPr>
              <w:rPr>
                <w:vertAlign w:val="superscript"/>
              </w:rPr>
            </w:pPr>
            <w:r>
              <w:t>This is the s</w:t>
            </w:r>
            <w:r w:rsidR="00DE39B6">
              <w:t xml:space="preserve">ame COR as 2012 </w:t>
            </w:r>
            <w:r w:rsidR="00F83F9F">
              <w:t xml:space="preserve">device </w:t>
            </w:r>
            <w:r w:rsidR="00337CB1">
              <w:t xml:space="preserve">therapy </w:t>
            </w:r>
            <w:r w:rsidR="00DE39B6">
              <w:t>guideline</w:t>
            </w:r>
            <w:r w:rsidR="00337CB1">
              <w:t>s update</w:t>
            </w:r>
            <w:r w:rsidR="00DE39B6">
              <w:rPr>
                <w:vertAlign w:val="superscript"/>
              </w:rPr>
              <w:t>7</w:t>
            </w:r>
            <w:r w:rsidR="00DE39B6">
              <w:t xml:space="preserve"> for children, adolescents</w:t>
            </w:r>
            <w:r w:rsidR="004050F5">
              <w:t>, and</w:t>
            </w:r>
            <w:r>
              <w:t xml:space="preserve"> </w:t>
            </w:r>
            <w:r w:rsidR="00DE39B6">
              <w:t>CHD</w:t>
            </w:r>
            <w:r w:rsidR="00976F8C">
              <w:t xml:space="preserve"> and 2014 </w:t>
            </w:r>
            <w:r w:rsidR="004854EE">
              <w:t>ECS</w:t>
            </w:r>
            <w:r w:rsidR="00976F8C">
              <w:t xml:space="preserve"> for </w:t>
            </w:r>
            <w:r w:rsidR="004050F5">
              <w:t xml:space="preserve">adult </w:t>
            </w:r>
            <w:r w:rsidR="00976F8C">
              <w:t>CHD</w:t>
            </w:r>
            <w:r w:rsidR="00DE39B6">
              <w:t>.</w:t>
            </w:r>
            <w:r w:rsidR="00976F8C">
              <w:rPr>
                <w:vertAlign w:val="superscript"/>
              </w:rPr>
              <w:t>9</w:t>
            </w:r>
          </w:p>
        </w:tc>
      </w:tr>
      <w:tr w:rsidR="00B069BB" w14:paraId="13A0A6DB" w14:textId="77777777" w:rsidTr="006165B4">
        <w:tc>
          <w:tcPr>
            <w:tcW w:w="2549" w:type="dxa"/>
          </w:tcPr>
          <w:p w14:paraId="624671CE" w14:textId="77777777" w:rsidR="001F2B4D" w:rsidRDefault="001F2B4D" w:rsidP="003B475C"/>
        </w:tc>
        <w:tc>
          <w:tcPr>
            <w:tcW w:w="1939" w:type="dxa"/>
          </w:tcPr>
          <w:p w14:paraId="142D68AD" w14:textId="1495E6EF" w:rsidR="001F2B4D" w:rsidRDefault="0035500E" w:rsidP="003B475C">
            <w:proofErr w:type="spellStart"/>
            <w:r>
              <w:t>II</w:t>
            </w:r>
            <w:r w:rsidR="00F335F1">
              <w:t>a</w:t>
            </w:r>
            <w:proofErr w:type="spellEnd"/>
            <w:r>
              <w:t xml:space="preserve"> (#2)</w:t>
            </w:r>
          </w:p>
        </w:tc>
        <w:tc>
          <w:tcPr>
            <w:tcW w:w="2887" w:type="dxa"/>
          </w:tcPr>
          <w:p w14:paraId="2D158120" w14:textId="389514E5" w:rsidR="001F2B4D" w:rsidRDefault="0035500E" w:rsidP="003B475C">
            <w:r>
              <w:t>New</w:t>
            </w:r>
          </w:p>
        </w:tc>
        <w:tc>
          <w:tcPr>
            <w:tcW w:w="5670" w:type="dxa"/>
          </w:tcPr>
          <w:p w14:paraId="2D077F05" w14:textId="19D0C619" w:rsidR="001F2B4D" w:rsidRDefault="00C60FD2" w:rsidP="003B475C">
            <w:r>
              <w:t xml:space="preserve">Progressive LV </w:t>
            </w:r>
            <w:r w:rsidR="001F04C3">
              <w:t>dysfunction and mitral insufficiency associated with cardiovascular mortality</w:t>
            </w:r>
            <w:r w:rsidR="008F58F9">
              <w:t xml:space="preserve"> in some cases</w:t>
            </w:r>
            <w:r w:rsidR="00AA6A33">
              <w:t>.</w:t>
            </w:r>
            <w:r w:rsidR="001F613C">
              <w:rPr>
                <w:vertAlign w:val="superscript"/>
              </w:rPr>
              <w:t>33,43</w:t>
            </w:r>
            <w:r w:rsidR="00AA6A33">
              <w:t xml:space="preserve"> </w:t>
            </w:r>
            <w:r w:rsidR="001F04C3">
              <w:t xml:space="preserve"> </w:t>
            </w:r>
          </w:p>
        </w:tc>
      </w:tr>
      <w:tr w:rsidR="00B069BB" w14:paraId="72A11B79" w14:textId="77777777" w:rsidTr="006165B4">
        <w:tc>
          <w:tcPr>
            <w:tcW w:w="2549" w:type="dxa"/>
          </w:tcPr>
          <w:p w14:paraId="760236BE" w14:textId="77777777" w:rsidR="001F2B4D" w:rsidRDefault="001F2B4D" w:rsidP="003B475C"/>
        </w:tc>
        <w:tc>
          <w:tcPr>
            <w:tcW w:w="1939" w:type="dxa"/>
          </w:tcPr>
          <w:p w14:paraId="152DD057" w14:textId="55C912D3" w:rsidR="001F2B4D" w:rsidRDefault="00CA2440" w:rsidP="003B475C">
            <w:r>
              <w:t>II</w:t>
            </w:r>
            <w:r w:rsidR="00F335F1">
              <w:t>b</w:t>
            </w:r>
          </w:p>
        </w:tc>
        <w:tc>
          <w:tcPr>
            <w:tcW w:w="2887" w:type="dxa"/>
          </w:tcPr>
          <w:p w14:paraId="4B1DFE77" w14:textId="4F96A991" w:rsidR="00CA2440" w:rsidRDefault="00CA2440" w:rsidP="00CA2440">
            <w:pPr>
              <w:rPr>
                <w:vertAlign w:val="superscript"/>
              </w:rPr>
            </w:pPr>
            <w:r>
              <w:t xml:space="preserve">Change from </w:t>
            </w:r>
            <w:r w:rsidR="005F5D16">
              <w:t xml:space="preserve">2018 bradycardia </w:t>
            </w:r>
            <w:r>
              <w:t>guideline</w:t>
            </w:r>
            <w:r>
              <w:rPr>
                <w:vertAlign w:val="superscript"/>
              </w:rPr>
              <w:t>2</w:t>
            </w:r>
          </w:p>
          <w:p w14:paraId="58B7E7F5" w14:textId="6A1446A2" w:rsidR="00CA2440" w:rsidRDefault="00A036AC" w:rsidP="00641C40">
            <w:r>
              <w:rPr>
                <w:rFonts w:ascii="Times New Roman" w:hAnsi="Times New Roman" w:cs="Times New Roman"/>
              </w:rPr>
              <w:t xml:space="preserve">• </w:t>
            </w:r>
            <w:r w:rsidR="005F5D16">
              <w:t>T</w:t>
            </w:r>
            <w:r w:rsidR="00641C40">
              <w:t xml:space="preserve">o </w:t>
            </w:r>
            <w:r w:rsidR="005F5D16">
              <w:t xml:space="preserve">class </w:t>
            </w:r>
            <w:r w:rsidR="00CA2440">
              <w:t>II</w:t>
            </w:r>
            <w:r w:rsidR="00F335F1">
              <w:t>b</w:t>
            </w:r>
            <w:r w:rsidR="00CA2440">
              <w:t xml:space="preserve"> </w:t>
            </w:r>
            <w:r w:rsidR="00A9106E">
              <w:t>from</w:t>
            </w:r>
            <w:r w:rsidR="00CA2440">
              <w:t xml:space="preserve"> </w:t>
            </w:r>
            <w:r w:rsidR="005F5D16">
              <w:t xml:space="preserve">class </w:t>
            </w:r>
            <w:proofErr w:type="spellStart"/>
            <w:r w:rsidR="00CA2440">
              <w:t>II</w:t>
            </w:r>
            <w:r w:rsidR="00F335F1">
              <w:t>a</w:t>
            </w:r>
            <w:proofErr w:type="spellEnd"/>
          </w:p>
          <w:p w14:paraId="199E569A" w14:textId="77777777" w:rsidR="001F2B4D" w:rsidRDefault="001F2B4D" w:rsidP="003B475C"/>
        </w:tc>
        <w:tc>
          <w:tcPr>
            <w:tcW w:w="5670" w:type="dxa"/>
          </w:tcPr>
          <w:p w14:paraId="48A90E11" w14:textId="173B93C1" w:rsidR="001F2B4D" w:rsidRDefault="00641C40" w:rsidP="003B475C">
            <w:r>
              <w:t>COR</w:t>
            </w:r>
            <w:r w:rsidR="00DC28ED">
              <w:t xml:space="preserve"> for pacing</w:t>
            </w:r>
            <w:r w:rsidR="00B648C0">
              <w:t xml:space="preserve"> is weaker in </w:t>
            </w:r>
            <w:r w:rsidR="00CA4C65">
              <w:t xml:space="preserve">asymptomatic </w:t>
            </w:r>
            <w:r w:rsidR="00B648C0">
              <w:t>children as the r</w:t>
            </w:r>
            <w:r w:rsidR="00CA2440">
              <w:t>isk/benefit of long</w:t>
            </w:r>
            <w:r w:rsidR="00ED4B0B">
              <w:t>-</w:t>
            </w:r>
            <w:r w:rsidR="00CA2440">
              <w:t xml:space="preserve">term pacing and lifetime of device/lead revisions need to be considered, especially when implanting a pacemaker </w:t>
            </w:r>
            <w:r w:rsidR="00B71F1A">
              <w:t xml:space="preserve">in </w:t>
            </w:r>
            <w:r w:rsidR="00CA4C65">
              <w:t xml:space="preserve">young/small </w:t>
            </w:r>
            <w:r w:rsidR="00B71F1A">
              <w:t>patients.</w:t>
            </w:r>
          </w:p>
          <w:p w14:paraId="6A6CFFE0" w14:textId="63A01233" w:rsidR="00DE39B6" w:rsidRDefault="00DE39B6" w:rsidP="003B475C">
            <w:r>
              <w:t xml:space="preserve">Same COR as 2012 </w:t>
            </w:r>
            <w:r w:rsidR="00C54F48">
              <w:t xml:space="preserve">device </w:t>
            </w:r>
            <w:r w:rsidR="00EA72E3">
              <w:t>therapy</w:t>
            </w:r>
            <w:r w:rsidR="00641C40">
              <w:t xml:space="preserve"> </w:t>
            </w:r>
            <w:r>
              <w:t>guideline</w:t>
            </w:r>
            <w:r w:rsidR="00EA72E3">
              <w:t xml:space="preserve"> update</w:t>
            </w:r>
            <w:r>
              <w:rPr>
                <w:vertAlign w:val="superscript"/>
              </w:rPr>
              <w:t>7</w:t>
            </w:r>
            <w:r>
              <w:t xml:space="preserve"> for children, adolescents</w:t>
            </w:r>
            <w:r w:rsidR="00C54F48">
              <w:t>,</w:t>
            </w:r>
            <w:r>
              <w:t xml:space="preserve"> and CHD.</w:t>
            </w:r>
          </w:p>
        </w:tc>
      </w:tr>
      <w:tr w:rsidR="004D7DC2" w14:paraId="38F218D4" w14:textId="77777777" w:rsidTr="006165B4">
        <w:tc>
          <w:tcPr>
            <w:tcW w:w="2549" w:type="dxa"/>
          </w:tcPr>
          <w:p w14:paraId="27CBD1FF" w14:textId="2262D72C" w:rsidR="004D7DC2" w:rsidRDefault="004D7DC2" w:rsidP="003B475C">
            <w:r>
              <w:t xml:space="preserve">2.4 </w:t>
            </w:r>
            <w:r w:rsidR="0083684C">
              <w:t>A</w:t>
            </w:r>
            <w:r w:rsidR="0083684C" w:rsidRPr="0083684C">
              <w:rPr>
                <w:bCs/>
              </w:rPr>
              <w:t>trioventricular</w:t>
            </w:r>
            <w:r w:rsidR="005F5D16" w:rsidRPr="005F5D16">
              <w:rPr>
                <w:bCs/>
              </w:rPr>
              <w:t xml:space="preserve"> </w:t>
            </w:r>
            <w:r w:rsidR="00F83F9F" w:rsidRPr="005525EE">
              <w:t>bloc</w:t>
            </w:r>
            <w:r w:rsidR="00F83F9F">
              <w:t>k</w:t>
            </w:r>
            <w:r w:rsidRPr="005525EE">
              <w:t xml:space="preserve">: </w:t>
            </w:r>
            <w:r w:rsidR="00460676" w:rsidRPr="005525EE">
              <w:t xml:space="preserve">Other </w:t>
            </w:r>
            <w:r w:rsidR="00F83F9F" w:rsidRPr="005525EE">
              <w:t>considerations</w:t>
            </w:r>
          </w:p>
        </w:tc>
        <w:tc>
          <w:tcPr>
            <w:tcW w:w="1939" w:type="dxa"/>
          </w:tcPr>
          <w:p w14:paraId="5143E38D" w14:textId="0B6A6638" w:rsidR="004D7DC2" w:rsidRDefault="004D7DC2" w:rsidP="003B475C">
            <w:r>
              <w:t>I</w:t>
            </w:r>
            <w:r w:rsidR="00641C40">
              <w:t xml:space="preserve"> </w:t>
            </w:r>
            <w:r>
              <w:t>(#2)</w:t>
            </w:r>
          </w:p>
        </w:tc>
        <w:tc>
          <w:tcPr>
            <w:tcW w:w="2887" w:type="dxa"/>
          </w:tcPr>
          <w:p w14:paraId="347D6FBD" w14:textId="50A97F30" w:rsidR="004D7DC2" w:rsidRDefault="004D7DC2" w:rsidP="003B475C">
            <w:r>
              <w:t>New</w:t>
            </w:r>
          </w:p>
        </w:tc>
        <w:tc>
          <w:tcPr>
            <w:tcW w:w="5670" w:type="dxa"/>
          </w:tcPr>
          <w:p w14:paraId="4B34857E" w14:textId="0F7FA0C6" w:rsidR="004D7DC2" w:rsidRDefault="004D7DC2" w:rsidP="003B475C">
            <w:r>
              <w:t xml:space="preserve">This refers to patients who are diagnosed with advanced AV block in childhood and cause cannot be established. </w:t>
            </w:r>
          </w:p>
        </w:tc>
      </w:tr>
      <w:tr w:rsidR="00B069BB" w14:paraId="10645CCE" w14:textId="77777777" w:rsidTr="006165B4">
        <w:tc>
          <w:tcPr>
            <w:tcW w:w="2549" w:type="dxa"/>
          </w:tcPr>
          <w:p w14:paraId="33BCC8FF" w14:textId="67C033B7" w:rsidR="001F2B4D" w:rsidRDefault="001F2B4D" w:rsidP="003B475C"/>
        </w:tc>
        <w:tc>
          <w:tcPr>
            <w:tcW w:w="1939" w:type="dxa"/>
          </w:tcPr>
          <w:p w14:paraId="29A7EEC3" w14:textId="31D1B4EF" w:rsidR="001F2B4D" w:rsidRDefault="005525EE" w:rsidP="003B475C">
            <w:proofErr w:type="spellStart"/>
            <w:r>
              <w:t>II</w:t>
            </w:r>
            <w:r w:rsidR="00F335F1">
              <w:t>a</w:t>
            </w:r>
            <w:proofErr w:type="spellEnd"/>
          </w:p>
        </w:tc>
        <w:tc>
          <w:tcPr>
            <w:tcW w:w="2887" w:type="dxa"/>
          </w:tcPr>
          <w:p w14:paraId="2A7F87C8" w14:textId="396DA50F" w:rsidR="001F2B4D" w:rsidRDefault="005525EE" w:rsidP="003B475C">
            <w:r>
              <w:t>New</w:t>
            </w:r>
          </w:p>
        </w:tc>
        <w:tc>
          <w:tcPr>
            <w:tcW w:w="5670" w:type="dxa"/>
          </w:tcPr>
          <w:p w14:paraId="7988CE6E" w14:textId="65FD0218" w:rsidR="001F2B4D" w:rsidRDefault="006C4BDA" w:rsidP="003B475C">
            <w:r>
              <w:t>Exercise</w:t>
            </w:r>
            <w:r w:rsidR="005B78AE">
              <w:t>-</w:t>
            </w:r>
            <w:r w:rsidR="00A344D3">
              <w:t xml:space="preserve">induced </w:t>
            </w:r>
            <w:r>
              <w:t xml:space="preserve">advanced AV block </w:t>
            </w:r>
            <w:r w:rsidR="003D42D0">
              <w:t xml:space="preserve">may occur due to </w:t>
            </w:r>
            <w:proofErr w:type="spellStart"/>
            <w:r w:rsidR="003D42D0">
              <w:t>infranodal</w:t>
            </w:r>
            <w:proofErr w:type="spellEnd"/>
            <w:r w:rsidR="003D42D0">
              <w:t xml:space="preserve"> disease in which </w:t>
            </w:r>
            <w:r w:rsidR="003D42D0" w:rsidRPr="003D42D0">
              <w:t xml:space="preserve">1:1 </w:t>
            </w:r>
            <w:r w:rsidR="00F512EA">
              <w:t xml:space="preserve">AV conduction may not occur </w:t>
            </w:r>
            <w:r w:rsidR="003D42D0" w:rsidRPr="003D42D0">
              <w:t>with a high atrial rate</w:t>
            </w:r>
            <w:r w:rsidR="00A344D3">
              <w:t>.</w:t>
            </w:r>
            <w:r w:rsidR="00335931">
              <w:rPr>
                <w:vertAlign w:val="superscript"/>
              </w:rPr>
              <w:t>2,</w:t>
            </w:r>
            <w:r w:rsidR="001F613C">
              <w:rPr>
                <w:vertAlign w:val="superscript"/>
              </w:rPr>
              <w:t>47,48</w:t>
            </w:r>
            <w:r w:rsidR="00A344D3">
              <w:t xml:space="preserve"> </w:t>
            </w:r>
            <w:r w:rsidR="00BA0093">
              <w:t xml:space="preserve">If patient is </w:t>
            </w:r>
            <w:r w:rsidR="00BA0093" w:rsidRPr="00BA0093">
              <w:rPr>
                <w:i/>
              </w:rPr>
              <w:t>symptomati</w:t>
            </w:r>
            <w:r w:rsidR="00BA0093">
              <w:t>c with exercise</w:t>
            </w:r>
            <w:r w:rsidR="005B78AE">
              <w:t>-</w:t>
            </w:r>
            <w:r w:rsidR="00BA0093">
              <w:t>induced advanced AV block, refer to COR I (#2)</w:t>
            </w:r>
            <w:r w:rsidR="00C92F90">
              <w:t>.</w:t>
            </w:r>
          </w:p>
        </w:tc>
      </w:tr>
      <w:tr w:rsidR="00622A2E" w14:paraId="5D386835" w14:textId="77777777" w:rsidTr="006165B4">
        <w:tc>
          <w:tcPr>
            <w:tcW w:w="2549" w:type="dxa"/>
          </w:tcPr>
          <w:p w14:paraId="183161FE" w14:textId="77777777" w:rsidR="00622A2E" w:rsidRDefault="00622A2E" w:rsidP="003B475C"/>
        </w:tc>
        <w:tc>
          <w:tcPr>
            <w:tcW w:w="1939" w:type="dxa"/>
          </w:tcPr>
          <w:p w14:paraId="39891A35" w14:textId="14EFD0D0" w:rsidR="00622A2E" w:rsidRDefault="00622A2E" w:rsidP="003B475C">
            <w:r>
              <w:t>II</w:t>
            </w:r>
            <w:r w:rsidR="00F335F1">
              <w:t>b</w:t>
            </w:r>
          </w:p>
        </w:tc>
        <w:tc>
          <w:tcPr>
            <w:tcW w:w="2887" w:type="dxa"/>
          </w:tcPr>
          <w:p w14:paraId="5BBF337B" w14:textId="6284B25F" w:rsidR="00622A2E" w:rsidRDefault="00622A2E" w:rsidP="003B475C">
            <w:r>
              <w:t>New</w:t>
            </w:r>
          </w:p>
        </w:tc>
        <w:tc>
          <w:tcPr>
            <w:tcW w:w="5670" w:type="dxa"/>
          </w:tcPr>
          <w:p w14:paraId="5126EBFF" w14:textId="29296D5C" w:rsidR="00622A2E" w:rsidRPr="00D222EF" w:rsidRDefault="008B23A0" w:rsidP="003B475C">
            <w:r>
              <w:t>I</w:t>
            </w:r>
            <w:r w:rsidR="00335931">
              <w:t>ntermittent</w:t>
            </w:r>
            <w:r w:rsidR="00622A2E" w:rsidRPr="00622A2E">
              <w:t xml:space="preserve"> AV block</w:t>
            </w:r>
            <w:r w:rsidR="00622A2E">
              <w:t xml:space="preserve"> </w:t>
            </w:r>
            <w:r>
              <w:t xml:space="preserve">without a reversible cause </w:t>
            </w:r>
            <w:r w:rsidR="00622A2E">
              <w:t xml:space="preserve">may occur in </w:t>
            </w:r>
            <w:r w:rsidR="007D5BEC">
              <w:t xml:space="preserve">ostensibly </w:t>
            </w:r>
            <w:r w:rsidR="00622A2E">
              <w:t>normal children</w:t>
            </w:r>
            <w:r>
              <w:t>. Pacing may improve symptoms</w:t>
            </w:r>
            <w:r w:rsidR="00622A2E">
              <w:t>.</w:t>
            </w:r>
            <w:r w:rsidR="00622A2E">
              <w:rPr>
                <w:vertAlign w:val="superscript"/>
              </w:rPr>
              <w:t>49</w:t>
            </w:r>
            <w:r w:rsidR="00D222EF">
              <w:t xml:space="preserve"> </w:t>
            </w:r>
          </w:p>
        </w:tc>
      </w:tr>
      <w:tr w:rsidR="00706F9E" w14:paraId="3361A87C" w14:textId="77777777" w:rsidTr="006165B4">
        <w:tc>
          <w:tcPr>
            <w:tcW w:w="2549" w:type="dxa"/>
          </w:tcPr>
          <w:p w14:paraId="49AF90F7" w14:textId="1F21489B" w:rsidR="00706F9E" w:rsidRDefault="00706F9E" w:rsidP="003B475C">
            <w:r>
              <w:t xml:space="preserve">2.5 Postoperative </w:t>
            </w:r>
            <w:r w:rsidR="0083684C" w:rsidRPr="0083684C">
              <w:t xml:space="preserve">atrioventricular </w:t>
            </w:r>
            <w:r w:rsidR="00F83F9F">
              <w:t>block</w:t>
            </w:r>
          </w:p>
        </w:tc>
        <w:tc>
          <w:tcPr>
            <w:tcW w:w="1939" w:type="dxa"/>
          </w:tcPr>
          <w:p w14:paraId="6F593CC7" w14:textId="5D9E2FE3" w:rsidR="00706F9E" w:rsidRDefault="00706F9E" w:rsidP="003B475C">
            <w:r>
              <w:t>I</w:t>
            </w:r>
            <w:r w:rsidR="00F335F1">
              <w:t xml:space="preserve"> </w:t>
            </w:r>
            <w:r>
              <w:t>(#1)</w:t>
            </w:r>
          </w:p>
        </w:tc>
        <w:tc>
          <w:tcPr>
            <w:tcW w:w="2887" w:type="dxa"/>
          </w:tcPr>
          <w:p w14:paraId="043507D9" w14:textId="5AEB1808" w:rsidR="00335931" w:rsidRDefault="00335931" w:rsidP="00706F9E">
            <w:r>
              <w:t xml:space="preserve">Modification from 2018 </w:t>
            </w:r>
            <w:r w:rsidR="005F5D16">
              <w:t xml:space="preserve">bradycardia </w:t>
            </w:r>
            <w:r>
              <w:t>guideline</w:t>
            </w:r>
            <w:r>
              <w:rPr>
                <w:vertAlign w:val="superscript"/>
              </w:rPr>
              <w:t>2</w:t>
            </w:r>
          </w:p>
          <w:p w14:paraId="05D15182" w14:textId="0BC49C5E" w:rsidR="00706F9E" w:rsidRDefault="00706F9E" w:rsidP="00706F9E">
            <w:pPr>
              <w:rPr>
                <w:vertAlign w:val="superscript"/>
              </w:rPr>
            </w:pPr>
            <w:r>
              <w:t xml:space="preserve">Modification from 2012 </w:t>
            </w:r>
            <w:r w:rsidR="005F5D16">
              <w:t xml:space="preserve">device </w:t>
            </w:r>
            <w:r w:rsidR="000400BA">
              <w:t xml:space="preserve">therapy </w:t>
            </w:r>
            <w:r w:rsidR="00EA72E3">
              <w:t>guideline update</w:t>
            </w:r>
            <w:r>
              <w:rPr>
                <w:vertAlign w:val="superscript"/>
              </w:rPr>
              <w:t>7</w:t>
            </w:r>
          </w:p>
          <w:p w14:paraId="4D7D9175" w14:textId="61B57569" w:rsidR="00335931" w:rsidRPr="00335931" w:rsidRDefault="00A036AC" w:rsidP="003B475C">
            <w:r>
              <w:rPr>
                <w:rFonts w:ascii="Times New Roman" w:hAnsi="Times New Roman" w:cs="Times New Roman"/>
              </w:rPr>
              <w:t xml:space="preserve">• </w:t>
            </w:r>
            <w:r w:rsidR="00706F9E">
              <w:t>Threshold changed from 7 days to 7</w:t>
            </w:r>
            <w:r w:rsidR="005F5D16" w:rsidRPr="001D5738">
              <w:rPr>
                <w:rFonts w:cs="Arial"/>
              </w:rPr>
              <w:t>–</w:t>
            </w:r>
            <w:r w:rsidR="00706F9E">
              <w:t>10 days</w:t>
            </w:r>
          </w:p>
        </w:tc>
        <w:tc>
          <w:tcPr>
            <w:tcW w:w="5670" w:type="dxa"/>
          </w:tcPr>
          <w:p w14:paraId="65421662" w14:textId="3B09094F" w:rsidR="00706F9E" w:rsidRPr="00335931" w:rsidRDefault="005B78AE" w:rsidP="003B475C">
            <w:r>
              <w:t xml:space="preserve">The </w:t>
            </w:r>
            <w:r w:rsidR="00335931">
              <w:t xml:space="preserve">2018 </w:t>
            </w:r>
            <w:r>
              <w:t xml:space="preserve">bradycardia </w:t>
            </w:r>
            <w:r w:rsidR="00335931">
              <w:t>guideline</w:t>
            </w:r>
            <w:r w:rsidR="00335931">
              <w:rPr>
                <w:vertAlign w:val="superscript"/>
              </w:rPr>
              <w:t xml:space="preserve">2 </w:t>
            </w:r>
            <w:r w:rsidR="00335931" w:rsidRPr="00335931">
              <w:t xml:space="preserve">supportive </w:t>
            </w:r>
            <w:r w:rsidR="00335931">
              <w:t xml:space="preserve">text states </w:t>
            </w:r>
            <w:r w:rsidR="00335931" w:rsidRPr="00335931">
              <w:t>waiting 7</w:t>
            </w:r>
            <w:r w:rsidR="005F5D16" w:rsidRPr="001D5738">
              <w:rPr>
                <w:rFonts w:cs="Arial"/>
              </w:rPr>
              <w:t>–</w:t>
            </w:r>
            <w:r w:rsidR="00335931" w:rsidRPr="00335931">
              <w:t xml:space="preserve">9 days is unnecessary, but </w:t>
            </w:r>
            <w:r w:rsidR="00335931">
              <w:t>to</w:t>
            </w:r>
            <w:r w:rsidR="00335931" w:rsidRPr="00335931">
              <w:t xml:space="preserve"> generally avoid early implantation &lt;72 hours</w:t>
            </w:r>
            <w:r w:rsidR="00335931">
              <w:t xml:space="preserve">. </w:t>
            </w:r>
            <w:r w:rsidR="00706F9E">
              <w:t xml:space="preserve">Recent data show that AV node function can recover beyond </w:t>
            </w:r>
            <w:r w:rsidR="007D5BEC">
              <w:t xml:space="preserve">the </w:t>
            </w:r>
            <w:r w:rsidR="005F5D16">
              <w:t>seventh</w:t>
            </w:r>
            <w:r w:rsidR="00706F9E">
              <w:t xml:space="preserve"> postoperative day.</w:t>
            </w:r>
            <w:r w:rsidR="00706F9E">
              <w:rPr>
                <w:vertAlign w:val="superscript"/>
              </w:rPr>
              <w:t>50-53</w:t>
            </w:r>
          </w:p>
        </w:tc>
      </w:tr>
      <w:tr w:rsidR="00B069BB" w14:paraId="5A0E0F96" w14:textId="77777777" w:rsidTr="006165B4">
        <w:tc>
          <w:tcPr>
            <w:tcW w:w="2549" w:type="dxa"/>
          </w:tcPr>
          <w:p w14:paraId="4418BE18" w14:textId="6801BB60" w:rsidR="001F2B4D" w:rsidRDefault="001F2B4D" w:rsidP="003B475C"/>
        </w:tc>
        <w:tc>
          <w:tcPr>
            <w:tcW w:w="1939" w:type="dxa"/>
          </w:tcPr>
          <w:p w14:paraId="754914A3" w14:textId="77980B58" w:rsidR="001F2B4D" w:rsidRDefault="00ED032F" w:rsidP="003B475C">
            <w:r>
              <w:t>I</w:t>
            </w:r>
            <w:r w:rsidR="00410D0E">
              <w:t xml:space="preserve"> </w:t>
            </w:r>
            <w:r>
              <w:t>(#2)</w:t>
            </w:r>
          </w:p>
        </w:tc>
        <w:tc>
          <w:tcPr>
            <w:tcW w:w="2887" w:type="dxa"/>
          </w:tcPr>
          <w:p w14:paraId="0FA9AE33" w14:textId="31AC9480" w:rsidR="001F2B4D" w:rsidRDefault="00ED032F" w:rsidP="003B475C">
            <w:r>
              <w:t>New</w:t>
            </w:r>
          </w:p>
        </w:tc>
        <w:tc>
          <w:tcPr>
            <w:tcW w:w="5670" w:type="dxa"/>
          </w:tcPr>
          <w:p w14:paraId="7B8C8D1A" w14:textId="0F38E5E9" w:rsidR="001F2B4D" w:rsidRDefault="00ED032F" w:rsidP="003B475C">
            <w:r>
              <w:t>This is supported by references 52,</w:t>
            </w:r>
            <w:r w:rsidR="00F83F9F">
              <w:t xml:space="preserve"> </w:t>
            </w:r>
            <w:r>
              <w:t>54,</w:t>
            </w:r>
            <w:r w:rsidR="00F83F9F">
              <w:t xml:space="preserve"> and </w:t>
            </w:r>
            <w:r>
              <w:t>55</w:t>
            </w:r>
            <w:r w:rsidR="00445A5E">
              <w:t>.</w:t>
            </w:r>
          </w:p>
        </w:tc>
      </w:tr>
      <w:tr w:rsidR="003905CA" w14:paraId="2D512424" w14:textId="77777777" w:rsidTr="006165B4">
        <w:tc>
          <w:tcPr>
            <w:tcW w:w="2549" w:type="dxa"/>
          </w:tcPr>
          <w:p w14:paraId="46419EF2" w14:textId="77777777" w:rsidR="003905CA" w:rsidRDefault="003905CA" w:rsidP="003B475C"/>
        </w:tc>
        <w:tc>
          <w:tcPr>
            <w:tcW w:w="1939" w:type="dxa"/>
          </w:tcPr>
          <w:p w14:paraId="5E7B82ED" w14:textId="64B6F22A" w:rsidR="003905CA" w:rsidRDefault="003905CA" w:rsidP="003B475C">
            <w:r>
              <w:t>II</w:t>
            </w:r>
            <w:r w:rsidR="00F335F1">
              <w:t>b</w:t>
            </w:r>
            <w:r w:rsidR="00410D0E">
              <w:t xml:space="preserve"> </w:t>
            </w:r>
            <w:r>
              <w:t>(#1)</w:t>
            </w:r>
          </w:p>
        </w:tc>
        <w:tc>
          <w:tcPr>
            <w:tcW w:w="2887" w:type="dxa"/>
          </w:tcPr>
          <w:p w14:paraId="2ED1EB45" w14:textId="363E2790" w:rsidR="003905CA" w:rsidRDefault="003905CA" w:rsidP="003B475C">
            <w:pPr>
              <w:rPr>
                <w:vertAlign w:val="superscript"/>
              </w:rPr>
            </w:pPr>
            <w:r>
              <w:t xml:space="preserve">Change from 2012 </w:t>
            </w:r>
            <w:r w:rsidR="005B78AE">
              <w:t xml:space="preserve">device </w:t>
            </w:r>
            <w:r>
              <w:t>guideline</w:t>
            </w:r>
            <w:r w:rsidR="00EA72E3">
              <w:t xml:space="preserve"> update</w:t>
            </w:r>
            <w:r>
              <w:rPr>
                <w:vertAlign w:val="superscript"/>
              </w:rPr>
              <w:t>7</w:t>
            </w:r>
          </w:p>
          <w:p w14:paraId="435AB635" w14:textId="32776ED5" w:rsidR="003905CA" w:rsidRDefault="00A036AC" w:rsidP="003B475C">
            <w:r>
              <w:rPr>
                <w:rFonts w:ascii="Times New Roman" w:hAnsi="Times New Roman" w:cs="Times New Roman"/>
              </w:rPr>
              <w:t xml:space="preserve">• </w:t>
            </w:r>
            <w:r>
              <w:t>T</w:t>
            </w:r>
            <w:r w:rsidR="00C25B3A">
              <w:t xml:space="preserve">o </w:t>
            </w:r>
            <w:r w:rsidR="00F335F1">
              <w:t xml:space="preserve">class </w:t>
            </w:r>
            <w:r w:rsidR="003905CA">
              <w:t>II</w:t>
            </w:r>
            <w:r w:rsidR="00F335F1">
              <w:t>b</w:t>
            </w:r>
            <w:r w:rsidR="003905CA">
              <w:t xml:space="preserve"> from </w:t>
            </w:r>
            <w:r w:rsidR="00F335F1">
              <w:t xml:space="preserve">class </w:t>
            </w:r>
            <w:proofErr w:type="spellStart"/>
            <w:r w:rsidR="003905CA">
              <w:t>II</w:t>
            </w:r>
            <w:r w:rsidR="00F335F1">
              <w:t>a</w:t>
            </w:r>
            <w:proofErr w:type="spellEnd"/>
          </w:p>
        </w:tc>
        <w:tc>
          <w:tcPr>
            <w:tcW w:w="5670" w:type="dxa"/>
          </w:tcPr>
          <w:p w14:paraId="0A0CEF9E" w14:textId="11B2B0E4" w:rsidR="003905CA" w:rsidRDefault="003905CA" w:rsidP="003B475C">
            <w:r>
              <w:t>Strength of recommendation is reduced</w:t>
            </w:r>
            <w:r w:rsidR="00445A5E">
              <w:t>,</w:t>
            </w:r>
            <w:r>
              <w:t xml:space="preserve"> as syncope may occur due to causes unrelated to transient postoperative AV block.</w:t>
            </w:r>
          </w:p>
        </w:tc>
      </w:tr>
      <w:tr w:rsidR="00B069BB" w14:paraId="5E3FA588" w14:textId="77777777" w:rsidTr="006165B4">
        <w:tc>
          <w:tcPr>
            <w:tcW w:w="2549" w:type="dxa"/>
          </w:tcPr>
          <w:p w14:paraId="5C8D30B5" w14:textId="77777777" w:rsidR="001F2B4D" w:rsidRDefault="001F2B4D" w:rsidP="003B475C"/>
        </w:tc>
        <w:tc>
          <w:tcPr>
            <w:tcW w:w="1939" w:type="dxa"/>
          </w:tcPr>
          <w:p w14:paraId="6878D21E" w14:textId="2AE3BAD9" w:rsidR="001F2B4D" w:rsidRDefault="00ED032F" w:rsidP="003B475C">
            <w:r>
              <w:t>II</w:t>
            </w:r>
            <w:r w:rsidR="00F335F1">
              <w:t>b</w:t>
            </w:r>
            <w:r w:rsidR="00410D0E">
              <w:t xml:space="preserve"> </w:t>
            </w:r>
            <w:r>
              <w:t>(#2)</w:t>
            </w:r>
          </w:p>
        </w:tc>
        <w:tc>
          <w:tcPr>
            <w:tcW w:w="2887" w:type="dxa"/>
          </w:tcPr>
          <w:p w14:paraId="7E21C6ED" w14:textId="2E0148A1" w:rsidR="001F2B4D" w:rsidRDefault="00ED032F" w:rsidP="003B475C">
            <w:r>
              <w:t>New</w:t>
            </w:r>
          </w:p>
        </w:tc>
        <w:tc>
          <w:tcPr>
            <w:tcW w:w="5670" w:type="dxa"/>
          </w:tcPr>
          <w:p w14:paraId="70D95FDD" w14:textId="7B9214DD" w:rsidR="001F2B4D" w:rsidRDefault="001F613C" w:rsidP="003B475C">
            <w:r>
              <w:t>Consensus of the writing committee</w:t>
            </w:r>
            <w:r w:rsidR="00460166">
              <w:t>:</w:t>
            </w:r>
            <w:r>
              <w:t xml:space="preserve"> </w:t>
            </w:r>
            <w:r w:rsidR="00225B38">
              <w:t>A</w:t>
            </w:r>
            <w:r w:rsidR="00EB365F">
              <w:t xml:space="preserve"> postoperative waiting period of 7 days may not be necessary in </w:t>
            </w:r>
            <w:r w:rsidR="00EB365F" w:rsidRPr="00C25B3A">
              <w:rPr>
                <w:i/>
              </w:rPr>
              <w:t>select</w:t>
            </w:r>
            <w:r w:rsidR="00DE3ED1" w:rsidRPr="00C25B3A">
              <w:rPr>
                <w:i/>
              </w:rPr>
              <w:t>ed</w:t>
            </w:r>
            <w:r w:rsidR="00EB365F">
              <w:t xml:space="preserve"> cases of postoperative AV block when there is </w:t>
            </w:r>
            <w:r w:rsidR="00077A0D">
              <w:lastRenderedPageBreak/>
              <w:t>a</w:t>
            </w:r>
            <w:r w:rsidR="00410D0E">
              <w:t xml:space="preserve"> high probability</w:t>
            </w:r>
            <w:r w:rsidR="00077A0D">
              <w:t xml:space="preserve"> </w:t>
            </w:r>
            <w:r w:rsidR="00EB365F">
              <w:t xml:space="preserve">of </w:t>
            </w:r>
            <w:r w:rsidR="00720FF7">
              <w:t>significant</w:t>
            </w:r>
            <w:r w:rsidR="00EB365F">
              <w:t xml:space="preserve"> </w:t>
            </w:r>
            <w:r w:rsidR="00C25B3A">
              <w:t xml:space="preserve">surgical </w:t>
            </w:r>
            <w:r w:rsidR="00EB365F">
              <w:t>damage to the conduction system.</w:t>
            </w:r>
            <w:r w:rsidR="00720FF7">
              <w:t xml:space="preserve"> </w:t>
            </w:r>
            <w:r w:rsidR="005B78AE">
              <w:t xml:space="preserve">The </w:t>
            </w:r>
            <w:r w:rsidR="007A5B44">
              <w:t xml:space="preserve">2018 </w:t>
            </w:r>
            <w:r w:rsidR="006165B4">
              <w:t>B</w:t>
            </w:r>
            <w:r w:rsidR="001B2AA9">
              <w:t xml:space="preserve">radycardia </w:t>
            </w:r>
            <w:r w:rsidR="007A5B44">
              <w:t>guideline</w:t>
            </w:r>
            <w:r w:rsidR="007A5B44">
              <w:rPr>
                <w:vertAlign w:val="superscript"/>
              </w:rPr>
              <w:t xml:space="preserve">2 </w:t>
            </w:r>
            <w:r w:rsidR="007A5B44" w:rsidRPr="00335931">
              <w:t xml:space="preserve">supportive </w:t>
            </w:r>
            <w:r w:rsidR="007A5B44">
              <w:t xml:space="preserve">text states </w:t>
            </w:r>
            <w:r w:rsidR="007A5B44" w:rsidRPr="00335931">
              <w:t>waiting 7</w:t>
            </w:r>
            <w:r w:rsidR="005B78AE" w:rsidRPr="001D5738">
              <w:rPr>
                <w:rFonts w:cs="Arial"/>
              </w:rPr>
              <w:t>–</w:t>
            </w:r>
            <w:r w:rsidR="007A5B44" w:rsidRPr="00335931">
              <w:t>9 days is unnecessary</w:t>
            </w:r>
            <w:r w:rsidR="007A5B44">
              <w:t>.</w:t>
            </w:r>
          </w:p>
        </w:tc>
      </w:tr>
      <w:tr w:rsidR="00B069BB" w14:paraId="3B9A2EE1" w14:textId="77777777" w:rsidTr="006165B4">
        <w:tc>
          <w:tcPr>
            <w:tcW w:w="2549" w:type="dxa"/>
          </w:tcPr>
          <w:p w14:paraId="23AC870F" w14:textId="77777777" w:rsidR="001F2B4D" w:rsidRDefault="001F2B4D" w:rsidP="003B475C"/>
        </w:tc>
        <w:tc>
          <w:tcPr>
            <w:tcW w:w="1939" w:type="dxa"/>
          </w:tcPr>
          <w:p w14:paraId="4ABE432C" w14:textId="3EE6C97D" w:rsidR="001F2B4D" w:rsidRDefault="00ED032F" w:rsidP="003B475C">
            <w:r>
              <w:t>II</w:t>
            </w:r>
            <w:r w:rsidR="00F335F1">
              <w:t>b</w:t>
            </w:r>
            <w:r w:rsidR="00C25B3A">
              <w:t xml:space="preserve"> </w:t>
            </w:r>
            <w:r>
              <w:t>(#3)</w:t>
            </w:r>
          </w:p>
        </w:tc>
        <w:tc>
          <w:tcPr>
            <w:tcW w:w="2887" w:type="dxa"/>
          </w:tcPr>
          <w:p w14:paraId="0023D6FD" w14:textId="18A687A9" w:rsidR="001F2B4D" w:rsidRDefault="00ED032F" w:rsidP="003B475C">
            <w:r>
              <w:t>New</w:t>
            </w:r>
          </w:p>
        </w:tc>
        <w:tc>
          <w:tcPr>
            <w:tcW w:w="5670" w:type="dxa"/>
          </w:tcPr>
          <w:p w14:paraId="79FB5FE1" w14:textId="3E14E7F4" w:rsidR="001F2B4D" w:rsidRDefault="001F613C" w:rsidP="003B475C">
            <w:r>
              <w:t>Consensus of the writing committee</w:t>
            </w:r>
            <w:r w:rsidR="00460166">
              <w:t>:</w:t>
            </w:r>
            <w:r>
              <w:t xml:space="preserve"> </w:t>
            </w:r>
            <w:r w:rsidR="00225B38">
              <w:t>I</w:t>
            </w:r>
            <w:r>
              <w:t>n</w:t>
            </w:r>
            <w:r w:rsidR="00EB365F">
              <w:t xml:space="preserve"> CHD substrates prone to progressive conduction abnormalities, transient </w:t>
            </w:r>
            <w:r w:rsidR="003F4B03">
              <w:t xml:space="preserve">surgical </w:t>
            </w:r>
            <w:r w:rsidR="00EB365F">
              <w:t xml:space="preserve">damage to the conduction system may </w:t>
            </w:r>
            <w:r w:rsidR="003F4B03">
              <w:t xml:space="preserve">predispose to further impairment of the conduction system. </w:t>
            </w:r>
          </w:p>
        </w:tc>
      </w:tr>
      <w:tr w:rsidR="00B069BB" w14:paraId="13AA18FA" w14:textId="77777777" w:rsidTr="006165B4">
        <w:tc>
          <w:tcPr>
            <w:tcW w:w="2549" w:type="dxa"/>
          </w:tcPr>
          <w:p w14:paraId="4534E18B" w14:textId="2E37553A" w:rsidR="001F2B4D" w:rsidRDefault="002737F8" w:rsidP="003B475C">
            <w:r>
              <w:t xml:space="preserve">2.6 </w:t>
            </w:r>
            <w:r w:rsidR="00B233A8">
              <w:t>Congenital heart disease</w:t>
            </w:r>
            <w:r w:rsidR="00460676">
              <w:t>: Specif</w:t>
            </w:r>
            <w:r w:rsidR="006165B4">
              <w:t>i</w:t>
            </w:r>
            <w:r w:rsidR="00460676">
              <w:t>c considerations</w:t>
            </w:r>
          </w:p>
        </w:tc>
        <w:tc>
          <w:tcPr>
            <w:tcW w:w="1939" w:type="dxa"/>
          </w:tcPr>
          <w:p w14:paraId="2505446F" w14:textId="2523568B" w:rsidR="001F2B4D" w:rsidRDefault="002737F8" w:rsidP="003B475C">
            <w:r>
              <w:t>I</w:t>
            </w:r>
          </w:p>
        </w:tc>
        <w:tc>
          <w:tcPr>
            <w:tcW w:w="2887" w:type="dxa"/>
          </w:tcPr>
          <w:p w14:paraId="4618296A" w14:textId="646555F0" w:rsidR="002737F8" w:rsidRDefault="002737F8" w:rsidP="002737F8">
            <w:pPr>
              <w:rPr>
                <w:vertAlign w:val="superscript"/>
              </w:rPr>
            </w:pPr>
            <w:r>
              <w:t xml:space="preserve">Modification from 2012 </w:t>
            </w:r>
            <w:r w:rsidR="008A0E2C">
              <w:t xml:space="preserve">device </w:t>
            </w:r>
            <w:r>
              <w:t>guideline</w:t>
            </w:r>
            <w:r w:rsidR="00C25B3A">
              <w:t xml:space="preserve"> update</w:t>
            </w:r>
            <w:r>
              <w:rPr>
                <w:vertAlign w:val="superscript"/>
              </w:rPr>
              <w:t>7</w:t>
            </w:r>
          </w:p>
          <w:p w14:paraId="561F0FDE" w14:textId="5D192B6D" w:rsidR="001F2B4D" w:rsidRDefault="00A036AC" w:rsidP="003B475C">
            <w:r>
              <w:rPr>
                <w:rFonts w:ascii="Times New Roman" w:hAnsi="Times New Roman" w:cs="Times New Roman"/>
              </w:rPr>
              <w:t xml:space="preserve">• </w:t>
            </w:r>
            <w:r w:rsidR="002737F8">
              <w:t xml:space="preserve">Heart </w:t>
            </w:r>
            <w:r w:rsidR="008A0E2C" w:rsidRPr="002737F8">
              <w:t xml:space="preserve">rate </w:t>
            </w:r>
            <w:r w:rsidR="002737F8" w:rsidRPr="002737F8">
              <w:t>threshold changed to 60</w:t>
            </w:r>
            <w:r w:rsidR="008A0E2C" w:rsidRPr="001D5738">
              <w:rPr>
                <w:rFonts w:cs="Arial"/>
              </w:rPr>
              <w:t>–</w:t>
            </w:r>
            <w:r w:rsidR="002737F8" w:rsidRPr="002737F8">
              <w:t xml:space="preserve">70 </w:t>
            </w:r>
            <w:r w:rsidR="002737F8">
              <w:t>bpm</w:t>
            </w:r>
          </w:p>
        </w:tc>
        <w:tc>
          <w:tcPr>
            <w:tcW w:w="5670" w:type="dxa"/>
          </w:tcPr>
          <w:p w14:paraId="00B0A4AC" w14:textId="29A3CED0" w:rsidR="001F2B4D" w:rsidRDefault="002737F8" w:rsidP="003B475C">
            <w:r>
              <w:t>H</w:t>
            </w:r>
            <w:r w:rsidR="008A0E2C">
              <w:t>eart rate</w:t>
            </w:r>
            <w:r>
              <w:t xml:space="preserve"> threshold changed </w:t>
            </w:r>
            <w:r w:rsidRPr="002737F8">
              <w:t xml:space="preserve">to allow </w:t>
            </w:r>
            <w:r>
              <w:t>clinical</w:t>
            </w:r>
            <w:r w:rsidRPr="002737F8">
              <w:t xml:space="preserve"> judgment in view of varying </w:t>
            </w:r>
            <w:r w:rsidR="00085344">
              <w:t xml:space="preserve">complexities </w:t>
            </w:r>
            <w:r w:rsidRPr="002737F8">
              <w:t>of CHD</w:t>
            </w:r>
            <w:r w:rsidR="00EA20D4">
              <w:t>.</w:t>
            </w:r>
          </w:p>
        </w:tc>
      </w:tr>
      <w:tr w:rsidR="00B069BB" w14:paraId="408EF1B4" w14:textId="77777777" w:rsidTr="006165B4">
        <w:tc>
          <w:tcPr>
            <w:tcW w:w="2549" w:type="dxa"/>
          </w:tcPr>
          <w:p w14:paraId="4EE0CD78" w14:textId="0C41CFB7" w:rsidR="001F2B4D" w:rsidRDefault="007A5B44" w:rsidP="003B475C">
            <w:r>
              <w:t xml:space="preserve">2.7 Post </w:t>
            </w:r>
            <w:r w:rsidR="00B233A8">
              <w:t>cardiac transplantation</w:t>
            </w:r>
          </w:p>
        </w:tc>
        <w:tc>
          <w:tcPr>
            <w:tcW w:w="1939" w:type="dxa"/>
          </w:tcPr>
          <w:p w14:paraId="2F2D0F53" w14:textId="53CA6444" w:rsidR="001F2B4D" w:rsidRDefault="00F548A5" w:rsidP="003B475C">
            <w:r>
              <w:t>II</w:t>
            </w:r>
            <w:r w:rsidR="00F335F1">
              <w:t>b</w:t>
            </w:r>
            <w:r>
              <w:t xml:space="preserve"> (#2)</w:t>
            </w:r>
          </w:p>
        </w:tc>
        <w:tc>
          <w:tcPr>
            <w:tcW w:w="2887" w:type="dxa"/>
          </w:tcPr>
          <w:p w14:paraId="6EB1ACF4" w14:textId="07A36E43" w:rsidR="001F2B4D" w:rsidRDefault="00F548A5" w:rsidP="003B475C">
            <w:r>
              <w:t>New</w:t>
            </w:r>
          </w:p>
        </w:tc>
        <w:tc>
          <w:tcPr>
            <w:tcW w:w="5670" w:type="dxa"/>
          </w:tcPr>
          <w:p w14:paraId="3145099F" w14:textId="37BDC2E1" w:rsidR="001F2B4D" w:rsidRPr="007B1CC9" w:rsidRDefault="00B6710C" w:rsidP="003B475C">
            <w:pPr>
              <w:rPr>
                <w:vertAlign w:val="superscript"/>
              </w:rPr>
            </w:pPr>
            <w:r>
              <w:t xml:space="preserve">Symptomatic bradycardia </w:t>
            </w:r>
            <w:r w:rsidR="00AE0B2F">
              <w:t xml:space="preserve">or AV block </w:t>
            </w:r>
            <w:r w:rsidR="00131FE7">
              <w:t>may be the first symptoms of</w:t>
            </w:r>
            <w:r w:rsidR="00AE0B2F">
              <w:t xml:space="preserve"> coronary artery vasculopathy</w:t>
            </w:r>
            <w:r>
              <w:t xml:space="preserve"> in some cases</w:t>
            </w:r>
            <w:r w:rsidR="00AE0B2F">
              <w:t>.</w:t>
            </w:r>
            <w:r w:rsidR="007B1CC9">
              <w:rPr>
                <w:vertAlign w:val="superscript"/>
              </w:rPr>
              <w:t>79,84</w:t>
            </w:r>
          </w:p>
        </w:tc>
      </w:tr>
      <w:tr w:rsidR="00B069BB" w14:paraId="195A3C00" w14:textId="77777777" w:rsidTr="006165B4">
        <w:tc>
          <w:tcPr>
            <w:tcW w:w="2549" w:type="dxa"/>
          </w:tcPr>
          <w:p w14:paraId="61898CD7" w14:textId="2E431CFB" w:rsidR="001F2B4D" w:rsidRDefault="00B6710C" w:rsidP="003B475C">
            <w:r>
              <w:t xml:space="preserve">2.8 </w:t>
            </w:r>
            <w:r w:rsidR="001B2AA9" w:rsidRPr="006165B4">
              <w:rPr>
                <w:bCs/>
              </w:rPr>
              <w:t>Neuromuscular diseases and other progressive cardiac conduction diseases</w:t>
            </w:r>
          </w:p>
        </w:tc>
        <w:tc>
          <w:tcPr>
            <w:tcW w:w="1939" w:type="dxa"/>
          </w:tcPr>
          <w:p w14:paraId="46DB512B" w14:textId="42428059" w:rsidR="001F2B4D" w:rsidRDefault="00B6710C" w:rsidP="003B475C">
            <w:r>
              <w:t>I</w:t>
            </w:r>
            <w:r w:rsidR="00085344">
              <w:t xml:space="preserve"> </w:t>
            </w:r>
            <w:r>
              <w:t>(#2)</w:t>
            </w:r>
          </w:p>
        </w:tc>
        <w:tc>
          <w:tcPr>
            <w:tcW w:w="2887" w:type="dxa"/>
          </w:tcPr>
          <w:p w14:paraId="1FC5FD8B" w14:textId="79AE03D8" w:rsidR="00B6710C" w:rsidRDefault="00335931" w:rsidP="00B6710C">
            <w:pPr>
              <w:rPr>
                <w:vertAlign w:val="superscript"/>
              </w:rPr>
            </w:pPr>
            <w:r>
              <w:t xml:space="preserve">Change </w:t>
            </w:r>
            <w:r w:rsidR="00B6710C">
              <w:t xml:space="preserve">from 2018 </w:t>
            </w:r>
            <w:r w:rsidR="001B2AA9">
              <w:t xml:space="preserve">bradycardia </w:t>
            </w:r>
            <w:r w:rsidR="00B6710C">
              <w:t>guideline</w:t>
            </w:r>
            <w:r w:rsidR="00B6710C">
              <w:rPr>
                <w:vertAlign w:val="superscript"/>
              </w:rPr>
              <w:t>2</w:t>
            </w:r>
          </w:p>
          <w:p w14:paraId="66C5C319" w14:textId="70630D35" w:rsidR="001F2B4D" w:rsidRDefault="00A036AC" w:rsidP="003B475C">
            <w:r>
              <w:rPr>
                <w:rFonts w:ascii="Times New Roman" w:hAnsi="Times New Roman" w:cs="Times New Roman"/>
              </w:rPr>
              <w:t xml:space="preserve">• </w:t>
            </w:r>
            <w:r w:rsidR="004255EF">
              <w:t>T</w:t>
            </w:r>
            <w:r w:rsidR="00C25B3A">
              <w:t xml:space="preserve">o </w:t>
            </w:r>
            <w:r w:rsidR="00EA39AB">
              <w:t xml:space="preserve">class </w:t>
            </w:r>
            <w:r w:rsidR="00335931">
              <w:t xml:space="preserve">I from </w:t>
            </w:r>
            <w:r w:rsidR="00EA39AB">
              <w:t xml:space="preserve">class </w:t>
            </w:r>
            <w:proofErr w:type="spellStart"/>
            <w:r w:rsidR="00335931">
              <w:t>II</w:t>
            </w:r>
            <w:r w:rsidR="00F335F1">
              <w:t>a</w:t>
            </w:r>
            <w:proofErr w:type="spellEnd"/>
            <w:r w:rsidR="00B6710C">
              <w:t xml:space="preserve"> </w:t>
            </w:r>
          </w:p>
        </w:tc>
        <w:tc>
          <w:tcPr>
            <w:tcW w:w="5670" w:type="dxa"/>
          </w:tcPr>
          <w:p w14:paraId="4BDA862D" w14:textId="22FE95DA" w:rsidR="001F2B4D" w:rsidRDefault="00EA39AB" w:rsidP="003B475C">
            <w:r w:rsidRPr="00EA39AB">
              <w:t>Kearns-Sayre syndrome</w:t>
            </w:r>
            <w:r w:rsidR="00B6710C">
              <w:t xml:space="preserve"> has early onset in childhood and high risk of AV block and SCD due to the unpredictable progression of conduction disease.</w:t>
            </w:r>
            <w:r w:rsidR="00511CD7" w:rsidRPr="00511CD7">
              <w:rPr>
                <w:vertAlign w:val="superscript"/>
              </w:rPr>
              <w:t>97,98</w:t>
            </w:r>
            <w:r w:rsidR="00B6710C">
              <w:t xml:space="preserve"> </w:t>
            </w:r>
          </w:p>
        </w:tc>
      </w:tr>
      <w:tr w:rsidR="00B069BB" w14:paraId="7DD281B3" w14:textId="77777777" w:rsidTr="006165B4">
        <w:tc>
          <w:tcPr>
            <w:tcW w:w="2549" w:type="dxa"/>
          </w:tcPr>
          <w:p w14:paraId="4276974F" w14:textId="77777777" w:rsidR="001F2B4D" w:rsidRDefault="001F2B4D" w:rsidP="003B475C"/>
        </w:tc>
        <w:tc>
          <w:tcPr>
            <w:tcW w:w="1939" w:type="dxa"/>
          </w:tcPr>
          <w:p w14:paraId="35BC82B3" w14:textId="374ECD5C" w:rsidR="001F2B4D" w:rsidRDefault="00B6710C" w:rsidP="003B475C">
            <w:r>
              <w:t>I</w:t>
            </w:r>
            <w:r w:rsidR="00085344">
              <w:t xml:space="preserve"> </w:t>
            </w:r>
            <w:r>
              <w:t>(#</w:t>
            </w:r>
            <w:r w:rsidR="008E31DD">
              <w:t>2</w:t>
            </w:r>
            <w:r>
              <w:t>)</w:t>
            </w:r>
          </w:p>
        </w:tc>
        <w:tc>
          <w:tcPr>
            <w:tcW w:w="2887" w:type="dxa"/>
          </w:tcPr>
          <w:p w14:paraId="1C322C5B" w14:textId="1E666174" w:rsidR="00B6710C" w:rsidRDefault="00B6710C" w:rsidP="00B6710C">
            <w:pPr>
              <w:rPr>
                <w:vertAlign w:val="superscript"/>
              </w:rPr>
            </w:pPr>
            <w:r>
              <w:t>Change from 2018</w:t>
            </w:r>
            <w:r w:rsidR="00C25B3A">
              <w:t xml:space="preserve"> </w:t>
            </w:r>
            <w:r w:rsidR="001B2AA9">
              <w:t xml:space="preserve">bradycardia </w:t>
            </w:r>
            <w:r>
              <w:t>guideline</w:t>
            </w:r>
            <w:r>
              <w:rPr>
                <w:vertAlign w:val="superscript"/>
              </w:rPr>
              <w:t>2</w:t>
            </w:r>
          </w:p>
          <w:p w14:paraId="1BEED76F" w14:textId="0B2B30BF" w:rsidR="001F2B4D" w:rsidRDefault="00A036AC" w:rsidP="003B475C">
            <w:r>
              <w:rPr>
                <w:rFonts w:ascii="Times New Roman" w:hAnsi="Times New Roman" w:cs="Times New Roman"/>
              </w:rPr>
              <w:t xml:space="preserve">• </w:t>
            </w:r>
            <w:r w:rsidR="004255EF">
              <w:t>T</w:t>
            </w:r>
            <w:r w:rsidR="00C25B3A">
              <w:t xml:space="preserve">o </w:t>
            </w:r>
            <w:r w:rsidR="00F335F1">
              <w:t xml:space="preserve">class </w:t>
            </w:r>
            <w:proofErr w:type="spellStart"/>
            <w:r w:rsidR="00B6710C">
              <w:t>II</w:t>
            </w:r>
            <w:r w:rsidR="00F335F1">
              <w:t>a</w:t>
            </w:r>
            <w:proofErr w:type="spellEnd"/>
            <w:r w:rsidR="00B6710C">
              <w:t xml:space="preserve"> </w:t>
            </w:r>
            <w:r w:rsidR="00A9106E">
              <w:t>from</w:t>
            </w:r>
            <w:r w:rsidR="00B6710C">
              <w:t xml:space="preserve"> II</w:t>
            </w:r>
            <w:r w:rsidR="00F335F1">
              <w:t>b</w:t>
            </w:r>
          </w:p>
        </w:tc>
        <w:tc>
          <w:tcPr>
            <w:tcW w:w="5670" w:type="dxa"/>
          </w:tcPr>
          <w:p w14:paraId="34CB7EF6" w14:textId="018B29EB" w:rsidR="001F2B4D" w:rsidRPr="00511CD7" w:rsidRDefault="00085344" w:rsidP="00C922BC">
            <w:pPr>
              <w:rPr>
                <w:vertAlign w:val="superscript"/>
              </w:rPr>
            </w:pPr>
            <w:r>
              <w:t>COR</w:t>
            </w:r>
            <w:r w:rsidR="00C922BC">
              <w:t xml:space="preserve"> is </w:t>
            </w:r>
            <w:r w:rsidR="001B6ABA">
              <w:t>stronger</w:t>
            </w:r>
            <w:r w:rsidR="00C922BC">
              <w:t xml:space="preserve"> given that the risk of developing cardiac disease including progressive AV or intraventricular conduction</w:t>
            </w:r>
            <w:r>
              <w:t xml:space="preserve"> </w:t>
            </w:r>
            <w:r w:rsidR="00C922BC">
              <w:t xml:space="preserve">defects and tachyarrhythmias is </w:t>
            </w:r>
            <w:r w:rsidR="00C922BC" w:rsidRPr="00C922BC">
              <w:t>higher in younger patients</w:t>
            </w:r>
            <w:r w:rsidR="00C922BC">
              <w:t xml:space="preserve"> with myotonic dystrophy type 1.</w:t>
            </w:r>
            <w:r w:rsidR="00511CD7">
              <w:rPr>
                <w:vertAlign w:val="superscript"/>
              </w:rPr>
              <w:t>88,9</w:t>
            </w:r>
            <w:r w:rsidR="002A4FAD">
              <w:rPr>
                <w:vertAlign w:val="superscript"/>
              </w:rPr>
              <w:t>0</w:t>
            </w:r>
          </w:p>
        </w:tc>
      </w:tr>
      <w:tr w:rsidR="00B069BB" w14:paraId="2CEC27E4" w14:textId="77777777" w:rsidTr="006165B4">
        <w:tc>
          <w:tcPr>
            <w:tcW w:w="2549" w:type="dxa"/>
          </w:tcPr>
          <w:p w14:paraId="00D71592" w14:textId="77777777" w:rsidR="001F2B4D" w:rsidRDefault="001F2B4D" w:rsidP="003B475C"/>
        </w:tc>
        <w:tc>
          <w:tcPr>
            <w:tcW w:w="1939" w:type="dxa"/>
          </w:tcPr>
          <w:p w14:paraId="0FC6A42B" w14:textId="12F9D00E" w:rsidR="001F2B4D" w:rsidRDefault="00C922BC" w:rsidP="003B475C">
            <w:proofErr w:type="spellStart"/>
            <w:r>
              <w:t>II</w:t>
            </w:r>
            <w:r w:rsidR="00F335F1">
              <w:t>a</w:t>
            </w:r>
            <w:proofErr w:type="spellEnd"/>
            <w:r>
              <w:t xml:space="preserve"> (#2)</w:t>
            </w:r>
          </w:p>
        </w:tc>
        <w:tc>
          <w:tcPr>
            <w:tcW w:w="2887" w:type="dxa"/>
          </w:tcPr>
          <w:p w14:paraId="27CEFA7A" w14:textId="25178227" w:rsidR="00C922BC" w:rsidRDefault="00C922BC" w:rsidP="00C922BC">
            <w:pPr>
              <w:rPr>
                <w:vertAlign w:val="superscript"/>
              </w:rPr>
            </w:pPr>
            <w:r>
              <w:t xml:space="preserve">Modification from </w:t>
            </w:r>
            <w:r w:rsidR="001B2AA9">
              <w:t xml:space="preserve">2018 bradycardia </w:t>
            </w:r>
            <w:r>
              <w:t>guideline</w:t>
            </w:r>
            <w:r>
              <w:rPr>
                <w:vertAlign w:val="superscript"/>
              </w:rPr>
              <w:t>2</w:t>
            </w:r>
          </w:p>
          <w:p w14:paraId="61152D6D" w14:textId="2F33A723" w:rsidR="00C922BC" w:rsidRPr="00C922BC" w:rsidRDefault="00A036AC" w:rsidP="00C922BC">
            <w:r>
              <w:rPr>
                <w:rFonts w:ascii="Times New Roman" w:hAnsi="Times New Roman" w:cs="Times New Roman"/>
              </w:rPr>
              <w:t xml:space="preserve">• </w:t>
            </w:r>
            <w:r w:rsidR="00C922BC">
              <w:t xml:space="preserve">PR &gt;240 </w:t>
            </w:r>
            <w:proofErr w:type="spellStart"/>
            <w:r w:rsidR="00C922BC">
              <w:t>ms</w:t>
            </w:r>
            <w:proofErr w:type="spellEnd"/>
            <w:r w:rsidR="00C922BC">
              <w:t xml:space="preserve"> </w:t>
            </w:r>
            <w:r w:rsidR="00C922BC" w:rsidRPr="00C12EB8">
              <w:rPr>
                <w:i/>
              </w:rPr>
              <w:t>and/or</w:t>
            </w:r>
            <w:r w:rsidR="00C922BC">
              <w:t xml:space="preserve"> </w:t>
            </w:r>
            <w:r w:rsidR="001B2AA9">
              <w:t>left bundle branch block</w:t>
            </w:r>
          </w:p>
          <w:p w14:paraId="5294CE13" w14:textId="77777777" w:rsidR="001F2B4D" w:rsidRDefault="001F2B4D" w:rsidP="003B475C"/>
        </w:tc>
        <w:tc>
          <w:tcPr>
            <w:tcW w:w="5670" w:type="dxa"/>
          </w:tcPr>
          <w:p w14:paraId="31B2A18B" w14:textId="3F843BED" w:rsidR="001F2B4D" w:rsidRDefault="00C922BC" w:rsidP="003B475C">
            <w:r>
              <w:t xml:space="preserve">Either marked </w:t>
            </w:r>
            <w:r w:rsidR="001B2AA9">
              <w:t>first-</w:t>
            </w:r>
            <w:r>
              <w:t xml:space="preserve">degree AV block </w:t>
            </w:r>
            <w:r w:rsidRPr="00335931">
              <w:rPr>
                <w:b/>
                <w:i/>
              </w:rPr>
              <w:t>or</w:t>
            </w:r>
            <w:r>
              <w:t xml:space="preserve"> development of </w:t>
            </w:r>
            <w:r w:rsidR="001B2AA9" w:rsidRPr="001B2AA9">
              <w:t>left bundle branch block</w:t>
            </w:r>
            <w:r>
              <w:t xml:space="preserve"> is suggestive of conduction disease</w:t>
            </w:r>
            <w:r w:rsidR="001B2AA9">
              <w:t>,</w:t>
            </w:r>
            <w:r>
              <w:t xml:space="preserve"> and device intervention at this stage may be reasonable ins</w:t>
            </w:r>
            <w:r w:rsidR="00085344">
              <w:t>t</w:t>
            </w:r>
            <w:r>
              <w:t xml:space="preserve">ead of waiting for further progression to a combination of  </w:t>
            </w:r>
            <w:r w:rsidR="001B2AA9">
              <w:t>first</w:t>
            </w:r>
            <w:r w:rsidR="00EA39AB">
              <w:t>-</w:t>
            </w:r>
            <w:r>
              <w:t xml:space="preserve">degree AV block and </w:t>
            </w:r>
            <w:r w:rsidR="001B2AA9" w:rsidRPr="001B2AA9">
              <w:t>left bundle branch block</w:t>
            </w:r>
            <w:r w:rsidR="001F613C">
              <w:t>.</w:t>
            </w:r>
          </w:p>
        </w:tc>
      </w:tr>
      <w:tr w:rsidR="00B069BB" w14:paraId="476F76CE" w14:textId="77777777" w:rsidTr="006165B4">
        <w:tc>
          <w:tcPr>
            <w:tcW w:w="2549" w:type="dxa"/>
          </w:tcPr>
          <w:p w14:paraId="366DA19C" w14:textId="77777777" w:rsidR="001F2B4D" w:rsidRDefault="001F2B4D" w:rsidP="003B475C"/>
        </w:tc>
        <w:tc>
          <w:tcPr>
            <w:tcW w:w="1939" w:type="dxa"/>
          </w:tcPr>
          <w:p w14:paraId="7AC319DC" w14:textId="4EFBD28E" w:rsidR="001F2B4D" w:rsidRDefault="00C922BC" w:rsidP="003B475C">
            <w:r>
              <w:t>II</w:t>
            </w:r>
            <w:r w:rsidR="00F335F1">
              <w:t>b</w:t>
            </w:r>
          </w:p>
        </w:tc>
        <w:tc>
          <w:tcPr>
            <w:tcW w:w="2887" w:type="dxa"/>
          </w:tcPr>
          <w:p w14:paraId="29C40A6E" w14:textId="3FD6AD93" w:rsidR="001F2B4D" w:rsidRDefault="00C922BC" w:rsidP="003B475C">
            <w:r>
              <w:t>New</w:t>
            </w:r>
          </w:p>
        </w:tc>
        <w:tc>
          <w:tcPr>
            <w:tcW w:w="5670" w:type="dxa"/>
          </w:tcPr>
          <w:p w14:paraId="60D0DB07" w14:textId="2586AB1D" w:rsidR="001F2B4D" w:rsidRPr="00511CD7" w:rsidRDefault="00C922BC" w:rsidP="003B475C">
            <w:pPr>
              <w:rPr>
                <w:vertAlign w:val="superscript"/>
              </w:rPr>
            </w:pPr>
            <w:r>
              <w:t>Prophylactic device therapy may be considered in select</w:t>
            </w:r>
            <w:r w:rsidR="00DE3ED1">
              <w:t>ed</w:t>
            </w:r>
            <w:r>
              <w:t xml:space="preserve"> high</w:t>
            </w:r>
            <w:r w:rsidR="005B4155">
              <w:t>-</w:t>
            </w:r>
            <w:r>
              <w:t xml:space="preserve">risk patients with </w:t>
            </w:r>
            <w:r w:rsidR="005B4155" w:rsidRPr="005B4155">
              <w:t xml:space="preserve">progressive </w:t>
            </w:r>
            <w:r w:rsidR="005B4155" w:rsidRPr="005B4155">
              <w:rPr>
                <w:bCs/>
              </w:rPr>
              <w:t xml:space="preserve">cardiac </w:t>
            </w:r>
            <w:r w:rsidR="005B4155" w:rsidRPr="005B4155">
              <w:lastRenderedPageBreak/>
              <w:t>conduction disease</w:t>
            </w:r>
            <w:r>
              <w:t xml:space="preserve"> due to the unpredictable progression of conduction disease.</w:t>
            </w:r>
            <w:r w:rsidR="00511CD7">
              <w:rPr>
                <w:vertAlign w:val="superscript"/>
              </w:rPr>
              <w:t>97,100</w:t>
            </w:r>
          </w:p>
        </w:tc>
      </w:tr>
      <w:tr w:rsidR="00B069BB" w14:paraId="55BD8DB7" w14:textId="77777777" w:rsidTr="006165B4">
        <w:tc>
          <w:tcPr>
            <w:tcW w:w="2549" w:type="dxa"/>
          </w:tcPr>
          <w:p w14:paraId="23574872" w14:textId="3A5F3B7F" w:rsidR="001F2B4D" w:rsidRDefault="001F613C" w:rsidP="003B475C">
            <w:r>
              <w:lastRenderedPageBreak/>
              <w:t xml:space="preserve">2.9 Neurocardiogenic </w:t>
            </w:r>
            <w:r w:rsidR="00F335F1">
              <w:t>syncope</w:t>
            </w:r>
          </w:p>
        </w:tc>
        <w:tc>
          <w:tcPr>
            <w:tcW w:w="1939" w:type="dxa"/>
          </w:tcPr>
          <w:p w14:paraId="1A2D9FD2" w14:textId="727A474F" w:rsidR="001F2B4D" w:rsidRDefault="001F613C" w:rsidP="003B475C">
            <w:proofErr w:type="spellStart"/>
            <w:r>
              <w:t>II</w:t>
            </w:r>
            <w:r w:rsidR="00F335F1">
              <w:t>a</w:t>
            </w:r>
            <w:proofErr w:type="spellEnd"/>
          </w:p>
        </w:tc>
        <w:tc>
          <w:tcPr>
            <w:tcW w:w="2887" w:type="dxa"/>
          </w:tcPr>
          <w:p w14:paraId="3023F359" w14:textId="31A179FF" w:rsidR="00C25B3A" w:rsidRDefault="00335931" w:rsidP="003B475C">
            <w:r>
              <w:t>Change from 2</w:t>
            </w:r>
            <w:r w:rsidR="00254B26">
              <w:t>017</w:t>
            </w:r>
            <w:r>
              <w:t xml:space="preserve"> </w:t>
            </w:r>
            <w:r w:rsidR="00F335F1">
              <w:t xml:space="preserve">syncope </w:t>
            </w:r>
            <w:r w:rsidRPr="00C25B3A">
              <w:t>gui</w:t>
            </w:r>
            <w:r w:rsidR="008E31DD" w:rsidRPr="00C25B3A">
              <w:t>d</w:t>
            </w:r>
            <w:r w:rsidRPr="00C25B3A">
              <w:t>eline</w:t>
            </w:r>
            <w:r w:rsidRPr="00C12EB8">
              <w:rPr>
                <w:vertAlign w:val="superscript"/>
              </w:rPr>
              <w:t>11</w:t>
            </w:r>
          </w:p>
          <w:p w14:paraId="0DEF8C9D" w14:textId="703EE416" w:rsidR="00335931" w:rsidRPr="00335931" w:rsidRDefault="00A036AC" w:rsidP="003B475C">
            <w:r>
              <w:rPr>
                <w:rFonts w:ascii="Times New Roman" w:hAnsi="Times New Roman" w:cs="Times New Roman"/>
              </w:rPr>
              <w:t xml:space="preserve">• </w:t>
            </w:r>
            <w:r w:rsidR="004255EF">
              <w:t>T</w:t>
            </w:r>
            <w:r w:rsidR="00C25B3A">
              <w:t xml:space="preserve">o </w:t>
            </w:r>
            <w:r w:rsidR="00F335F1" w:rsidRPr="00C25B3A">
              <w:t>class</w:t>
            </w:r>
            <w:r w:rsidR="00F335F1">
              <w:t xml:space="preserve"> </w:t>
            </w:r>
            <w:proofErr w:type="spellStart"/>
            <w:r w:rsidR="00335931">
              <w:t>II</w:t>
            </w:r>
            <w:r w:rsidR="00F335F1">
              <w:t>a</w:t>
            </w:r>
            <w:proofErr w:type="spellEnd"/>
            <w:r w:rsidR="00335931">
              <w:t xml:space="preserve"> from </w:t>
            </w:r>
            <w:r w:rsidR="00F335F1">
              <w:t xml:space="preserve">class </w:t>
            </w:r>
            <w:r w:rsidR="00335931">
              <w:t>II</w:t>
            </w:r>
            <w:r w:rsidR="00F335F1">
              <w:t>b</w:t>
            </w:r>
          </w:p>
          <w:p w14:paraId="6358ECBD" w14:textId="60468F2D" w:rsidR="00335931" w:rsidRPr="00335931" w:rsidRDefault="00335931" w:rsidP="003B475C">
            <w:pPr>
              <w:rPr>
                <w:vertAlign w:val="superscript"/>
              </w:rPr>
            </w:pPr>
          </w:p>
        </w:tc>
        <w:tc>
          <w:tcPr>
            <w:tcW w:w="5670" w:type="dxa"/>
          </w:tcPr>
          <w:p w14:paraId="657F0A5D" w14:textId="06A0F40E" w:rsidR="001F2B4D" w:rsidRDefault="00254B26" w:rsidP="003B475C">
            <w:r>
              <w:t>The COR is stronger</w:t>
            </w:r>
            <w:r w:rsidR="00460676">
              <w:t>,</w:t>
            </w:r>
            <w:r>
              <w:t xml:space="preserve"> as the recommendation </w:t>
            </w:r>
            <w:r w:rsidR="00D56287">
              <w:t>is qualified for patients with</w:t>
            </w:r>
            <w:r>
              <w:t xml:space="preserve"> “severe and recurrent spells</w:t>
            </w:r>
            <w:r w:rsidR="0062416E">
              <w:t>.</w:t>
            </w:r>
            <w:r>
              <w:t xml:space="preserve">” </w:t>
            </w:r>
            <w:r w:rsidR="001F613C">
              <w:t>P</w:t>
            </w:r>
            <w:r w:rsidR="001F613C" w:rsidRPr="001F613C">
              <w:t xml:space="preserve">acing using appropriate pacemaker settings </w:t>
            </w:r>
            <w:r w:rsidR="001F613C">
              <w:t>has been shown to be</w:t>
            </w:r>
            <w:r w:rsidR="001F613C" w:rsidRPr="001F613C">
              <w:t xml:space="preserve"> effective in the prevention of </w:t>
            </w:r>
            <w:r w:rsidR="001F613C">
              <w:t>loss of consciousness and s</w:t>
            </w:r>
            <w:r w:rsidR="00DE3ED1">
              <w:t>ei</w:t>
            </w:r>
            <w:r w:rsidR="001F613C">
              <w:t>zures in children with breath</w:t>
            </w:r>
            <w:r w:rsidR="0062416E">
              <w:t>-</w:t>
            </w:r>
            <w:r w:rsidR="001F613C">
              <w:t>holding spells.</w:t>
            </w:r>
            <w:r w:rsidR="00511CD7">
              <w:rPr>
                <w:vertAlign w:val="superscript"/>
              </w:rPr>
              <w:t>101-103</w:t>
            </w:r>
            <w:r w:rsidR="001F613C">
              <w:t xml:space="preserve"> </w:t>
            </w:r>
          </w:p>
        </w:tc>
      </w:tr>
      <w:tr w:rsidR="00F512EA" w14:paraId="323377A7" w14:textId="77777777" w:rsidTr="006165B4">
        <w:tc>
          <w:tcPr>
            <w:tcW w:w="2549" w:type="dxa"/>
          </w:tcPr>
          <w:p w14:paraId="0A7B864F" w14:textId="77777777" w:rsidR="00F512EA" w:rsidRDefault="00F512EA" w:rsidP="003B475C"/>
        </w:tc>
        <w:tc>
          <w:tcPr>
            <w:tcW w:w="1939" w:type="dxa"/>
          </w:tcPr>
          <w:p w14:paraId="3FDC2A8A" w14:textId="5BB8186E" w:rsidR="00F512EA" w:rsidRDefault="00F512EA" w:rsidP="003B475C">
            <w:r>
              <w:t>II</w:t>
            </w:r>
            <w:r w:rsidR="00F335F1">
              <w:t>b</w:t>
            </w:r>
            <w:r w:rsidR="006165B4">
              <w:t xml:space="preserve"> (#2)</w:t>
            </w:r>
          </w:p>
        </w:tc>
        <w:tc>
          <w:tcPr>
            <w:tcW w:w="2887" w:type="dxa"/>
          </w:tcPr>
          <w:p w14:paraId="7A7FBF96" w14:textId="26A86CA5" w:rsidR="00F512EA" w:rsidRDefault="00F512EA" w:rsidP="00F512EA">
            <w:pPr>
              <w:rPr>
                <w:vertAlign w:val="superscript"/>
              </w:rPr>
            </w:pPr>
            <w:r>
              <w:t xml:space="preserve">Change from 2018 </w:t>
            </w:r>
            <w:r w:rsidR="006165B4">
              <w:t>B</w:t>
            </w:r>
            <w:r w:rsidR="0062416E">
              <w:t xml:space="preserve">radycardia </w:t>
            </w:r>
            <w:r>
              <w:t>guideline</w:t>
            </w:r>
            <w:r>
              <w:rPr>
                <w:vertAlign w:val="superscript"/>
              </w:rPr>
              <w:t>2</w:t>
            </w:r>
          </w:p>
          <w:p w14:paraId="5A797C13" w14:textId="7FA00B17" w:rsidR="00F512EA" w:rsidRPr="00F512EA" w:rsidRDefault="00A036AC" w:rsidP="00F512EA">
            <w:r>
              <w:rPr>
                <w:rFonts w:ascii="Times New Roman" w:hAnsi="Times New Roman" w:cs="Times New Roman"/>
              </w:rPr>
              <w:t xml:space="preserve">• </w:t>
            </w:r>
            <w:r w:rsidR="004255EF">
              <w:t>T</w:t>
            </w:r>
            <w:r w:rsidR="00C25B3A">
              <w:t xml:space="preserve">o </w:t>
            </w:r>
            <w:r w:rsidR="00F335F1">
              <w:t xml:space="preserve">class </w:t>
            </w:r>
            <w:r w:rsidR="00F512EA">
              <w:t>II</w:t>
            </w:r>
            <w:r w:rsidR="00F335F1">
              <w:t>b</w:t>
            </w:r>
            <w:r w:rsidR="00F512EA">
              <w:t xml:space="preserve"> from </w:t>
            </w:r>
            <w:r w:rsidR="00F335F1">
              <w:t xml:space="preserve">class </w:t>
            </w:r>
            <w:proofErr w:type="spellStart"/>
            <w:r w:rsidR="00F512EA">
              <w:t>II</w:t>
            </w:r>
            <w:r w:rsidR="00F335F1">
              <w:t>a</w:t>
            </w:r>
            <w:proofErr w:type="spellEnd"/>
          </w:p>
          <w:p w14:paraId="7C58BF8E" w14:textId="77777777" w:rsidR="00F512EA" w:rsidRDefault="00F512EA" w:rsidP="003B475C"/>
        </w:tc>
        <w:tc>
          <w:tcPr>
            <w:tcW w:w="5670" w:type="dxa"/>
          </w:tcPr>
          <w:p w14:paraId="73B9991A" w14:textId="707F2756" w:rsidR="00F512EA" w:rsidRDefault="00F512EA" w:rsidP="003B475C">
            <w:r>
              <w:t xml:space="preserve">Strength of recommendation for pacing is weaker in children </w:t>
            </w:r>
            <w:r w:rsidR="00D56287">
              <w:t xml:space="preserve">as data are limited and </w:t>
            </w:r>
            <w:r>
              <w:t>the risk/benefit of long</w:t>
            </w:r>
            <w:r w:rsidR="00ED4B0B">
              <w:t>-</w:t>
            </w:r>
            <w:r>
              <w:t>term pacing and lifetime of device/lead revisions need to be considered</w:t>
            </w:r>
            <w:r w:rsidR="00D56287">
              <w:t>.</w:t>
            </w:r>
          </w:p>
        </w:tc>
      </w:tr>
      <w:tr w:rsidR="00B069BB" w14:paraId="6225554A" w14:textId="77777777" w:rsidTr="006165B4">
        <w:tc>
          <w:tcPr>
            <w:tcW w:w="2549" w:type="dxa"/>
          </w:tcPr>
          <w:p w14:paraId="49434248" w14:textId="77777777" w:rsidR="001F2B4D" w:rsidRDefault="001F2B4D" w:rsidP="003B475C"/>
        </w:tc>
        <w:tc>
          <w:tcPr>
            <w:tcW w:w="1939" w:type="dxa"/>
          </w:tcPr>
          <w:p w14:paraId="63F28FF4" w14:textId="28AA39E7" w:rsidR="001F2B4D" w:rsidRDefault="001B6ABA" w:rsidP="003B475C">
            <w:r>
              <w:t>III (#1)</w:t>
            </w:r>
          </w:p>
        </w:tc>
        <w:tc>
          <w:tcPr>
            <w:tcW w:w="2887" w:type="dxa"/>
          </w:tcPr>
          <w:p w14:paraId="6B8961C0" w14:textId="0A3EF1A2" w:rsidR="001F2B4D" w:rsidRDefault="001B6ABA" w:rsidP="003B475C">
            <w:r>
              <w:t>New</w:t>
            </w:r>
          </w:p>
        </w:tc>
        <w:tc>
          <w:tcPr>
            <w:tcW w:w="5670" w:type="dxa"/>
          </w:tcPr>
          <w:p w14:paraId="1077E1FD" w14:textId="2F568FA3" w:rsidR="001F2B4D" w:rsidRDefault="001B6ABA" w:rsidP="003B475C">
            <w:r>
              <w:t>Consensus of the writing committee</w:t>
            </w:r>
            <w:r w:rsidR="00460166">
              <w:t>:</w:t>
            </w:r>
            <w:r>
              <w:t xml:space="preserve"> </w:t>
            </w:r>
            <w:r w:rsidR="00225B38">
              <w:t>B</w:t>
            </w:r>
            <w:r w:rsidRPr="001B6ABA">
              <w:t>enefit of pacing for patients with</w:t>
            </w:r>
            <w:r>
              <w:t xml:space="preserve"> only</w:t>
            </w:r>
            <w:r w:rsidRPr="001B6ABA">
              <w:t xml:space="preserve"> tilt-positive cardioinhibitory syncope remains unproven</w:t>
            </w:r>
            <w:r w:rsidR="007A7ED9">
              <w:t>.</w:t>
            </w:r>
          </w:p>
        </w:tc>
      </w:tr>
      <w:tr w:rsidR="00B069BB" w14:paraId="4B57B96E" w14:textId="77777777" w:rsidTr="006165B4">
        <w:tc>
          <w:tcPr>
            <w:tcW w:w="2549" w:type="dxa"/>
          </w:tcPr>
          <w:p w14:paraId="6366D012" w14:textId="77777777" w:rsidR="001F2B4D" w:rsidRDefault="001F2B4D" w:rsidP="003B475C"/>
        </w:tc>
        <w:tc>
          <w:tcPr>
            <w:tcW w:w="1939" w:type="dxa"/>
          </w:tcPr>
          <w:p w14:paraId="4D45E26E" w14:textId="532175E0" w:rsidR="001F2B4D" w:rsidRDefault="001B6ABA" w:rsidP="003B475C">
            <w:r>
              <w:t>III</w:t>
            </w:r>
            <w:r w:rsidR="00F335F1">
              <w:t xml:space="preserve"> </w:t>
            </w:r>
            <w:r>
              <w:t>(#2)</w:t>
            </w:r>
          </w:p>
        </w:tc>
        <w:tc>
          <w:tcPr>
            <w:tcW w:w="2887" w:type="dxa"/>
          </w:tcPr>
          <w:p w14:paraId="0D0C7B0B" w14:textId="0F6777F8" w:rsidR="001F2B4D" w:rsidRDefault="001B6ABA" w:rsidP="003B475C">
            <w:r>
              <w:t>New</w:t>
            </w:r>
          </w:p>
        </w:tc>
        <w:tc>
          <w:tcPr>
            <w:tcW w:w="5670" w:type="dxa"/>
          </w:tcPr>
          <w:p w14:paraId="32D909BF" w14:textId="088A3923" w:rsidR="001F2B4D" w:rsidRPr="00D56287" w:rsidRDefault="001B6ABA" w:rsidP="001B6ABA">
            <w:pPr>
              <w:rPr>
                <w:vertAlign w:val="superscript"/>
              </w:rPr>
            </w:pPr>
            <w:r>
              <w:t>Consensus of the writing committee</w:t>
            </w:r>
            <w:r w:rsidR="00460166">
              <w:t>:</w:t>
            </w:r>
            <w:r>
              <w:t xml:space="preserve"> </w:t>
            </w:r>
            <w:r w:rsidR="00225B38">
              <w:t>P</w:t>
            </w:r>
            <w:r>
              <w:t>atie</w:t>
            </w:r>
            <w:r w:rsidR="009039AA">
              <w:t>nt</w:t>
            </w:r>
            <w:r>
              <w:t>s with syncope due to a vasodepressor response are unlikely to respond to permanent pacing</w:t>
            </w:r>
            <w:r w:rsidR="007A7ED9">
              <w:t>.</w:t>
            </w:r>
            <w:r>
              <w:rPr>
                <w:vertAlign w:val="superscript"/>
              </w:rPr>
              <w:t>11</w:t>
            </w:r>
          </w:p>
        </w:tc>
      </w:tr>
      <w:tr w:rsidR="00B069BB" w14:paraId="1C8CFA4F" w14:textId="77777777" w:rsidTr="006165B4">
        <w:tc>
          <w:tcPr>
            <w:tcW w:w="2549" w:type="dxa"/>
          </w:tcPr>
          <w:p w14:paraId="64030DB1" w14:textId="39BE99EE" w:rsidR="001F2B4D" w:rsidRDefault="007A7ED9" w:rsidP="003B475C">
            <w:r>
              <w:t xml:space="preserve">2.10 Cardiac </w:t>
            </w:r>
            <w:proofErr w:type="spellStart"/>
            <w:r w:rsidR="00F335F1">
              <w:t>channelopathies</w:t>
            </w:r>
            <w:proofErr w:type="spellEnd"/>
          </w:p>
        </w:tc>
        <w:tc>
          <w:tcPr>
            <w:tcW w:w="1939" w:type="dxa"/>
          </w:tcPr>
          <w:p w14:paraId="7F719104" w14:textId="60240B5D" w:rsidR="001F2B4D" w:rsidRDefault="007A7ED9" w:rsidP="003B475C">
            <w:r>
              <w:t>II</w:t>
            </w:r>
            <w:r w:rsidR="00F335F1">
              <w:t>b</w:t>
            </w:r>
            <w:r w:rsidR="00085344">
              <w:t xml:space="preserve"> </w:t>
            </w:r>
            <w:r>
              <w:t>(#1)</w:t>
            </w:r>
          </w:p>
        </w:tc>
        <w:tc>
          <w:tcPr>
            <w:tcW w:w="2887" w:type="dxa"/>
          </w:tcPr>
          <w:p w14:paraId="42D54169" w14:textId="303AFB0F" w:rsidR="001F2B4D" w:rsidRDefault="00FA668C" w:rsidP="003B475C">
            <w:r>
              <w:t>New</w:t>
            </w:r>
          </w:p>
        </w:tc>
        <w:tc>
          <w:tcPr>
            <w:tcW w:w="5670" w:type="dxa"/>
          </w:tcPr>
          <w:p w14:paraId="0A3B35D6" w14:textId="61D4C8B3" w:rsidR="001F2B4D" w:rsidRDefault="00FA668C" w:rsidP="003B475C">
            <w:r>
              <w:t xml:space="preserve">Limited data shows clinical benefit of pacing in </w:t>
            </w:r>
            <w:r w:rsidR="009039AA">
              <w:t>select</w:t>
            </w:r>
            <w:r w:rsidR="00DE3ED1">
              <w:t>ed</w:t>
            </w:r>
            <w:r w:rsidR="009039AA">
              <w:t xml:space="preserve"> high</w:t>
            </w:r>
            <w:r w:rsidR="004255EF">
              <w:t>-</w:t>
            </w:r>
            <w:r w:rsidR="009039AA">
              <w:t xml:space="preserve">risk </w:t>
            </w:r>
            <w:r>
              <w:t xml:space="preserve">LQTS </w:t>
            </w:r>
            <w:r w:rsidR="009039AA">
              <w:t>patients with</w:t>
            </w:r>
            <w:r>
              <w:t xml:space="preserve"> functional 2:1 AV block.</w:t>
            </w:r>
            <w:r>
              <w:rPr>
                <w:vertAlign w:val="superscript"/>
              </w:rPr>
              <w:t>11</w:t>
            </w:r>
            <w:r w:rsidR="00640EC5">
              <w:rPr>
                <w:vertAlign w:val="superscript"/>
              </w:rPr>
              <w:t>2</w:t>
            </w:r>
            <w:r>
              <w:t xml:space="preserve"> </w:t>
            </w:r>
          </w:p>
        </w:tc>
      </w:tr>
      <w:tr w:rsidR="00B069BB" w14:paraId="321126BF" w14:textId="77777777" w:rsidTr="006165B4">
        <w:tc>
          <w:tcPr>
            <w:tcW w:w="2549" w:type="dxa"/>
          </w:tcPr>
          <w:p w14:paraId="4ADD88E8" w14:textId="77777777" w:rsidR="001F2B4D" w:rsidRDefault="001F2B4D" w:rsidP="003B475C"/>
        </w:tc>
        <w:tc>
          <w:tcPr>
            <w:tcW w:w="1939" w:type="dxa"/>
          </w:tcPr>
          <w:p w14:paraId="676B5894" w14:textId="3B2453AB" w:rsidR="001F2B4D" w:rsidRDefault="00FA668C" w:rsidP="003B475C">
            <w:r>
              <w:t>II</w:t>
            </w:r>
            <w:r w:rsidR="00F335F1">
              <w:t>b</w:t>
            </w:r>
            <w:r>
              <w:t xml:space="preserve"> (#2)</w:t>
            </w:r>
          </w:p>
        </w:tc>
        <w:tc>
          <w:tcPr>
            <w:tcW w:w="2887" w:type="dxa"/>
          </w:tcPr>
          <w:p w14:paraId="1C32023B" w14:textId="0B688C8C" w:rsidR="001F2B4D" w:rsidRDefault="00FA668C" w:rsidP="003B475C">
            <w:r>
              <w:t>New</w:t>
            </w:r>
          </w:p>
        </w:tc>
        <w:tc>
          <w:tcPr>
            <w:tcW w:w="5670" w:type="dxa"/>
          </w:tcPr>
          <w:p w14:paraId="458C4A74" w14:textId="7BAA9C63" w:rsidR="001F2B4D" w:rsidRDefault="00FA668C" w:rsidP="003B475C">
            <w:r>
              <w:t>Limited data show clinical benefit of intentional pacing at a faster heart rate</w:t>
            </w:r>
            <w:r w:rsidR="003149DA">
              <w:t xml:space="preserve"> in select</w:t>
            </w:r>
            <w:r w:rsidR="00DE3ED1">
              <w:t>ed</w:t>
            </w:r>
            <w:r w:rsidR="003149DA">
              <w:t xml:space="preserve"> patients</w:t>
            </w:r>
            <w:r w:rsidRPr="00FA668C">
              <w:t>.</w:t>
            </w:r>
            <w:r w:rsidRPr="00FA668C">
              <w:rPr>
                <w:vertAlign w:val="superscript"/>
              </w:rPr>
              <w:t>109,11</w:t>
            </w:r>
            <w:r w:rsidR="00640EC5">
              <w:rPr>
                <w:vertAlign w:val="superscript"/>
              </w:rPr>
              <w:t>4</w:t>
            </w:r>
          </w:p>
        </w:tc>
      </w:tr>
      <w:tr w:rsidR="00B069BB" w14:paraId="2FC033DD" w14:textId="77777777" w:rsidTr="006165B4">
        <w:tc>
          <w:tcPr>
            <w:tcW w:w="2549" w:type="dxa"/>
          </w:tcPr>
          <w:p w14:paraId="5801BDC3" w14:textId="77777777" w:rsidR="001F2B4D" w:rsidRDefault="001F2B4D" w:rsidP="003B475C"/>
        </w:tc>
        <w:tc>
          <w:tcPr>
            <w:tcW w:w="1939" w:type="dxa"/>
          </w:tcPr>
          <w:p w14:paraId="570848B9" w14:textId="6566E567" w:rsidR="001F2B4D" w:rsidRDefault="00FA668C" w:rsidP="003B475C">
            <w:r>
              <w:t>III</w:t>
            </w:r>
          </w:p>
        </w:tc>
        <w:tc>
          <w:tcPr>
            <w:tcW w:w="2887" w:type="dxa"/>
          </w:tcPr>
          <w:p w14:paraId="73DACB27" w14:textId="1193973A" w:rsidR="001F2B4D" w:rsidRDefault="00FA668C" w:rsidP="003B475C">
            <w:r>
              <w:t>New</w:t>
            </w:r>
          </w:p>
        </w:tc>
        <w:tc>
          <w:tcPr>
            <w:tcW w:w="5670" w:type="dxa"/>
          </w:tcPr>
          <w:p w14:paraId="2BB0913A" w14:textId="193CE228" w:rsidR="001F2B4D" w:rsidRPr="003149DA" w:rsidRDefault="003149DA" w:rsidP="003B475C">
            <w:pPr>
              <w:rPr>
                <w:vertAlign w:val="superscript"/>
              </w:rPr>
            </w:pPr>
            <w:r>
              <w:t>C</w:t>
            </w:r>
            <w:r w:rsidRPr="003149DA">
              <w:t xml:space="preserve">onventional atrial pacemaker lead implantation in patients with symptomatic sinus node disease </w:t>
            </w:r>
            <w:r>
              <w:t>may fail</w:t>
            </w:r>
            <w:r w:rsidRPr="003149DA">
              <w:t xml:space="preserve"> due to </w:t>
            </w:r>
            <w:r>
              <w:t>partial or complete atrial standstill.</w:t>
            </w:r>
            <w:r w:rsidR="00844817">
              <w:rPr>
                <w:vertAlign w:val="superscript"/>
              </w:rPr>
              <w:t>115</w:t>
            </w:r>
          </w:p>
        </w:tc>
      </w:tr>
      <w:tr w:rsidR="00B069BB" w14:paraId="567624DD" w14:textId="77777777" w:rsidTr="006165B4">
        <w:tc>
          <w:tcPr>
            <w:tcW w:w="2549" w:type="dxa"/>
          </w:tcPr>
          <w:p w14:paraId="20886B47" w14:textId="066550C5" w:rsidR="001F2B4D" w:rsidRDefault="003149DA" w:rsidP="003B475C">
            <w:r>
              <w:t>2.11</w:t>
            </w:r>
            <w:r w:rsidR="004255EF">
              <w:t xml:space="preserve"> </w:t>
            </w:r>
            <w:r>
              <w:t>Inflammation/infection</w:t>
            </w:r>
          </w:p>
        </w:tc>
        <w:tc>
          <w:tcPr>
            <w:tcW w:w="1939" w:type="dxa"/>
          </w:tcPr>
          <w:p w14:paraId="7B927E4C" w14:textId="77D853E7" w:rsidR="001F2B4D" w:rsidRDefault="00012E52" w:rsidP="003B475C">
            <w:proofErr w:type="spellStart"/>
            <w:r>
              <w:t>II</w:t>
            </w:r>
            <w:r w:rsidR="00F335F1">
              <w:t>a</w:t>
            </w:r>
            <w:proofErr w:type="spellEnd"/>
          </w:p>
        </w:tc>
        <w:tc>
          <w:tcPr>
            <w:tcW w:w="2887" w:type="dxa"/>
          </w:tcPr>
          <w:p w14:paraId="08586499" w14:textId="2D8B41D4" w:rsidR="001F2B4D" w:rsidRDefault="00012E52" w:rsidP="003B475C">
            <w:r>
              <w:t>New</w:t>
            </w:r>
          </w:p>
          <w:p w14:paraId="3E0421B8" w14:textId="7B0BA225" w:rsidR="00012E52" w:rsidRDefault="00012E52" w:rsidP="003B475C"/>
        </w:tc>
        <w:tc>
          <w:tcPr>
            <w:tcW w:w="5670" w:type="dxa"/>
          </w:tcPr>
          <w:p w14:paraId="3F8E7047" w14:textId="0C98CCCD" w:rsidR="001F2B4D" w:rsidRPr="00012E52" w:rsidRDefault="00012E52" w:rsidP="003B475C">
            <w:pPr>
              <w:rPr>
                <w:vertAlign w:val="superscript"/>
              </w:rPr>
            </w:pPr>
            <w:r>
              <w:t>Unlike other infectious causes, AV block may not be reversible in Chagas disease.</w:t>
            </w:r>
            <w:r>
              <w:rPr>
                <w:vertAlign w:val="superscript"/>
              </w:rPr>
              <w:t>119-121</w:t>
            </w:r>
          </w:p>
        </w:tc>
      </w:tr>
      <w:tr w:rsidR="003E66A5" w14:paraId="1C569C5B" w14:textId="77777777" w:rsidTr="006165B4">
        <w:tc>
          <w:tcPr>
            <w:tcW w:w="2549" w:type="dxa"/>
          </w:tcPr>
          <w:p w14:paraId="32694B1B" w14:textId="4117C9EA" w:rsidR="003E66A5" w:rsidRPr="00C60C11" w:rsidRDefault="003E66A5" w:rsidP="003B475C">
            <w:pPr>
              <w:rPr>
                <w:b/>
              </w:rPr>
            </w:pPr>
            <w:r w:rsidRPr="00C60C11">
              <w:rPr>
                <w:b/>
              </w:rPr>
              <w:t>3. I</w:t>
            </w:r>
            <w:r w:rsidR="004255EF" w:rsidRPr="004255EF">
              <w:rPr>
                <w:b/>
                <w:bCs/>
              </w:rPr>
              <w:t xml:space="preserve">mplantable cardioverter defibrillators   </w:t>
            </w:r>
          </w:p>
        </w:tc>
        <w:tc>
          <w:tcPr>
            <w:tcW w:w="1939" w:type="dxa"/>
          </w:tcPr>
          <w:p w14:paraId="0C732241" w14:textId="628E6A52" w:rsidR="003E66A5" w:rsidRPr="004D66A7" w:rsidRDefault="003E66A5" w:rsidP="003B475C">
            <w:pPr>
              <w:rPr>
                <w:b/>
              </w:rPr>
            </w:pPr>
          </w:p>
        </w:tc>
        <w:tc>
          <w:tcPr>
            <w:tcW w:w="2887" w:type="dxa"/>
          </w:tcPr>
          <w:p w14:paraId="37F5CA1E" w14:textId="0C91A9FA" w:rsidR="003E66A5" w:rsidRPr="004D66A7" w:rsidRDefault="003E66A5" w:rsidP="003B475C">
            <w:pPr>
              <w:rPr>
                <w:b/>
              </w:rPr>
            </w:pPr>
          </w:p>
        </w:tc>
        <w:tc>
          <w:tcPr>
            <w:tcW w:w="5670" w:type="dxa"/>
          </w:tcPr>
          <w:p w14:paraId="6B57A4B5" w14:textId="4B329BA9" w:rsidR="003E66A5" w:rsidRPr="004D66A7" w:rsidRDefault="003E66A5" w:rsidP="003B475C">
            <w:pPr>
              <w:rPr>
                <w:b/>
              </w:rPr>
            </w:pPr>
          </w:p>
        </w:tc>
      </w:tr>
      <w:tr w:rsidR="00B069BB" w14:paraId="4C018ADA" w14:textId="77777777" w:rsidTr="006165B4">
        <w:tc>
          <w:tcPr>
            <w:tcW w:w="2549" w:type="dxa"/>
          </w:tcPr>
          <w:p w14:paraId="49748DB7" w14:textId="48A9FFBB" w:rsidR="001F2B4D" w:rsidRDefault="007B1CC9" w:rsidP="003B475C">
            <w:r>
              <w:lastRenderedPageBreak/>
              <w:t xml:space="preserve">3.2 </w:t>
            </w:r>
            <w:r w:rsidRPr="003E66A5">
              <w:t>General recommendations for ICD therapy</w:t>
            </w:r>
          </w:p>
        </w:tc>
        <w:tc>
          <w:tcPr>
            <w:tcW w:w="1939" w:type="dxa"/>
          </w:tcPr>
          <w:p w14:paraId="41A697EE" w14:textId="3CC48E16" w:rsidR="001F2B4D" w:rsidRPr="00844817" w:rsidRDefault="003A50CA" w:rsidP="003B475C">
            <w:pPr>
              <w:rPr>
                <w:bCs/>
              </w:rPr>
            </w:pPr>
            <w:r w:rsidRPr="00844817">
              <w:rPr>
                <w:bCs/>
                <w:color w:val="000000" w:themeColor="text1"/>
              </w:rPr>
              <w:t>II</w:t>
            </w:r>
            <w:r w:rsidR="00F335F1">
              <w:rPr>
                <w:bCs/>
                <w:color w:val="000000" w:themeColor="text1"/>
              </w:rPr>
              <w:t>b</w:t>
            </w:r>
            <w:r w:rsidR="00844817">
              <w:rPr>
                <w:bCs/>
                <w:color w:val="000000" w:themeColor="text1"/>
              </w:rPr>
              <w:t xml:space="preserve"> </w:t>
            </w:r>
            <w:r w:rsidRPr="00844817">
              <w:rPr>
                <w:bCs/>
                <w:color w:val="000000" w:themeColor="text1"/>
              </w:rPr>
              <w:t>(#1)</w:t>
            </w:r>
          </w:p>
        </w:tc>
        <w:tc>
          <w:tcPr>
            <w:tcW w:w="2887" w:type="dxa"/>
          </w:tcPr>
          <w:p w14:paraId="2F1F4B12" w14:textId="5C5D5CCB" w:rsidR="001F2B4D" w:rsidRPr="00844817" w:rsidRDefault="003A50CA" w:rsidP="003B475C">
            <w:pPr>
              <w:rPr>
                <w:bCs/>
              </w:rPr>
            </w:pPr>
            <w:r w:rsidRPr="00844817">
              <w:rPr>
                <w:bCs/>
                <w:color w:val="000000" w:themeColor="text1"/>
              </w:rPr>
              <w:t>New</w:t>
            </w:r>
          </w:p>
        </w:tc>
        <w:tc>
          <w:tcPr>
            <w:tcW w:w="5670" w:type="dxa"/>
          </w:tcPr>
          <w:p w14:paraId="5E8FC190" w14:textId="1BEDDDD4" w:rsidR="001F2B4D" w:rsidRPr="00844817" w:rsidRDefault="003A50CA" w:rsidP="003B475C">
            <w:pPr>
              <w:rPr>
                <w:bCs/>
              </w:rPr>
            </w:pPr>
            <w:r w:rsidRPr="00844817">
              <w:rPr>
                <w:bCs/>
                <w:color w:val="000000" w:themeColor="text1"/>
              </w:rPr>
              <w:t xml:space="preserve">Refers to VT </w:t>
            </w:r>
            <w:r w:rsidR="00460676">
              <w:rPr>
                <w:bCs/>
                <w:color w:val="000000" w:themeColor="text1"/>
              </w:rPr>
              <w:t>that</w:t>
            </w:r>
            <w:r w:rsidRPr="00844817">
              <w:rPr>
                <w:bCs/>
                <w:color w:val="000000" w:themeColor="text1"/>
              </w:rPr>
              <w:t xml:space="preserve"> is judged to be non</w:t>
            </w:r>
            <w:r w:rsidR="004255EF" w:rsidRPr="000932E9">
              <w:rPr>
                <w:rFonts w:cstheme="minorHAnsi"/>
                <w:sz w:val="22"/>
                <w:szCs w:val="22"/>
              </w:rPr>
              <w:t>–</w:t>
            </w:r>
            <w:r w:rsidRPr="00844817">
              <w:rPr>
                <w:bCs/>
                <w:color w:val="000000" w:themeColor="text1"/>
              </w:rPr>
              <w:t>life threatening</w:t>
            </w:r>
            <w:r w:rsidR="00C92F90">
              <w:rPr>
                <w:bCs/>
                <w:color w:val="000000" w:themeColor="text1"/>
              </w:rPr>
              <w:t>.</w:t>
            </w:r>
          </w:p>
        </w:tc>
      </w:tr>
      <w:tr w:rsidR="00B069BB" w14:paraId="52731CEF" w14:textId="77777777" w:rsidTr="006165B4">
        <w:tc>
          <w:tcPr>
            <w:tcW w:w="2549" w:type="dxa"/>
          </w:tcPr>
          <w:p w14:paraId="5F63D6D4" w14:textId="77777777" w:rsidR="002152D9" w:rsidRDefault="002152D9" w:rsidP="002152D9"/>
        </w:tc>
        <w:tc>
          <w:tcPr>
            <w:tcW w:w="1939" w:type="dxa"/>
          </w:tcPr>
          <w:p w14:paraId="7238A95B" w14:textId="0F63C817" w:rsidR="002152D9" w:rsidRDefault="002152D9" w:rsidP="002152D9">
            <w:r>
              <w:t>II</w:t>
            </w:r>
            <w:r w:rsidR="00F335F1">
              <w:t>b</w:t>
            </w:r>
            <w:r w:rsidR="00844817">
              <w:t xml:space="preserve"> </w:t>
            </w:r>
            <w:r w:rsidR="003A50CA">
              <w:t>(#2)</w:t>
            </w:r>
          </w:p>
        </w:tc>
        <w:tc>
          <w:tcPr>
            <w:tcW w:w="2887" w:type="dxa"/>
          </w:tcPr>
          <w:p w14:paraId="02C5F1F0" w14:textId="4FC3395E" w:rsidR="002152D9" w:rsidRDefault="002152D9" w:rsidP="002152D9">
            <w:r>
              <w:t>New</w:t>
            </w:r>
          </w:p>
        </w:tc>
        <w:tc>
          <w:tcPr>
            <w:tcW w:w="5670" w:type="dxa"/>
          </w:tcPr>
          <w:p w14:paraId="7EDF2A9F" w14:textId="59A9180A" w:rsidR="002152D9" w:rsidRPr="00874513" w:rsidRDefault="002152D9" w:rsidP="002152D9">
            <w:pPr>
              <w:rPr>
                <w:vertAlign w:val="superscript"/>
              </w:rPr>
            </w:pPr>
            <w:r>
              <w:t>Consensus of the writing committee</w:t>
            </w:r>
            <w:r w:rsidR="00460166">
              <w:t>:</w:t>
            </w:r>
            <w:r w:rsidR="00725483">
              <w:t xml:space="preserve"> </w:t>
            </w:r>
            <w:r w:rsidR="00225B38">
              <w:t>P</w:t>
            </w:r>
            <w:r>
              <w:t>rimary prevention ICD therapy may be considered in selected patients based on</w:t>
            </w:r>
            <w:r w:rsidRPr="002737F8">
              <w:t xml:space="preserve"> </w:t>
            </w:r>
            <w:r>
              <w:t>clinical</w:t>
            </w:r>
            <w:r w:rsidRPr="002737F8">
              <w:t xml:space="preserve"> judgment </w:t>
            </w:r>
            <w:r w:rsidR="00CF1601">
              <w:t xml:space="preserve">and </w:t>
            </w:r>
            <w:r>
              <w:t>strength of risk factors including family history of recurrent SCA.</w:t>
            </w:r>
            <w:r w:rsidR="00874513">
              <w:t xml:space="preserve"> This is similar to the II</w:t>
            </w:r>
            <w:r w:rsidR="00460676">
              <w:t>b</w:t>
            </w:r>
            <w:r w:rsidR="00874513">
              <w:t xml:space="preserve"> COR for familial cardiomyopathy in </w:t>
            </w:r>
            <w:r w:rsidR="004255EF">
              <w:t xml:space="preserve">the </w:t>
            </w:r>
            <w:r w:rsidR="00874513">
              <w:t xml:space="preserve">2012 </w:t>
            </w:r>
            <w:r w:rsidR="004255EF">
              <w:t xml:space="preserve">device </w:t>
            </w:r>
            <w:r w:rsidR="00874513">
              <w:t>guideline update.</w:t>
            </w:r>
            <w:r w:rsidR="00874513">
              <w:rPr>
                <w:vertAlign w:val="superscript"/>
              </w:rPr>
              <w:t>7</w:t>
            </w:r>
          </w:p>
        </w:tc>
      </w:tr>
      <w:tr w:rsidR="00B069BB" w14:paraId="00BE5A1F" w14:textId="77777777" w:rsidTr="006165B4">
        <w:tc>
          <w:tcPr>
            <w:tcW w:w="2549" w:type="dxa"/>
          </w:tcPr>
          <w:p w14:paraId="61F5442A" w14:textId="470C16B7" w:rsidR="001F2B4D" w:rsidRDefault="002152D9" w:rsidP="003B475C">
            <w:r>
              <w:t>3.3</w:t>
            </w:r>
            <w:r w:rsidR="003E66A5">
              <w:t>.</w:t>
            </w:r>
            <w:r w:rsidR="00460676">
              <w:t>1</w:t>
            </w:r>
            <w:r>
              <w:t xml:space="preserve"> L</w:t>
            </w:r>
            <w:r w:rsidR="004255EF">
              <w:t xml:space="preserve">ong </w:t>
            </w:r>
            <w:r>
              <w:t>QT</w:t>
            </w:r>
            <w:r w:rsidR="004255EF">
              <w:t xml:space="preserve"> syndrome</w:t>
            </w:r>
          </w:p>
        </w:tc>
        <w:tc>
          <w:tcPr>
            <w:tcW w:w="1939" w:type="dxa"/>
          </w:tcPr>
          <w:p w14:paraId="2529E174" w14:textId="7EF86513" w:rsidR="001F2B4D" w:rsidRDefault="002152D9" w:rsidP="003B475C">
            <w:r>
              <w:t>I</w:t>
            </w:r>
          </w:p>
        </w:tc>
        <w:tc>
          <w:tcPr>
            <w:tcW w:w="2887" w:type="dxa"/>
          </w:tcPr>
          <w:p w14:paraId="1EC40BD0" w14:textId="35D05794" w:rsidR="00416510" w:rsidRDefault="002152D9" w:rsidP="003B475C">
            <w:r>
              <w:t xml:space="preserve">Modification from 2013 </w:t>
            </w:r>
            <w:r w:rsidR="00874513">
              <w:t xml:space="preserve">genetic arrhythmias </w:t>
            </w:r>
            <w:r>
              <w:t>guideline</w:t>
            </w:r>
            <w:r>
              <w:rPr>
                <w:vertAlign w:val="superscript"/>
              </w:rPr>
              <w:t>14</w:t>
            </w:r>
            <w:r w:rsidR="00416510">
              <w:rPr>
                <w:vertAlign w:val="superscript"/>
              </w:rPr>
              <w:t xml:space="preserve"> </w:t>
            </w:r>
            <w:r w:rsidR="00416510">
              <w:t xml:space="preserve">to </w:t>
            </w:r>
            <w:r>
              <w:t>include</w:t>
            </w:r>
            <w:r w:rsidR="00416510">
              <w:t>:</w:t>
            </w:r>
          </w:p>
          <w:p w14:paraId="4CFA776F" w14:textId="20A90929" w:rsidR="002152D9" w:rsidRPr="00416510" w:rsidRDefault="00A036AC" w:rsidP="003B475C">
            <w:pPr>
              <w:rPr>
                <w:vertAlign w:val="superscript"/>
              </w:rPr>
            </w:pPr>
            <w:r>
              <w:rPr>
                <w:rFonts w:ascii="Times New Roman" w:hAnsi="Times New Roman" w:cs="Times New Roman"/>
              </w:rPr>
              <w:t xml:space="preserve">• </w:t>
            </w:r>
            <w:r w:rsidR="002152D9">
              <w:t xml:space="preserve"> </w:t>
            </w:r>
            <w:r w:rsidR="00416510">
              <w:t xml:space="preserve">ICD </w:t>
            </w:r>
            <w:r w:rsidR="00EA20D4">
              <w:t>+</w:t>
            </w:r>
            <w:r w:rsidR="00416510">
              <w:t xml:space="preserve"> </w:t>
            </w:r>
            <w:r w:rsidR="002152D9">
              <w:t>use of beta</w:t>
            </w:r>
            <w:r w:rsidR="00460676">
              <w:t>-</w:t>
            </w:r>
            <w:r w:rsidR="002152D9">
              <w:t>block</w:t>
            </w:r>
            <w:r w:rsidR="00416510">
              <w:t>ade</w:t>
            </w:r>
          </w:p>
          <w:p w14:paraId="52BAF6CE" w14:textId="65914979" w:rsidR="001F2B4D" w:rsidRDefault="00A036AC" w:rsidP="003B475C">
            <w:r>
              <w:rPr>
                <w:rFonts w:ascii="Times New Roman" w:hAnsi="Times New Roman" w:cs="Times New Roman"/>
              </w:rPr>
              <w:t xml:space="preserve">• </w:t>
            </w:r>
            <w:r w:rsidR="004255EF">
              <w:t>M</w:t>
            </w:r>
            <w:r w:rsidR="002152D9">
              <w:t>edical therapy and/or sympathectomy as alternatives</w:t>
            </w:r>
            <w:r w:rsidR="00032038">
              <w:t xml:space="preserve"> to ICD</w:t>
            </w:r>
            <w:r w:rsidR="002152D9">
              <w:t xml:space="preserve"> </w:t>
            </w:r>
            <w:r w:rsidR="00416510">
              <w:t>in select cases</w:t>
            </w:r>
          </w:p>
        </w:tc>
        <w:tc>
          <w:tcPr>
            <w:tcW w:w="5670" w:type="dxa"/>
          </w:tcPr>
          <w:p w14:paraId="5B233A9E" w14:textId="11BC97E1" w:rsidR="001F2B4D" w:rsidRDefault="004C0904" w:rsidP="003B475C">
            <w:r>
              <w:t>Successful outcomes with b</w:t>
            </w:r>
            <w:r w:rsidR="002152D9">
              <w:t>eta</w:t>
            </w:r>
            <w:r w:rsidR="00460676">
              <w:t>-</w:t>
            </w:r>
            <w:r w:rsidR="002152D9">
              <w:t xml:space="preserve">blockers and cardiac sympathectomy without ICD </w:t>
            </w:r>
            <w:r>
              <w:t xml:space="preserve">have been </w:t>
            </w:r>
            <w:r w:rsidR="00574551">
              <w:t>reported</w:t>
            </w:r>
            <w:r w:rsidR="002152D9">
              <w:t xml:space="preserve"> in select </w:t>
            </w:r>
            <w:r w:rsidR="00416510">
              <w:t xml:space="preserve">LQTS </w:t>
            </w:r>
            <w:r w:rsidR="002152D9">
              <w:t>cases.</w:t>
            </w:r>
            <w:r w:rsidR="002152D9">
              <w:rPr>
                <w:vertAlign w:val="superscript"/>
              </w:rPr>
              <w:t>142,143,147</w:t>
            </w:r>
            <w:r w:rsidR="002152D9">
              <w:t xml:space="preserve"> </w:t>
            </w:r>
          </w:p>
          <w:p w14:paraId="62577B08" w14:textId="77777777" w:rsidR="00EC554D" w:rsidRDefault="00EC554D" w:rsidP="003B475C"/>
          <w:p w14:paraId="699B2A9B" w14:textId="6F8FF9CB" w:rsidR="00EC554D" w:rsidRDefault="00EC554D" w:rsidP="003B475C"/>
        </w:tc>
      </w:tr>
      <w:tr w:rsidR="00B069BB" w14:paraId="1927C077" w14:textId="77777777" w:rsidTr="006165B4">
        <w:tc>
          <w:tcPr>
            <w:tcW w:w="2549" w:type="dxa"/>
          </w:tcPr>
          <w:p w14:paraId="02887767" w14:textId="77777777" w:rsidR="001F2B4D" w:rsidRDefault="001F2B4D" w:rsidP="003B475C"/>
        </w:tc>
        <w:tc>
          <w:tcPr>
            <w:tcW w:w="1939" w:type="dxa"/>
          </w:tcPr>
          <w:p w14:paraId="21941AA0" w14:textId="0B1B3BF4" w:rsidR="001F2B4D" w:rsidRDefault="002152D9" w:rsidP="003B475C">
            <w:r>
              <w:t>II</w:t>
            </w:r>
            <w:r w:rsidR="00F335F1">
              <w:t>b</w:t>
            </w:r>
          </w:p>
        </w:tc>
        <w:tc>
          <w:tcPr>
            <w:tcW w:w="2887" w:type="dxa"/>
          </w:tcPr>
          <w:p w14:paraId="69F54159" w14:textId="77777777" w:rsidR="001F2B4D" w:rsidRDefault="002152D9" w:rsidP="003B475C">
            <w:r>
              <w:t>New</w:t>
            </w:r>
          </w:p>
          <w:p w14:paraId="02B2B05F" w14:textId="77777777" w:rsidR="00D42447" w:rsidRDefault="00D42447" w:rsidP="003B475C"/>
          <w:p w14:paraId="49CE2AEA" w14:textId="7944CA7F" w:rsidR="00D42447" w:rsidRDefault="00D42447" w:rsidP="003B475C"/>
        </w:tc>
        <w:tc>
          <w:tcPr>
            <w:tcW w:w="5670" w:type="dxa"/>
          </w:tcPr>
          <w:p w14:paraId="05514098" w14:textId="1ED48BBE" w:rsidR="001F2B4D" w:rsidRPr="00B346BD" w:rsidRDefault="002152D9" w:rsidP="003B475C">
            <w:pPr>
              <w:rPr>
                <w:vertAlign w:val="superscript"/>
              </w:rPr>
            </w:pPr>
            <w:r>
              <w:t xml:space="preserve">Primary prevention ICD therapy may be considered in select LQTS patients with </w:t>
            </w:r>
            <w:r w:rsidR="00A06C92">
              <w:t>high</w:t>
            </w:r>
            <w:r w:rsidR="004255EF">
              <w:t>-</w:t>
            </w:r>
            <w:r w:rsidR="00A06C92">
              <w:t xml:space="preserve">risk </w:t>
            </w:r>
            <w:r>
              <w:t xml:space="preserve">pathogenic gene mutations </w:t>
            </w:r>
            <w:r w:rsidR="00A06C92">
              <w:t>and also in LQTS patient</w:t>
            </w:r>
            <w:r w:rsidR="004255EF">
              <w:t>s</w:t>
            </w:r>
            <w:r w:rsidR="00A06C92">
              <w:t xml:space="preserve"> with</w:t>
            </w:r>
            <w:r>
              <w:t xml:space="preserve"> other risk factors associated with life</w:t>
            </w:r>
            <w:r w:rsidR="004255EF">
              <w:t>-</w:t>
            </w:r>
            <w:r>
              <w:t>threatening arrhythmias.</w:t>
            </w:r>
            <w:r>
              <w:rPr>
                <w:vertAlign w:val="superscript"/>
              </w:rPr>
              <w:t>149-153</w:t>
            </w:r>
            <w:r w:rsidR="00B346BD">
              <w:t xml:space="preserve"> A QTc</w:t>
            </w:r>
            <w:r w:rsidR="004255EF">
              <w:t xml:space="preserve"> </w:t>
            </w:r>
            <w:r w:rsidR="00B346BD">
              <w:t xml:space="preserve">&gt;500 </w:t>
            </w:r>
            <w:proofErr w:type="spellStart"/>
            <w:r w:rsidR="00B346BD">
              <w:t>ms</w:t>
            </w:r>
            <w:proofErr w:type="spellEnd"/>
            <w:r w:rsidR="00B346BD">
              <w:t xml:space="preserve"> has been cited as one of the risk factors for SCD in the text, similar to the II</w:t>
            </w:r>
            <w:r w:rsidR="004255EF">
              <w:t>b</w:t>
            </w:r>
            <w:r w:rsidR="00B346BD">
              <w:t xml:space="preserve"> COR in the </w:t>
            </w:r>
            <w:r w:rsidR="00B346BD" w:rsidRPr="00B346BD">
              <w:t xml:space="preserve">2017 VA/SCD </w:t>
            </w:r>
            <w:r w:rsidR="003D0F19" w:rsidRPr="00B346BD">
              <w:t>guideline</w:t>
            </w:r>
            <w:r w:rsidR="00B346BD">
              <w:t>.</w:t>
            </w:r>
            <w:r w:rsidR="00B346BD">
              <w:rPr>
                <w:vertAlign w:val="superscript"/>
              </w:rPr>
              <w:t>12</w:t>
            </w:r>
          </w:p>
        </w:tc>
      </w:tr>
      <w:tr w:rsidR="00B069BB" w14:paraId="03821F6F" w14:textId="77777777" w:rsidTr="006165B4">
        <w:tc>
          <w:tcPr>
            <w:tcW w:w="2549" w:type="dxa"/>
          </w:tcPr>
          <w:p w14:paraId="27D2C79A" w14:textId="6CF45E73" w:rsidR="001F2B4D" w:rsidRDefault="002152D9" w:rsidP="003B475C">
            <w:r>
              <w:t>3.</w:t>
            </w:r>
            <w:r w:rsidR="00460676">
              <w:t>3</w:t>
            </w:r>
            <w:r w:rsidR="003E66A5">
              <w:t>.</w:t>
            </w:r>
            <w:r w:rsidR="00460676">
              <w:t>2</w:t>
            </w:r>
            <w:r>
              <w:t xml:space="preserve"> </w:t>
            </w:r>
            <w:r w:rsidR="004255EF" w:rsidRPr="006165B4">
              <w:rPr>
                <w:bCs/>
              </w:rPr>
              <w:t>Catecholaminergic polymorphic ventricular tachycardia</w:t>
            </w:r>
          </w:p>
        </w:tc>
        <w:tc>
          <w:tcPr>
            <w:tcW w:w="1939" w:type="dxa"/>
          </w:tcPr>
          <w:p w14:paraId="250F6661" w14:textId="75D85AB5" w:rsidR="001F2B4D" w:rsidRDefault="002152D9" w:rsidP="003B475C">
            <w:proofErr w:type="spellStart"/>
            <w:r>
              <w:t>II</w:t>
            </w:r>
            <w:r w:rsidR="00F335F1">
              <w:t>a</w:t>
            </w:r>
            <w:proofErr w:type="spellEnd"/>
          </w:p>
        </w:tc>
        <w:tc>
          <w:tcPr>
            <w:tcW w:w="2887" w:type="dxa"/>
          </w:tcPr>
          <w:p w14:paraId="3C715610" w14:textId="081CD88E" w:rsidR="001F2B4D" w:rsidRPr="00335931" w:rsidRDefault="002152D9" w:rsidP="003B475C">
            <w:pPr>
              <w:rPr>
                <w:vertAlign w:val="superscript"/>
              </w:rPr>
            </w:pPr>
            <w:r>
              <w:t xml:space="preserve">Changed from 2013 </w:t>
            </w:r>
            <w:r w:rsidR="00CB1BB6">
              <w:t xml:space="preserve">genetic arrhythmias </w:t>
            </w:r>
            <w:r>
              <w:t>guideline</w:t>
            </w:r>
            <w:r>
              <w:rPr>
                <w:vertAlign w:val="superscript"/>
              </w:rPr>
              <w:t>14</w:t>
            </w:r>
            <w:r w:rsidR="00335931">
              <w:t xml:space="preserve"> and </w:t>
            </w:r>
            <w:r w:rsidR="00B346BD" w:rsidRPr="00B346BD">
              <w:t xml:space="preserve">2017 VA/SCD </w:t>
            </w:r>
            <w:r w:rsidR="00F335F1" w:rsidRPr="00B346BD">
              <w:t>guideline</w:t>
            </w:r>
            <w:r w:rsidR="00335931">
              <w:rPr>
                <w:vertAlign w:val="superscript"/>
              </w:rPr>
              <w:t>12</w:t>
            </w:r>
          </w:p>
          <w:p w14:paraId="5AD76636" w14:textId="1C35B91F" w:rsidR="002152D9" w:rsidRDefault="00A036AC" w:rsidP="003B475C">
            <w:r>
              <w:rPr>
                <w:rFonts w:ascii="Times New Roman" w:hAnsi="Times New Roman" w:cs="Times New Roman"/>
              </w:rPr>
              <w:t xml:space="preserve">• </w:t>
            </w:r>
            <w:r w:rsidR="004255EF">
              <w:t>T</w:t>
            </w:r>
            <w:r w:rsidR="00CB1BB6">
              <w:t xml:space="preserve">o </w:t>
            </w:r>
            <w:r w:rsidR="00F335F1">
              <w:t xml:space="preserve">class </w:t>
            </w:r>
            <w:proofErr w:type="spellStart"/>
            <w:r w:rsidR="002152D9">
              <w:t>II</w:t>
            </w:r>
            <w:r w:rsidR="00F335F1">
              <w:t>a</w:t>
            </w:r>
            <w:proofErr w:type="spellEnd"/>
            <w:r w:rsidR="002152D9">
              <w:t xml:space="preserve"> </w:t>
            </w:r>
            <w:r w:rsidR="00A9106E">
              <w:t>from</w:t>
            </w:r>
            <w:r w:rsidR="002152D9">
              <w:t xml:space="preserve"> </w:t>
            </w:r>
            <w:r w:rsidR="00F335F1">
              <w:t xml:space="preserve">class </w:t>
            </w:r>
            <w:r w:rsidR="002152D9">
              <w:t>I</w:t>
            </w:r>
          </w:p>
        </w:tc>
        <w:tc>
          <w:tcPr>
            <w:tcW w:w="5670" w:type="dxa"/>
          </w:tcPr>
          <w:p w14:paraId="147910B1" w14:textId="5D8817F5" w:rsidR="001F2B4D" w:rsidRDefault="002152D9" w:rsidP="003B475C">
            <w:r>
              <w:t xml:space="preserve">The strength of recommendation was reduced based on recent data that </w:t>
            </w:r>
            <w:r w:rsidRPr="002152D9">
              <w:t>an ICD was not associated with improved survival</w:t>
            </w:r>
            <w:r>
              <w:t xml:space="preserve"> when aborted SCA was the initial presentation of CPVT</w:t>
            </w:r>
            <w:r w:rsidRPr="002152D9">
              <w:t>.</w:t>
            </w:r>
            <w:r>
              <w:rPr>
                <w:vertAlign w:val="superscript"/>
              </w:rPr>
              <w:t>126,156</w:t>
            </w:r>
            <w:r w:rsidRPr="002152D9">
              <w:t xml:space="preserve"> </w:t>
            </w:r>
            <w:r w:rsidR="00CB1BB6">
              <w:t>A high incidence of i</w:t>
            </w:r>
            <w:r w:rsidRPr="002152D9">
              <w:t xml:space="preserve">nappropriate shocks, </w:t>
            </w:r>
            <w:proofErr w:type="spellStart"/>
            <w:r w:rsidR="00CB1BB6">
              <w:t>proarrhythmia</w:t>
            </w:r>
            <w:proofErr w:type="spellEnd"/>
            <w:r w:rsidR="00CB1BB6">
              <w:t xml:space="preserve">, </w:t>
            </w:r>
            <w:r w:rsidRPr="002152D9">
              <w:t xml:space="preserve">electrical storm, and ICD complications </w:t>
            </w:r>
            <w:r w:rsidR="00CB1BB6">
              <w:t>have been reported in CPVT</w:t>
            </w:r>
            <w:r>
              <w:t>.</w:t>
            </w:r>
          </w:p>
        </w:tc>
      </w:tr>
      <w:tr w:rsidR="00B069BB" w14:paraId="0F607CCE" w14:textId="77777777" w:rsidTr="006165B4">
        <w:tc>
          <w:tcPr>
            <w:tcW w:w="2549" w:type="dxa"/>
          </w:tcPr>
          <w:p w14:paraId="214EC810" w14:textId="77777777" w:rsidR="001F2B4D" w:rsidRDefault="001F2B4D" w:rsidP="003B475C"/>
        </w:tc>
        <w:tc>
          <w:tcPr>
            <w:tcW w:w="1939" w:type="dxa"/>
          </w:tcPr>
          <w:p w14:paraId="31FCA397" w14:textId="490BE9AB" w:rsidR="001F2B4D" w:rsidRDefault="002152D9" w:rsidP="003B475C">
            <w:r>
              <w:t>II</w:t>
            </w:r>
            <w:r w:rsidR="00F335F1">
              <w:t>b</w:t>
            </w:r>
          </w:p>
        </w:tc>
        <w:tc>
          <w:tcPr>
            <w:tcW w:w="2887" w:type="dxa"/>
          </w:tcPr>
          <w:p w14:paraId="5A4C2F9F" w14:textId="0AE9AC39" w:rsidR="002152D9" w:rsidRPr="00335931" w:rsidRDefault="002152D9" w:rsidP="002152D9">
            <w:r>
              <w:t xml:space="preserve">Changed from 2013 </w:t>
            </w:r>
            <w:r w:rsidR="00CB1BB6">
              <w:t xml:space="preserve">genetic arrhythmias </w:t>
            </w:r>
            <w:r>
              <w:t>guideline</w:t>
            </w:r>
            <w:r>
              <w:rPr>
                <w:vertAlign w:val="superscript"/>
              </w:rPr>
              <w:t>14</w:t>
            </w:r>
            <w:r w:rsidR="00335931">
              <w:t xml:space="preserve"> </w:t>
            </w:r>
          </w:p>
          <w:p w14:paraId="441CAF86" w14:textId="370C80F1" w:rsidR="001F2B4D" w:rsidRDefault="00A036AC" w:rsidP="002152D9">
            <w:r>
              <w:rPr>
                <w:rFonts w:ascii="Times New Roman" w:hAnsi="Times New Roman" w:cs="Times New Roman"/>
              </w:rPr>
              <w:t xml:space="preserve">• </w:t>
            </w:r>
            <w:r w:rsidR="004255EF">
              <w:t>T</w:t>
            </w:r>
            <w:r w:rsidR="00CB1BB6">
              <w:t xml:space="preserve">o </w:t>
            </w:r>
            <w:r w:rsidR="00F335F1">
              <w:t xml:space="preserve">class </w:t>
            </w:r>
            <w:r w:rsidR="002152D9">
              <w:t>II</w:t>
            </w:r>
            <w:r w:rsidR="00F335F1">
              <w:t>b</w:t>
            </w:r>
            <w:r w:rsidR="002152D9">
              <w:t xml:space="preserve"> </w:t>
            </w:r>
            <w:r w:rsidR="00A9106E">
              <w:t>from</w:t>
            </w:r>
            <w:r w:rsidR="002152D9">
              <w:t xml:space="preserve"> </w:t>
            </w:r>
            <w:r w:rsidR="00F335F1">
              <w:t xml:space="preserve">class </w:t>
            </w:r>
            <w:r w:rsidR="002152D9">
              <w:t>I</w:t>
            </w:r>
          </w:p>
        </w:tc>
        <w:tc>
          <w:tcPr>
            <w:tcW w:w="5670" w:type="dxa"/>
          </w:tcPr>
          <w:p w14:paraId="1B866F17" w14:textId="61753937" w:rsidR="001F2B4D" w:rsidRDefault="002152D9" w:rsidP="003B475C">
            <w:r>
              <w:t xml:space="preserve">The strength of recommendation was reduced based on data that ICD therapy for </w:t>
            </w:r>
            <w:r w:rsidRPr="002152D9">
              <w:t>polymorphic and bidirectional VT did not demonstrate successful primary termination</w:t>
            </w:r>
            <w:r>
              <w:t>.</w:t>
            </w:r>
            <w:r>
              <w:rPr>
                <w:vertAlign w:val="superscript"/>
              </w:rPr>
              <w:t>157,164</w:t>
            </w:r>
            <w:r>
              <w:t xml:space="preserve"> I</w:t>
            </w:r>
            <w:r w:rsidRPr="002152D9">
              <w:t>nappropriate shocks, electrical storm, and ICD complications were common</w:t>
            </w:r>
            <w:r>
              <w:t>.</w:t>
            </w:r>
          </w:p>
        </w:tc>
      </w:tr>
      <w:tr w:rsidR="00782B73" w14:paraId="28F504E2" w14:textId="77777777" w:rsidTr="006165B4">
        <w:tc>
          <w:tcPr>
            <w:tcW w:w="2549" w:type="dxa"/>
          </w:tcPr>
          <w:p w14:paraId="2704CF74" w14:textId="75BB5C56" w:rsidR="00782B73" w:rsidRDefault="00782B73" w:rsidP="003B475C">
            <w:r>
              <w:t>3.</w:t>
            </w:r>
            <w:r w:rsidR="00460676">
              <w:t>3.3</w:t>
            </w:r>
            <w:r>
              <w:t xml:space="preserve"> </w:t>
            </w:r>
            <w:proofErr w:type="spellStart"/>
            <w:r>
              <w:t>Brugada</w:t>
            </w:r>
            <w:proofErr w:type="spellEnd"/>
            <w:r>
              <w:t xml:space="preserve"> </w:t>
            </w:r>
            <w:r w:rsidR="00F335F1">
              <w:t>syndrome</w:t>
            </w:r>
          </w:p>
        </w:tc>
        <w:tc>
          <w:tcPr>
            <w:tcW w:w="1939" w:type="dxa"/>
          </w:tcPr>
          <w:p w14:paraId="7E974DDC" w14:textId="2FD257B0" w:rsidR="00782B73" w:rsidRDefault="00782B73" w:rsidP="003B475C">
            <w:proofErr w:type="spellStart"/>
            <w:r>
              <w:t>II</w:t>
            </w:r>
            <w:r w:rsidR="00F335F1">
              <w:t>a</w:t>
            </w:r>
            <w:proofErr w:type="spellEnd"/>
          </w:p>
        </w:tc>
        <w:tc>
          <w:tcPr>
            <w:tcW w:w="2887" w:type="dxa"/>
          </w:tcPr>
          <w:p w14:paraId="41E2E3CB" w14:textId="78AF759D" w:rsidR="00782B73" w:rsidRDefault="00782B73" w:rsidP="00782B73">
            <w:pPr>
              <w:rPr>
                <w:vertAlign w:val="superscript"/>
              </w:rPr>
            </w:pPr>
            <w:r>
              <w:t xml:space="preserve">Change from 2017 </w:t>
            </w:r>
            <w:r w:rsidR="008A745B" w:rsidRPr="00B346BD">
              <w:t xml:space="preserve">VA/SCD </w:t>
            </w:r>
            <w:r>
              <w:t>guideline</w:t>
            </w:r>
            <w:r>
              <w:rPr>
                <w:vertAlign w:val="superscript"/>
              </w:rPr>
              <w:t>12</w:t>
            </w:r>
          </w:p>
          <w:p w14:paraId="0D92DE05" w14:textId="3F60B906" w:rsidR="00782B73" w:rsidRDefault="00A036AC" w:rsidP="003B475C">
            <w:r>
              <w:rPr>
                <w:rFonts w:ascii="Times New Roman" w:hAnsi="Times New Roman" w:cs="Times New Roman"/>
              </w:rPr>
              <w:t xml:space="preserve">• </w:t>
            </w:r>
            <w:r w:rsidR="00DB7E3A">
              <w:t>T</w:t>
            </w:r>
            <w:r w:rsidR="00850BCA">
              <w:t xml:space="preserve">o </w:t>
            </w:r>
            <w:r w:rsidR="00F335F1">
              <w:t xml:space="preserve">class </w:t>
            </w:r>
            <w:proofErr w:type="spellStart"/>
            <w:r w:rsidR="00782B73">
              <w:t>II</w:t>
            </w:r>
            <w:r w:rsidR="00F335F1">
              <w:t>a</w:t>
            </w:r>
            <w:proofErr w:type="spellEnd"/>
            <w:r w:rsidR="00782B73">
              <w:t xml:space="preserve"> from </w:t>
            </w:r>
            <w:r w:rsidR="00F335F1">
              <w:t xml:space="preserve">class </w:t>
            </w:r>
            <w:r w:rsidR="00782B73">
              <w:t>I</w:t>
            </w:r>
          </w:p>
        </w:tc>
        <w:tc>
          <w:tcPr>
            <w:tcW w:w="5670" w:type="dxa"/>
          </w:tcPr>
          <w:p w14:paraId="565C2B46" w14:textId="6388CD52" w:rsidR="00782B73" w:rsidRDefault="00782B73" w:rsidP="003B475C">
            <w:r>
              <w:t xml:space="preserve">This recommendation is similar to </w:t>
            </w:r>
            <w:r w:rsidR="008A745B">
              <w:t xml:space="preserve">the </w:t>
            </w:r>
            <w:r>
              <w:t xml:space="preserve">2013 </w:t>
            </w:r>
            <w:r w:rsidR="008A745B">
              <w:t xml:space="preserve">genetic arrhythmias </w:t>
            </w:r>
            <w:r>
              <w:t>guideline</w:t>
            </w:r>
            <w:r>
              <w:rPr>
                <w:vertAlign w:val="superscript"/>
              </w:rPr>
              <w:t>14</w:t>
            </w:r>
            <w:r>
              <w:t xml:space="preserve"> but differs from the 2017 </w:t>
            </w:r>
            <w:r w:rsidR="008A745B" w:rsidRPr="00B346BD">
              <w:t xml:space="preserve">VA/SCD </w:t>
            </w:r>
            <w:r>
              <w:t>guideline</w:t>
            </w:r>
            <w:r w:rsidR="00DB7E3A">
              <w:t>.</w:t>
            </w:r>
            <w:r>
              <w:rPr>
                <w:vertAlign w:val="superscript"/>
              </w:rPr>
              <w:t>12</w:t>
            </w:r>
            <w:r>
              <w:t xml:space="preserve"> </w:t>
            </w:r>
            <w:r w:rsidR="00FA355A">
              <w:t xml:space="preserve"> There are diverse etiologies of syncope in children. </w:t>
            </w:r>
            <w:r>
              <w:t xml:space="preserve">Risk/benefit of </w:t>
            </w:r>
            <w:r w:rsidR="00FA355A">
              <w:t>ICD implant and long</w:t>
            </w:r>
            <w:r w:rsidR="00ED4B0B">
              <w:t>-</w:t>
            </w:r>
            <w:r w:rsidR="00FA355A">
              <w:t xml:space="preserve">term complications (especially when implanted at a very young age) and </w:t>
            </w:r>
            <w:r>
              <w:t>long</w:t>
            </w:r>
            <w:r w:rsidR="00ED4B0B">
              <w:t>-</w:t>
            </w:r>
            <w:r>
              <w:t>term ICD and lifetime of device/lead revisions need to be considered.</w:t>
            </w:r>
          </w:p>
        </w:tc>
      </w:tr>
      <w:tr w:rsidR="00B069BB" w14:paraId="5B213E26" w14:textId="77777777" w:rsidTr="006165B4">
        <w:tc>
          <w:tcPr>
            <w:tcW w:w="2549" w:type="dxa"/>
          </w:tcPr>
          <w:p w14:paraId="3964DC2C" w14:textId="6E1882BA" w:rsidR="001F2B4D" w:rsidRDefault="001F2B4D" w:rsidP="003B475C"/>
        </w:tc>
        <w:tc>
          <w:tcPr>
            <w:tcW w:w="1939" w:type="dxa"/>
          </w:tcPr>
          <w:p w14:paraId="03A0AE33" w14:textId="1239BFB3" w:rsidR="001F2B4D" w:rsidRDefault="00E373E4" w:rsidP="003B475C">
            <w:r>
              <w:t>II</w:t>
            </w:r>
            <w:r w:rsidR="00F335F1">
              <w:t>b</w:t>
            </w:r>
          </w:p>
        </w:tc>
        <w:tc>
          <w:tcPr>
            <w:tcW w:w="2887" w:type="dxa"/>
          </w:tcPr>
          <w:p w14:paraId="46479951" w14:textId="438E20AF" w:rsidR="001F2B4D" w:rsidRDefault="00E373E4" w:rsidP="003B475C">
            <w:r>
              <w:t>New</w:t>
            </w:r>
          </w:p>
        </w:tc>
        <w:tc>
          <w:tcPr>
            <w:tcW w:w="5670" w:type="dxa"/>
          </w:tcPr>
          <w:p w14:paraId="43D19A82" w14:textId="4943C554" w:rsidR="001F2B4D" w:rsidRDefault="00E373E4" w:rsidP="003B475C">
            <w:r>
              <w:t>Consensus of the writing committee</w:t>
            </w:r>
            <w:r w:rsidR="00460166">
              <w:t>:</w:t>
            </w:r>
            <w:r w:rsidR="00225B38">
              <w:t xml:space="preserve"> C</w:t>
            </w:r>
            <w:r>
              <w:t xml:space="preserve">onsideration of ICD implantation for syncope </w:t>
            </w:r>
            <w:r w:rsidR="000D55D7">
              <w:t xml:space="preserve">when </w:t>
            </w:r>
            <w:r>
              <w:t xml:space="preserve">type I </w:t>
            </w:r>
            <w:proofErr w:type="spellStart"/>
            <w:r>
              <w:t>BrS</w:t>
            </w:r>
            <w:proofErr w:type="spellEnd"/>
            <w:r>
              <w:t xml:space="preserve"> ECG pattern </w:t>
            </w:r>
            <w:r w:rsidR="000D55D7">
              <w:t xml:space="preserve">only </w:t>
            </w:r>
            <w:r w:rsidR="00FC49B0">
              <w:t xml:space="preserve">provoked </w:t>
            </w:r>
            <w:r>
              <w:t>with pharmacologic challenge</w:t>
            </w:r>
            <w:r w:rsidR="00857040">
              <w:t>.</w:t>
            </w:r>
            <w:r w:rsidR="00335931">
              <w:t xml:space="preserve"> </w:t>
            </w:r>
          </w:p>
        </w:tc>
      </w:tr>
      <w:tr w:rsidR="00B069BB" w14:paraId="57F30DAA" w14:textId="77777777" w:rsidTr="006165B4">
        <w:tc>
          <w:tcPr>
            <w:tcW w:w="2549" w:type="dxa"/>
          </w:tcPr>
          <w:p w14:paraId="7C6612ED" w14:textId="42A79CDA" w:rsidR="001F2B4D" w:rsidRDefault="00FC49B0" w:rsidP="003B475C">
            <w:r>
              <w:t>3.</w:t>
            </w:r>
            <w:r w:rsidR="00460676">
              <w:t>4.1</w:t>
            </w:r>
            <w:r>
              <w:t xml:space="preserve"> Hypertrophic cardiomyopathy</w:t>
            </w:r>
          </w:p>
        </w:tc>
        <w:tc>
          <w:tcPr>
            <w:tcW w:w="1939" w:type="dxa"/>
          </w:tcPr>
          <w:p w14:paraId="255A183D" w14:textId="333939BA" w:rsidR="001F2B4D" w:rsidRDefault="00FC49B0" w:rsidP="003B475C">
            <w:proofErr w:type="spellStart"/>
            <w:r>
              <w:t>II</w:t>
            </w:r>
            <w:r w:rsidR="00F335F1">
              <w:t>a</w:t>
            </w:r>
            <w:proofErr w:type="spellEnd"/>
          </w:p>
        </w:tc>
        <w:tc>
          <w:tcPr>
            <w:tcW w:w="2887" w:type="dxa"/>
          </w:tcPr>
          <w:p w14:paraId="01929DCF" w14:textId="7B888C74" w:rsidR="001F2B4D" w:rsidRDefault="00FC49B0" w:rsidP="003B475C">
            <w:pPr>
              <w:rPr>
                <w:vertAlign w:val="superscript"/>
              </w:rPr>
            </w:pPr>
            <w:r>
              <w:t xml:space="preserve">Modification from 2017 </w:t>
            </w:r>
            <w:r w:rsidR="00850BCA" w:rsidRPr="00B346BD">
              <w:t xml:space="preserve">VA/SCD </w:t>
            </w:r>
            <w:r>
              <w:t>guideline</w:t>
            </w:r>
            <w:r>
              <w:rPr>
                <w:vertAlign w:val="superscript"/>
              </w:rPr>
              <w:t>12</w:t>
            </w:r>
          </w:p>
          <w:p w14:paraId="0C60AD3C" w14:textId="018EAD43" w:rsidR="00FC49B0" w:rsidRPr="00FC49B0" w:rsidRDefault="00A036AC" w:rsidP="003B475C">
            <w:r>
              <w:rPr>
                <w:rFonts w:ascii="Times New Roman" w:hAnsi="Times New Roman" w:cs="Times New Roman"/>
              </w:rPr>
              <w:t xml:space="preserve">• </w:t>
            </w:r>
            <w:proofErr w:type="spellStart"/>
            <w:r w:rsidR="00DB7E3A">
              <w:rPr>
                <w:rFonts w:ascii="Calibri" w:hAnsi="Calibri" w:cstheme="minorHAnsi"/>
                <w:sz w:val="22"/>
                <w:szCs w:val="22"/>
              </w:rPr>
              <w:t>N</w:t>
            </w:r>
            <w:r w:rsidR="00DB7E3A" w:rsidRPr="00DB7E3A">
              <w:t>onsustained</w:t>
            </w:r>
            <w:proofErr w:type="spellEnd"/>
            <w:r w:rsidR="00DB7E3A" w:rsidRPr="00DB7E3A">
              <w:t xml:space="preserve"> </w:t>
            </w:r>
            <w:r w:rsidR="00FC49B0">
              <w:t>VT included as a risk factor</w:t>
            </w:r>
          </w:p>
        </w:tc>
        <w:tc>
          <w:tcPr>
            <w:tcW w:w="5670" w:type="dxa"/>
          </w:tcPr>
          <w:p w14:paraId="73E29ECD" w14:textId="04D18471" w:rsidR="001F2B4D" w:rsidRPr="00FC49B0" w:rsidRDefault="00FC49B0" w:rsidP="003B475C">
            <w:pPr>
              <w:rPr>
                <w:vertAlign w:val="superscript"/>
              </w:rPr>
            </w:pPr>
            <w:r>
              <w:t>Consistent with 2020 HCM guidelines</w:t>
            </w:r>
            <w:r w:rsidR="00857040">
              <w:t>.</w:t>
            </w:r>
            <w:r>
              <w:rPr>
                <w:vertAlign w:val="superscript"/>
              </w:rPr>
              <w:t>15</w:t>
            </w:r>
          </w:p>
        </w:tc>
      </w:tr>
      <w:tr w:rsidR="00B069BB" w14:paraId="62984331" w14:textId="77777777" w:rsidTr="006165B4">
        <w:tc>
          <w:tcPr>
            <w:tcW w:w="2549" w:type="dxa"/>
          </w:tcPr>
          <w:p w14:paraId="6F284FA1" w14:textId="5999904C" w:rsidR="001F2B4D" w:rsidRDefault="00FC49B0" w:rsidP="003B475C">
            <w:r>
              <w:t>3.</w:t>
            </w:r>
            <w:r w:rsidR="00460676">
              <w:t>4</w:t>
            </w:r>
            <w:r w:rsidR="003E66A5">
              <w:t>.</w:t>
            </w:r>
            <w:r w:rsidR="00460676">
              <w:t>3</w:t>
            </w:r>
            <w:r>
              <w:t xml:space="preserve"> Arrhythmogenic </w:t>
            </w:r>
            <w:r w:rsidR="00F335F1">
              <w:t>cardiomyopathies</w:t>
            </w:r>
          </w:p>
        </w:tc>
        <w:tc>
          <w:tcPr>
            <w:tcW w:w="1939" w:type="dxa"/>
          </w:tcPr>
          <w:p w14:paraId="67DF1367" w14:textId="73418CD9" w:rsidR="001F2B4D" w:rsidRDefault="00FC49B0" w:rsidP="003B475C">
            <w:proofErr w:type="spellStart"/>
            <w:r>
              <w:t>II</w:t>
            </w:r>
            <w:r w:rsidR="00F335F1">
              <w:t>a</w:t>
            </w:r>
            <w:proofErr w:type="spellEnd"/>
          </w:p>
        </w:tc>
        <w:tc>
          <w:tcPr>
            <w:tcW w:w="2887" w:type="dxa"/>
          </w:tcPr>
          <w:p w14:paraId="1E3C2C72" w14:textId="37DFF78C" w:rsidR="001F2B4D" w:rsidRDefault="00FC49B0" w:rsidP="003B475C">
            <w:pPr>
              <w:rPr>
                <w:vertAlign w:val="superscript"/>
              </w:rPr>
            </w:pPr>
            <w:r>
              <w:t>Change from 2017</w:t>
            </w:r>
            <w:r w:rsidR="00850BCA">
              <w:t xml:space="preserve"> </w:t>
            </w:r>
            <w:r w:rsidR="00850BCA" w:rsidRPr="00B346BD">
              <w:t>VA/SCD</w:t>
            </w:r>
            <w:r>
              <w:t xml:space="preserve"> guideline</w:t>
            </w:r>
            <w:r>
              <w:rPr>
                <w:vertAlign w:val="superscript"/>
              </w:rPr>
              <w:t>12</w:t>
            </w:r>
          </w:p>
          <w:p w14:paraId="4D6F2C12" w14:textId="110C0055" w:rsidR="00FC49B0" w:rsidRDefault="00A036AC" w:rsidP="003B475C">
            <w:r>
              <w:rPr>
                <w:rFonts w:ascii="Times New Roman" w:hAnsi="Times New Roman" w:cs="Times New Roman"/>
              </w:rPr>
              <w:t xml:space="preserve">• </w:t>
            </w:r>
            <w:r w:rsidR="00FC49B0">
              <w:t xml:space="preserve">ICD for sustained VT changed to class </w:t>
            </w:r>
            <w:proofErr w:type="spellStart"/>
            <w:r w:rsidR="00FC49B0">
              <w:t>II</w:t>
            </w:r>
            <w:r w:rsidR="00DB7E3A">
              <w:t>a</w:t>
            </w:r>
            <w:proofErr w:type="spellEnd"/>
            <w:r w:rsidR="00FC49B0">
              <w:t xml:space="preserve"> from class I</w:t>
            </w:r>
          </w:p>
          <w:p w14:paraId="73F83413" w14:textId="42514CE1" w:rsidR="00FC49B0" w:rsidRDefault="00A036AC" w:rsidP="003B475C">
            <w:r>
              <w:rPr>
                <w:rFonts w:ascii="Times New Roman" w:hAnsi="Times New Roman" w:cs="Times New Roman"/>
              </w:rPr>
              <w:t xml:space="preserve">• </w:t>
            </w:r>
            <w:r w:rsidR="00FC49B0">
              <w:t xml:space="preserve">ICD for LVEF </w:t>
            </w:r>
            <w:r w:rsidR="00FC49B0" w:rsidRPr="001D5738">
              <w:rPr>
                <w:rFonts w:cstheme="minorHAnsi"/>
                <w:sz w:val="22"/>
                <w:szCs w:val="22"/>
              </w:rPr>
              <w:t>≤</w:t>
            </w:r>
            <w:r w:rsidR="00FC49B0">
              <w:t xml:space="preserve">35% changed to class </w:t>
            </w:r>
            <w:proofErr w:type="spellStart"/>
            <w:r w:rsidR="00FC49B0">
              <w:t>II</w:t>
            </w:r>
            <w:r w:rsidR="00F335F1">
              <w:t>a</w:t>
            </w:r>
            <w:proofErr w:type="spellEnd"/>
            <w:r w:rsidR="00FC49B0">
              <w:t xml:space="preserve"> from class I</w:t>
            </w:r>
          </w:p>
        </w:tc>
        <w:tc>
          <w:tcPr>
            <w:tcW w:w="5670" w:type="dxa"/>
          </w:tcPr>
          <w:p w14:paraId="13F2BF0E" w14:textId="433211D9" w:rsidR="001F2B4D" w:rsidRPr="00FC49B0" w:rsidRDefault="00FC49B0" w:rsidP="003B475C">
            <w:r>
              <w:t>A qualification of hemodynamically stable was added to sustained VT in this recommendation.</w:t>
            </w:r>
            <w:r w:rsidR="00513243">
              <w:rPr>
                <w:vertAlign w:val="superscript"/>
              </w:rPr>
              <w:t>16,192</w:t>
            </w:r>
            <w:r>
              <w:t xml:space="preserve"> Due to the low prevalence of manifest disease in children, it is unclear if </w:t>
            </w:r>
            <w:r w:rsidR="00785BD8">
              <w:t xml:space="preserve">survival </w:t>
            </w:r>
            <w:r w:rsidRPr="00FC49B0">
              <w:t>benefit</w:t>
            </w:r>
            <w:r>
              <w:t xml:space="preserve"> of ICD</w:t>
            </w:r>
            <w:r w:rsidRPr="00FC49B0">
              <w:t xml:space="preserve"> can be extrapolated </w:t>
            </w:r>
            <w:r>
              <w:t xml:space="preserve">from adult data </w:t>
            </w:r>
            <w:r w:rsidRPr="00FC49B0">
              <w:t xml:space="preserve">to </w:t>
            </w:r>
            <w:r>
              <w:t>children</w:t>
            </w:r>
            <w:r w:rsidR="00785BD8">
              <w:t xml:space="preserve"> with hemodynamically stable VT or LVEF </w:t>
            </w:r>
            <w:r w:rsidR="00785BD8" w:rsidRPr="001D5738">
              <w:rPr>
                <w:rFonts w:cstheme="minorHAnsi"/>
                <w:sz w:val="22"/>
                <w:szCs w:val="22"/>
              </w:rPr>
              <w:t>≤</w:t>
            </w:r>
            <w:r w:rsidR="00785BD8">
              <w:t>35%</w:t>
            </w:r>
            <w:r>
              <w:t xml:space="preserve">. </w:t>
            </w:r>
            <w:r w:rsidR="00335931">
              <w:t>The COR is consistent with 2019 guideline</w:t>
            </w:r>
            <w:r w:rsidR="00335931">
              <w:rPr>
                <w:vertAlign w:val="superscript"/>
              </w:rPr>
              <w:t>16</w:t>
            </w:r>
            <w:r w:rsidR="00F82287">
              <w:t xml:space="preserve"> </w:t>
            </w:r>
            <w:r w:rsidR="00335931">
              <w:t>for syncope suspected due to VA.</w:t>
            </w:r>
            <w:r w:rsidR="00F82287">
              <w:t xml:space="preserve"> </w:t>
            </w:r>
            <w:r>
              <w:t>Risk/benefit of long</w:t>
            </w:r>
            <w:r w:rsidR="00ED4B0B">
              <w:t>-</w:t>
            </w:r>
            <w:r>
              <w:t>term ICD therapy and lifetime of device/lead revisions need to be considered in young children.</w:t>
            </w:r>
          </w:p>
        </w:tc>
      </w:tr>
      <w:tr w:rsidR="00B069BB" w14:paraId="5C527DF0" w14:textId="77777777" w:rsidTr="006165B4">
        <w:tc>
          <w:tcPr>
            <w:tcW w:w="2549" w:type="dxa"/>
          </w:tcPr>
          <w:p w14:paraId="71046596" w14:textId="77777777" w:rsidR="001F2B4D" w:rsidRDefault="001F2B4D" w:rsidP="003B475C"/>
        </w:tc>
        <w:tc>
          <w:tcPr>
            <w:tcW w:w="1939" w:type="dxa"/>
          </w:tcPr>
          <w:p w14:paraId="0656971B" w14:textId="72E39602" w:rsidR="001F2B4D" w:rsidRDefault="00CF1601" w:rsidP="003B475C">
            <w:r>
              <w:t>II</w:t>
            </w:r>
            <w:r w:rsidR="00F335F1">
              <w:t>b</w:t>
            </w:r>
          </w:p>
        </w:tc>
        <w:tc>
          <w:tcPr>
            <w:tcW w:w="2887" w:type="dxa"/>
          </w:tcPr>
          <w:p w14:paraId="42EF944A" w14:textId="135E56ED" w:rsidR="001F2B4D" w:rsidRDefault="00CF1601" w:rsidP="003B475C">
            <w:r>
              <w:t>New</w:t>
            </w:r>
          </w:p>
        </w:tc>
        <w:tc>
          <w:tcPr>
            <w:tcW w:w="5670" w:type="dxa"/>
          </w:tcPr>
          <w:p w14:paraId="7C18BE89" w14:textId="1FFEC550" w:rsidR="001F2B4D" w:rsidRPr="00335931" w:rsidRDefault="00CF1601" w:rsidP="003B475C">
            <w:r>
              <w:t xml:space="preserve">There </w:t>
            </w:r>
            <w:r w:rsidR="00B749CE">
              <w:t>are</w:t>
            </w:r>
            <w:r>
              <w:t xml:space="preserve"> limited data on risk stratification for primary prevention ICD implantation in children with ACM. ICD </w:t>
            </w:r>
            <w:r>
              <w:lastRenderedPageBreak/>
              <w:t>therapy may be considered in selected patients based on</w:t>
            </w:r>
            <w:r w:rsidRPr="002737F8">
              <w:t xml:space="preserve"> </w:t>
            </w:r>
            <w:r>
              <w:t>clinical</w:t>
            </w:r>
            <w:r w:rsidRPr="002737F8">
              <w:t xml:space="preserve"> judgment </w:t>
            </w:r>
            <w:r>
              <w:t>and strength of risk factors.</w:t>
            </w:r>
            <w:r>
              <w:rPr>
                <w:vertAlign w:val="superscript"/>
              </w:rPr>
              <w:t>16</w:t>
            </w:r>
            <w:r w:rsidR="00B749CE">
              <w:rPr>
                <w:vertAlign w:val="superscript"/>
              </w:rPr>
              <w:t>,192-193</w:t>
            </w:r>
            <w:r>
              <w:t xml:space="preserve"> </w:t>
            </w:r>
            <w:r w:rsidR="00335931">
              <w:t>The COR is consistent with 2019 guideline</w:t>
            </w:r>
            <w:r w:rsidR="00335931">
              <w:rPr>
                <w:vertAlign w:val="superscript"/>
              </w:rPr>
              <w:t>16</w:t>
            </w:r>
            <w:r w:rsidR="00335931">
              <w:t xml:space="preserve"> for ARVC. </w:t>
            </w:r>
          </w:p>
        </w:tc>
      </w:tr>
      <w:tr w:rsidR="00B069BB" w14:paraId="4351AD39" w14:textId="77777777" w:rsidTr="006165B4">
        <w:tc>
          <w:tcPr>
            <w:tcW w:w="2549" w:type="dxa"/>
          </w:tcPr>
          <w:p w14:paraId="11F911FA" w14:textId="777FA30A" w:rsidR="00DB7E3A" w:rsidRPr="00DB7E3A" w:rsidRDefault="00A01812" w:rsidP="00DB7E3A">
            <w:pPr>
              <w:rPr>
                <w:b/>
              </w:rPr>
            </w:pPr>
            <w:r>
              <w:lastRenderedPageBreak/>
              <w:t>3.</w:t>
            </w:r>
            <w:r w:rsidR="00460676">
              <w:t>4.4</w:t>
            </w:r>
            <w:r>
              <w:t xml:space="preserve"> </w:t>
            </w:r>
            <w:proofErr w:type="spellStart"/>
            <w:r w:rsidR="00DB7E3A" w:rsidRPr="006165B4">
              <w:rPr>
                <w:bCs/>
              </w:rPr>
              <w:t>Nonischemic</w:t>
            </w:r>
            <w:proofErr w:type="spellEnd"/>
            <w:r w:rsidR="00DB7E3A" w:rsidRPr="006165B4">
              <w:rPr>
                <w:bCs/>
              </w:rPr>
              <w:t xml:space="preserve"> dilated</w:t>
            </w:r>
            <w:r w:rsidR="00126244">
              <w:rPr>
                <w:bCs/>
              </w:rPr>
              <w:t xml:space="preserve"> c</w:t>
            </w:r>
            <w:r w:rsidR="00DB7E3A" w:rsidRPr="006165B4">
              <w:rPr>
                <w:bCs/>
              </w:rPr>
              <w:t xml:space="preserve">ardiomyopathies </w:t>
            </w:r>
          </w:p>
          <w:p w14:paraId="0C799379" w14:textId="1B3362EA" w:rsidR="001F2B4D" w:rsidRDefault="001F2B4D" w:rsidP="003B475C"/>
        </w:tc>
        <w:tc>
          <w:tcPr>
            <w:tcW w:w="1939" w:type="dxa"/>
          </w:tcPr>
          <w:p w14:paraId="63B636E1" w14:textId="769EA453" w:rsidR="001F2B4D" w:rsidRPr="00785BD8" w:rsidRDefault="000D55D7" w:rsidP="003B475C">
            <w:pPr>
              <w:rPr>
                <w:bCs/>
              </w:rPr>
            </w:pPr>
            <w:r w:rsidRPr="00785BD8">
              <w:rPr>
                <w:bCs/>
                <w:color w:val="000000" w:themeColor="text1"/>
              </w:rPr>
              <w:t>II</w:t>
            </w:r>
            <w:r w:rsidR="00F335F1">
              <w:rPr>
                <w:bCs/>
                <w:color w:val="000000" w:themeColor="text1"/>
              </w:rPr>
              <w:t>b</w:t>
            </w:r>
            <w:r w:rsidRPr="00785BD8">
              <w:rPr>
                <w:bCs/>
                <w:color w:val="000000" w:themeColor="text1"/>
              </w:rPr>
              <w:t xml:space="preserve"> </w:t>
            </w:r>
          </w:p>
        </w:tc>
        <w:tc>
          <w:tcPr>
            <w:tcW w:w="2887" w:type="dxa"/>
          </w:tcPr>
          <w:p w14:paraId="14491D44" w14:textId="3F13015C" w:rsidR="00A01812" w:rsidRDefault="00A01812" w:rsidP="00A01812">
            <w:pPr>
              <w:rPr>
                <w:vertAlign w:val="superscript"/>
              </w:rPr>
            </w:pPr>
            <w:r>
              <w:t xml:space="preserve">Change from 2012 </w:t>
            </w:r>
            <w:r w:rsidR="00F335F1">
              <w:t xml:space="preserve">device </w:t>
            </w:r>
            <w:r w:rsidR="00785BD8">
              <w:t xml:space="preserve">therapy </w:t>
            </w:r>
            <w:r>
              <w:t>guideline</w:t>
            </w:r>
            <w:r>
              <w:rPr>
                <w:vertAlign w:val="superscript"/>
              </w:rPr>
              <w:t>7</w:t>
            </w:r>
            <w:r>
              <w:t xml:space="preserve"> and</w:t>
            </w:r>
            <w:r w:rsidR="00364E38">
              <w:t xml:space="preserve"> </w:t>
            </w:r>
            <w:r>
              <w:t>2017 guideline</w:t>
            </w:r>
            <w:r>
              <w:rPr>
                <w:vertAlign w:val="superscript"/>
              </w:rPr>
              <w:t>12</w:t>
            </w:r>
          </w:p>
          <w:p w14:paraId="3C9AC809" w14:textId="324E4B29" w:rsidR="00A01812" w:rsidRPr="00A01812" w:rsidRDefault="00A036AC" w:rsidP="00A01812">
            <w:r>
              <w:rPr>
                <w:rFonts w:ascii="Times New Roman" w:hAnsi="Times New Roman" w:cs="Times New Roman"/>
              </w:rPr>
              <w:t xml:space="preserve">• </w:t>
            </w:r>
            <w:r w:rsidR="00DB7E3A">
              <w:t>T</w:t>
            </w:r>
            <w:r w:rsidR="00785BD8">
              <w:t xml:space="preserve">o </w:t>
            </w:r>
            <w:r w:rsidR="00F335F1">
              <w:t xml:space="preserve">class </w:t>
            </w:r>
            <w:r w:rsidR="00A01812">
              <w:t>II</w:t>
            </w:r>
            <w:r w:rsidR="00F335F1">
              <w:t>b</w:t>
            </w:r>
            <w:r w:rsidR="00A01812">
              <w:t xml:space="preserve"> </w:t>
            </w:r>
            <w:r w:rsidR="00A9106E">
              <w:t>from</w:t>
            </w:r>
            <w:r w:rsidR="00A01812">
              <w:t xml:space="preserve"> </w:t>
            </w:r>
            <w:r w:rsidR="00F335F1">
              <w:t xml:space="preserve">class </w:t>
            </w:r>
            <w:r w:rsidR="00A01812">
              <w:t>I</w:t>
            </w:r>
          </w:p>
          <w:p w14:paraId="606435A5" w14:textId="77777777" w:rsidR="001F2B4D" w:rsidRDefault="001F2B4D" w:rsidP="003B475C"/>
        </w:tc>
        <w:tc>
          <w:tcPr>
            <w:tcW w:w="5670" w:type="dxa"/>
          </w:tcPr>
          <w:p w14:paraId="7F6AE7F5" w14:textId="2B9533D0" w:rsidR="001F2B4D" w:rsidRPr="00A01812" w:rsidRDefault="00A01812" w:rsidP="003B475C">
            <w:pPr>
              <w:rPr>
                <w:vertAlign w:val="superscript"/>
              </w:rPr>
            </w:pPr>
            <w:r w:rsidRPr="00A01812">
              <w:t>The supportive data for primary</w:t>
            </w:r>
            <w:r w:rsidR="00CF7FB5">
              <w:t xml:space="preserve"> </w:t>
            </w:r>
            <w:r w:rsidRPr="00A01812">
              <w:t xml:space="preserve">prevention ICD in patients with </w:t>
            </w:r>
            <w:proofErr w:type="spellStart"/>
            <w:r w:rsidRPr="00A01812">
              <w:t>nonischemic</w:t>
            </w:r>
            <w:proofErr w:type="spellEnd"/>
            <w:r w:rsidRPr="00A01812">
              <w:t xml:space="preserve"> cardiomyopathy (LVEF ≤35%), mild heart failure symptom on guideline-directed medical therapy recommendation are predominantly derived from the Sudden Cardiac Death in Heart Failure Trial (SCD-</w:t>
            </w:r>
            <w:proofErr w:type="spellStart"/>
            <w:r w:rsidRPr="00A01812">
              <w:t>HeFT</w:t>
            </w:r>
            <w:proofErr w:type="spellEnd"/>
            <w:r w:rsidRPr="00A01812">
              <w:t>)</w:t>
            </w:r>
            <w:r w:rsidR="006E5C96">
              <w:rPr>
                <w:vertAlign w:val="superscript"/>
              </w:rPr>
              <w:t>198</w:t>
            </w:r>
            <w:r w:rsidRPr="00A01812">
              <w:t xml:space="preserve"> that enrolled patients with median age 60 years and included those with ischemic cardiovascular </w:t>
            </w:r>
            <w:r>
              <w:t>disease. Therefore</w:t>
            </w:r>
            <w:r w:rsidR="003A20B4">
              <w:t>,</w:t>
            </w:r>
            <w:r>
              <w:t xml:space="preserve"> th</w:t>
            </w:r>
            <w:r w:rsidR="00DB7E3A">
              <w:t>ese</w:t>
            </w:r>
            <w:r>
              <w:t xml:space="preserve"> data cannot be generalized to children with NIDCM. Data</w:t>
            </w:r>
            <w:r w:rsidRPr="00A01812">
              <w:t xml:space="preserve"> from the Pediatric Cardiomyopathy Registry and other similar series demonstrate very low rate of sudden arrhythmic death in the pediatric population</w:t>
            </w:r>
            <w:r>
              <w:t>.</w:t>
            </w:r>
            <w:r>
              <w:rPr>
                <w:vertAlign w:val="superscript"/>
              </w:rPr>
              <w:t>196,198</w:t>
            </w:r>
          </w:p>
        </w:tc>
      </w:tr>
      <w:tr w:rsidR="00A36FA5" w14:paraId="3EA469AA" w14:textId="77777777" w:rsidTr="006165B4">
        <w:tc>
          <w:tcPr>
            <w:tcW w:w="2549" w:type="dxa"/>
          </w:tcPr>
          <w:p w14:paraId="3A96650C" w14:textId="77777777" w:rsidR="00A36FA5" w:rsidRDefault="00A36FA5" w:rsidP="003B475C"/>
        </w:tc>
        <w:tc>
          <w:tcPr>
            <w:tcW w:w="1939" w:type="dxa"/>
          </w:tcPr>
          <w:p w14:paraId="36AF4C1C" w14:textId="77802D32" w:rsidR="00A36FA5" w:rsidRDefault="00A36FA5" w:rsidP="003B475C">
            <w:r>
              <w:t>III</w:t>
            </w:r>
            <w:r w:rsidR="000D55D7">
              <w:t xml:space="preserve"> </w:t>
            </w:r>
            <w:r>
              <w:t>(#2)</w:t>
            </w:r>
          </w:p>
        </w:tc>
        <w:tc>
          <w:tcPr>
            <w:tcW w:w="2887" w:type="dxa"/>
          </w:tcPr>
          <w:p w14:paraId="7E07A456" w14:textId="03170AF9" w:rsidR="00A36FA5" w:rsidRDefault="00A36FA5" w:rsidP="003B475C">
            <w:r>
              <w:t>New</w:t>
            </w:r>
          </w:p>
        </w:tc>
        <w:tc>
          <w:tcPr>
            <w:tcW w:w="5670" w:type="dxa"/>
          </w:tcPr>
          <w:p w14:paraId="0638731A" w14:textId="3759FAFB" w:rsidR="00A36FA5" w:rsidRDefault="00A36FA5" w:rsidP="00A84F16">
            <w:r>
              <w:t xml:space="preserve">Consensus of </w:t>
            </w:r>
            <w:r w:rsidR="00460166">
              <w:t xml:space="preserve">the </w:t>
            </w:r>
            <w:r>
              <w:t>writing committee</w:t>
            </w:r>
            <w:r w:rsidR="006165B4">
              <w:t xml:space="preserve"> that </w:t>
            </w:r>
            <w:r w:rsidR="006165B4">
              <w:t>ICD implan</w:t>
            </w:r>
            <w:r w:rsidR="006165B4">
              <w:t xml:space="preserve">t is </w:t>
            </w:r>
            <w:r w:rsidR="006165B4">
              <w:t>not considered appropriate</w:t>
            </w:r>
            <w:r w:rsidR="006165B4">
              <w:t xml:space="preserve"> in</w:t>
            </w:r>
            <w:r w:rsidR="006165B4">
              <w:t xml:space="preserve"> young patients who remain</w:t>
            </w:r>
            <w:r w:rsidR="006165B4">
              <w:t xml:space="preserve"> hospitalized</w:t>
            </w:r>
            <w:r w:rsidR="006165B4">
              <w:t xml:space="preserve"> in a monitored critical </w:t>
            </w:r>
            <w:r w:rsidR="006165B4">
              <w:t xml:space="preserve">care </w:t>
            </w:r>
            <w:r w:rsidR="006165B4">
              <w:t>unit</w:t>
            </w:r>
          </w:p>
        </w:tc>
      </w:tr>
      <w:tr w:rsidR="00B069BB" w14:paraId="08288DA1" w14:textId="77777777" w:rsidTr="006165B4">
        <w:tc>
          <w:tcPr>
            <w:tcW w:w="2549" w:type="dxa"/>
          </w:tcPr>
          <w:p w14:paraId="0670B946" w14:textId="003253A9" w:rsidR="001F2B4D" w:rsidRDefault="00A84F16" w:rsidP="003B475C">
            <w:r>
              <w:t>3.</w:t>
            </w:r>
            <w:r w:rsidR="00460676">
              <w:t>5</w:t>
            </w:r>
            <w:r>
              <w:t xml:space="preserve"> </w:t>
            </w:r>
            <w:r w:rsidR="00DB7E3A" w:rsidRPr="006165B4">
              <w:rPr>
                <w:bCs/>
              </w:rPr>
              <w:t>Congenital heart disease</w:t>
            </w:r>
          </w:p>
        </w:tc>
        <w:tc>
          <w:tcPr>
            <w:tcW w:w="1939" w:type="dxa"/>
          </w:tcPr>
          <w:p w14:paraId="780E260D" w14:textId="25C02495" w:rsidR="001F2B4D" w:rsidRDefault="001051C8" w:rsidP="003B475C">
            <w:r>
              <w:t>II</w:t>
            </w:r>
            <w:r w:rsidR="00F335F1">
              <w:t>b</w:t>
            </w:r>
            <w:r w:rsidR="000D55D7">
              <w:t xml:space="preserve"> </w:t>
            </w:r>
            <w:r w:rsidR="00335931">
              <w:t>(#1)</w:t>
            </w:r>
          </w:p>
        </w:tc>
        <w:tc>
          <w:tcPr>
            <w:tcW w:w="2887" w:type="dxa"/>
          </w:tcPr>
          <w:p w14:paraId="51D6CBF0" w14:textId="2FEEE0B6" w:rsidR="001F2B4D" w:rsidRDefault="001051C8" w:rsidP="003B475C">
            <w:r>
              <w:t>New</w:t>
            </w:r>
          </w:p>
        </w:tc>
        <w:tc>
          <w:tcPr>
            <w:tcW w:w="5670" w:type="dxa"/>
          </w:tcPr>
          <w:p w14:paraId="385AA2E9" w14:textId="05DBF7E9" w:rsidR="001F2B4D" w:rsidRDefault="00A84F16" w:rsidP="00A84F16">
            <w:r>
              <w:t xml:space="preserve">Consensus of </w:t>
            </w:r>
            <w:r w:rsidR="00460166">
              <w:t xml:space="preserve">the </w:t>
            </w:r>
            <w:r>
              <w:t>writing committee</w:t>
            </w:r>
            <w:r w:rsidR="00460166">
              <w:t>:</w:t>
            </w:r>
            <w:r w:rsidR="00225B38">
              <w:t xml:space="preserve"> </w:t>
            </w:r>
            <w:r>
              <w:t xml:space="preserve">Given the potential for </w:t>
            </w:r>
            <w:r w:rsidR="00622925">
              <w:t>hemodynamic instability</w:t>
            </w:r>
            <w:r w:rsidR="006E5C96">
              <w:t xml:space="preserve"> of a previously stable VT</w:t>
            </w:r>
            <w:r>
              <w:t xml:space="preserve">, </w:t>
            </w:r>
            <w:r w:rsidR="006E5C96">
              <w:t>I</w:t>
            </w:r>
            <w:r>
              <w:t>CD therapy</w:t>
            </w:r>
            <w:r w:rsidR="006E5C96">
              <w:t xml:space="preserve"> </w:t>
            </w:r>
            <w:r w:rsidR="00A62625">
              <w:t>may</w:t>
            </w:r>
            <w:r w:rsidR="006E5C96">
              <w:t xml:space="preserve"> be considered.</w:t>
            </w:r>
            <w:r>
              <w:t xml:space="preserve"> </w:t>
            </w:r>
          </w:p>
        </w:tc>
      </w:tr>
      <w:tr w:rsidR="00B069BB" w14:paraId="7B644BFB" w14:textId="77777777" w:rsidTr="006165B4">
        <w:tc>
          <w:tcPr>
            <w:tcW w:w="2549" w:type="dxa"/>
          </w:tcPr>
          <w:p w14:paraId="332E174E" w14:textId="62C266FB" w:rsidR="00AF34EC" w:rsidRPr="008450F2" w:rsidRDefault="00AF34EC" w:rsidP="00AF34EC">
            <w:pPr>
              <w:rPr>
                <w:b/>
              </w:rPr>
            </w:pPr>
            <w:r w:rsidRPr="008450F2">
              <w:rPr>
                <w:b/>
              </w:rPr>
              <w:t>4</w:t>
            </w:r>
            <w:r w:rsidR="003E66A5" w:rsidRPr="008450F2">
              <w:rPr>
                <w:b/>
              </w:rPr>
              <w:t>.</w:t>
            </w:r>
            <w:r w:rsidR="00DB7E3A" w:rsidRPr="00DB7E3A">
              <w:rPr>
                <w:rFonts w:ascii="Calibri" w:hAnsi="Calibri" w:cstheme="minorHAnsi"/>
                <w:b/>
                <w:sz w:val="22"/>
                <w:szCs w:val="22"/>
              </w:rPr>
              <w:t xml:space="preserve"> </w:t>
            </w:r>
            <w:r w:rsidR="00DB7E3A" w:rsidRPr="00DB7E3A">
              <w:rPr>
                <w:b/>
              </w:rPr>
              <w:t>Insertable cardiac monitors</w:t>
            </w:r>
          </w:p>
        </w:tc>
        <w:tc>
          <w:tcPr>
            <w:tcW w:w="1939" w:type="dxa"/>
          </w:tcPr>
          <w:p w14:paraId="16CE09D2" w14:textId="56F59402" w:rsidR="00AF34EC" w:rsidRDefault="00AF34EC" w:rsidP="00AF34EC">
            <w:proofErr w:type="spellStart"/>
            <w:r>
              <w:t>II</w:t>
            </w:r>
            <w:r w:rsidR="00F335F1">
              <w:t>a</w:t>
            </w:r>
            <w:proofErr w:type="spellEnd"/>
            <w:r w:rsidR="000D55D7">
              <w:t xml:space="preserve"> </w:t>
            </w:r>
            <w:r>
              <w:t>(#3)</w:t>
            </w:r>
          </w:p>
        </w:tc>
        <w:tc>
          <w:tcPr>
            <w:tcW w:w="2887" w:type="dxa"/>
          </w:tcPr>
          <w:p w14:paraId="795B76D5" w14:textId="063FD909" w:rsidR="00AF34EC" w:rsidRDefault="00AF34EC" w:rsidP="00AF34EC">
            <w:r>
              <w:t>New</w:t>
            </w:r>
          </w:p>
        </w:tc>
        <w:tc>
          <w:tcPr>
            <w:tcW w:w="5670" w:type="dxa"/>
          </w:tcPr>
          <w:p w14:paraId="44EAB666" w14:textId="6DD27B7D" w:rsidR="00AF34EC" w:rsidRPr="00AF34EC" w:rsidRDefault="00AF34EC" w:rsidP="00AF34EC">
            <w:pPr>
              <w:rPr>
                <w:vertAlign w:val="superscript"/>
              </w:rPr>
            </w:pPr>
            <w:r>
              <w:t>ICM for refining management in inherited arrhythmia syndromes.</w:t>
            </w:r>
            <w:r>
              <w:rPr>
                <w:vertAlign w:val="superscript"/>
              </w:rPr>
              <w:t>226,228</w:t>
            </w:r>
            <w:r w:rsidR="000D55D7">
              <w:rPr>
                <w:vertAlign w:val="superscript"/>
              </w:rPr>
              <w:t xml:space="preserve">  </w:t>
            </w:r>
            <w:r w:rsidR="00687FB9">
              <w:rPr>
                <w:vertAlign w:val="superscript"/>
              </w:rPr>
              <w:t xml:space="preserve"> </w:t>
            </w:r>
          </w:p>
        </w:tc>
      </w:tr>
      <w:tr w:rsidR="00B069BB" w14:paraId="6F284A2A" w14:textId="77777777" w:rsidTr="006165B4">
        <w:tc>
          <w:tcPr>
            <w:tcW w:w="2549" w:type="dxa"/>
          </w:tcPr>
          <w:p w14:paraId="372CFB4C" w14:textId="77777777" w:rsidR="00AF34EC" w:rsidRDefault="00AF34EC" w:rsidP="00AF34EC"/>
        </w:tc>
        <w:tc>
          <w:tcPr>
            <w:tcW w:w="1939" w:type="dxa"/>
          </w:tcPr>
          <w:p w14:paraId="229314F4" w14:textId="644C26B7" w:rsidR="00AF34EC" w:rsidRDefault="00AF34EC" w:rsidP="00AF34EC">
            <w:r>
              <w:t>I</w:t>
            </w:r>
            <w:r w:rsidR="003D0F19">
              <w:t>I</w:t>
            </w:r>
            <w:r w:rsidR="00F335F1">
              <w:t xml:space="preserve">b </w:t>
            </w:r>
            <w:r>
              <w:t>(#3)</w:t>
            </w:r>
          </w:p>
        </w:tc>
        <w:tc>
          <w:tcPr>
            <w:tcW w:w="2887" w:type="dxa"/>
          </w:tcPr>
          <w:p w14:paraId="7F97ABEE" w14:textId="03F07C89" w:rsidR="00AF34EC" w:rsidRDefault="00C22774" w:rsidP="00AF34EC">
            <w:r>
              <w:t>New</w:t>
            </w:r>
          </w:p>
        </w:tc>
        <w:tc>
          <w:tcPr>
            <w:tcW w:w="5670" w:type="dxa"/>
          </w:tcPr>
          <w:p w14:paraId="78ABBAC0" w14:textId="0DD28E21" w:rsidR="00AF34EC" w:rsidRDefault="00C22774" w:rsidP="00AF34EC">
            <w:r>
              <w:t>ICM for severe but infrequent palpitations.</w:t>
            </w:r>
            <w:r w:rsidR="000D55D7">
              <w:t xml:space="preserve"> </w:t>
            </w:r>
          </w:p>
        </w:tc>
      </w:tr>
      <w:tr w:rsidR="00B069BB" w14:paraId="222216F9" w14:textId="77777777" w:rsidTr="006165B4">
        <w:tc>
          <w:tcPr>
            <w:tcW w:w="2549" w:type="dxa"/>
          </w:tcPr>
          <w:p w14:paraId="54FCB317" w14:textId="77777777" w:rsidR="00AF34EC" w:rsidRDefault="00AF34EC" w:rsidP="00AF34EC"/>
        </w:tc>
        <w:tc>
          <w:tcPr>
            <w:tcW w:w="1939" w:type="dxa"/>
          </w:tcPr>
          <w:p w14:paraId="77B2152E" w14:textId="48B39465" w:rsidR="00AF34EC" w:rsidRDefault="00AF34EC" w:rsidP="00AF34EC">
            <w:r>
              <w:t>I</w:t>
            </w:r>
            <w:r w:rsidR="00F335F1">
              <w:t xml:space="preserve">Ib </w:t>
            </w:r>
            <w:r>
              <w:t>(#4)</w:t>
            </w:r>
          </w:p>
        </w:tc>
        <w:tc>
          <w:tcPr>
            <w:tcW w:w="2887" w:type="dxa"/>
          </w:tcPr>
          <w:p w14:paraId="05E38385" w14:textId="72D43394" w:rsidR="00AF34EC" w:rsidRDefault="00C22774" w:rsidP="00AF34EC">
            <w:r>
              <w:t>New</w:t>
            </w:r>
          </w:p>
        </w:tc>
        <w:tc>
          <w:tcPr>
            <w:tcW w:w="5670" w:type="dxa"/>
          </w:tcPr>
          <w:p w14:paraId="043937E6" w14:textId="323604B9" w:rsidR="00AF34EC" w:rsidRDefault="00C22774" w:rsidP="00AF34EC">
            <w:r>
              <w:t xml:space="preserve">Consensus of </w:t>
            </w:r>
            <w:r w:rsidR="00460166">
              <w:t xml:space="preserve">the </w:t>
            </w:r>
            <w:r>
              <w:t>writing committee</w:t>
            </w:r>
            <w:r w:rsidR="00460166">
              <w:t>:</w:t>
            </w:r>
            <w:r w:rsidR="00225B38">
              <w:t xml:space="preserve"> </w:t>
            </w:r>
            <w:r>
              <w:t>ICM for detecting occult arrhythmias in high</w:t>
            </w:r>
            <w:r w:rsidR="00DB7E3A">
              <w:t>-</w:t>
            </w:r>
            <w:r>
              <w:t xml:space="preserve">risk patients. </w:t>
            </w:r>
          </w:p>
        </w:tc>
      </w:tr>
      <w:tr w:rsidR="00B069BB" w14:paraId="45730218" w14:textId="77777777" w:rsidTr="006165B4">
        <w:tc>
          <w:tcPr>
            <w:tcW w:w="2549" w:type="dxa"/>
          </w:tcPr>
          <w:p w14:paraId="7CD16755" w14:textId="6051E88C" w:rsidR="001F2B4D" w:rsidRPr="003E66A5" w:rsidRDefault="00C22774" w:rsidP="003B475C">
            <w:pPr>
              <w:rPr>
                <w:b/>
              </w:rPr>
            </w:pPr>
            <w:r w:rsidRPr="003E66A5">
              <w:rPr>
                <w:b/>
              </w:rPr>
              <w:t>5</w:t>
            </w:r>
            <w:r w:rsidR="003E66A5" w:rsidRPr="003E66A5">
              <w:rPr>
                <w:b/>
              </w:rPr>
              <w:t>.</w:t>
            </w:r>
            <w:r w:rsidRPr="003E66A5">
              <w:rPr>
                <w:b/>
              </w:rPr>
              <w:t xml:space="preserve"> </w:t>
            </w:r>
            <w:r w:rsidR="00DB7E3A" w:rsidRPr="00DB7E3A">
              <w:rPr>
                <w:b/>
              </w:rPr>
              <w:t xml:space="preserve">CIED </w:t>
            </w:r>
            <w:r w:rsidRPr="003E66A5">
              <w:rPr>
                <w:b/>
              </w:rPr>
              <w:t xml:space="preserve">Lead </w:t>
            </w:r>
            <w:r w:rsidR="00F335F1" w:rsidRPr="003E66A5">
              <w:rPr>
                <w:b/>
              </w:rPr>
              <w:t>management</w:t>
            </w:r>
          </w:p>
        </w:tc>
        <w:tc>
          <w:tcPr>
            <w:tcW w:w="1939" w:type="dxa"/>
          </w:tcPr>
          <w:p w14:paraId="140C8238" w14:textId="60E664D7" w:rsidR="001F2B4D" w:rsidRDefault="001F2B4D" w:rsidP="003B475C"/>
        </w:tc>
        <w:tc>
          <w:tcPr>
            <w:tcW w:w="2887" w:type="dxa"/>
          </w:tcPr>
          <w:p w14:paraId="3EEC5FFB" w14:textId="77777777" w:rsidR="001F2B4D" w:rsidRDefault="001F2B4D" w:rsidP="003B475C"/>
        </w:tc>
        <w:tc>
          <w:tcPr>
            <w:tcW w:w="5670" w:type="dxa"/>
          </w:tcPr>
          <w:p w14:paraId="0D2AFE86" w14:textId="77777777" w:rsidR="001F2B4D" w:rsidRDefault="001F2B4D" w:rsidP="003B475C"/>
        </w:tc>
      </w:tr>
      <w:tr w:rsidR="00B069BB" w14:paraId="0BCD82F3" w14:textId="77777777" w:rsidTr="006165B4">
        <w:tc>
          <w:tcPr>
            <w:tcW w:w="2549" w:type="dxa"/>
          </w:tcPr>
          <w:p w14:paraId="3956AF15" w14:textId="485A04C3" w:rsidR="001F2B4D" w:rsidRDefault="006E5C96" w:rsidP="003B475C">
            <w:r>
              <w:t xml:space="preserve">Lead </w:t>
            </w:r>
            <w:r w:rsidR="00F335F1">
              <w:t>upgrade</w:t>
            </w:r>
            <w:r w:rsidR="00DB7E3A">
              <w:t xml:space="preserve"> or </w:t>
            </w:r>
            <w:r w:rsidR="00F335F1">
              <w:t>abandonment</w:t>
            </w:r>
          </w:p>
        </w:tc>
        <w:tc>
          <w:tcPr>
            <w:tcW w:w="1939" w:type="dxa"/>
          </w:tcPr>
          <w:p w14:paraId="68241B06" w14:textId="7A491586" w:rsidR="001F2B4D" w:rsidRDefault="006E5C96" w:rsidP="003B475C">
            <w:r>
              <w:t>I</w:t>
            </w:r>
            <w:r w:rsidR="00F335F1">
              <w:t xml:space="preserve">Ib </w:t>
            </w:r>
            <w:r>
              <w:t>(#1)</w:t>
            </w:r>
          </w:p>
        </w:tc>
        <w:tc>
          <w:tcPr>
            <w:tcW w:w="2887" w:type="dxa"/>
          </w:tcPr>
          <w:p w14:paraId="4C2D99E2" w14:textId="2E61EA86" w:rsidR="001F2B4D" w:rsidRDefault="006E5C96" w:rsidP="003B475C">
            <w:r>
              <w:t>New</w:t>
            </w:r>
            <w:r w:rsidR="00687FB9">
              <w:t xml:space="preserve"> </w:t>
            </w:r>
          </w:p>
        </w:tc>
        <w:tc>
          <w:tcPr>
            <w:tcW w:w="5670" w:type="dxa"/>
          </w:tcPr>
          <w:p w14:paraId="0C7551BD" w14:textId="529A664B" w:rsidR="001F2B4D" w:rsidRDefault="006E5C96" w:rsidP="006E5C96">
            <w:r>
              <w:t xml:space="preserve">The </w:t>
            </w:r>
            <w:proofErr w:type="spellStart"/>
            <w:r w:rsidR="007412DE">
              <w:t>II</w:t>
            </w:r>
            <w:r w:rsidR="00F335F1">
              <w:t>a</w:t>
            </w:r>
            <w:proofErr w:type="spellEnd"/>
            <w:r w:rsidR="007412DE">
              <w:t xml:space="preserve"> COR in the 2017 CIED lead management </w:t>
            </w:r>
            <w:r w:rsidR="004854EE">
              <w:t>ECS</w:t>
            </w:r>
            <w:r w:rsidR="007412DE">
              <w:rPr>
                <w:vertAlign w:val="superscript"/>
              </w:rPr>
              <w:t>18</w:t>
            </w:r>
            <w:r>
              <w:t xml:space="preserve"> </w:t>
            </w:r>
            <w:r w:rsidR="007412DE">
              <w:t xml:space="preserve">regarding </w:t>
            </w:r>
            <w:r>
              <w:t xml:space="preserve">lead removal for &gt;5 leads through the SVC is </w:t>
            </w:r>
            <w:r>
              <w:lastRenderedPageBreak/>
              <w:t xml:space="preserve">not applicable to children. </w:t>
            </w:r>
            <w:r w:rsidR="00952B9F">
              <w:t>Instead, the decision to remove a lead in children depends on number of existing leads relative to patient size, anatomy, vasculature</w:t>
            </w:r>
            <w:r w:rsidR="00DB7E3A">
              <w:t>,</w:t>
            </w:r>
            <w:r w:rsidR="00952B9F">
              <w:t xml:space="preserve"> and </w:t>
            </w:r>
            <w:r w:rsidR="004854EE">
              <w:t>r</w:t>
            </w:r>
            <w:r>
              <w:t>isk/benefit of lead extraction</w:t>
            </w:r>
            <w:r w:rsidR="00952B9F">
              <w:t>.</w:t>
            </w:r>
          </w:p>
        </w:tc>
      </w:tr>
      <w:tr w:rsidR="00B069BB" w14:paraId="20D3E622" w14:textId="77777777" w:rsidTr="006165B4">
        <w:tc>
          <w:tcPr>
            <w:tcW w:w="2549" w:type="dxa"/>
          </w:tcPr>
          <w:p w14:paraId="62F14F73" w14:textId="77777777" w:rsidR="001F2B4D" w:rsidRDefault="001F2B4D" w:rsidP="003B475C"/>
        </w:tc>
        <w:tc>
          <w:tcPr>
            <w:tcW w:w="1939" w:type="dxa"/>
          </w:tcPr>
          <w:p w14:paraId="66255C19" w14:textId="0853246A" w:rsidR="001F2B4D" w:rsidRDefault="006E5C96" w:rsidP="003B475C">
            <w:r>
              <w:t>II</w:t>
            </w:r>
            <w:r w:rsidR="003D0F19">
              <w:t>b</w:t>
            </w:r>
            <w:r w:rsidR="00687FB9">
              <w:t xml:space="preserve"> </w:t>
            </w:r>
            <w:r w:rsidR="00A36FA5">
              <w:t>(#2)</w:t>
            </w:r>
          </w:p>
        </w:tc>
        <w:tc>
          <w:tcPr>
            <w:tcW w:w="2887" w:type="dxa"/>
          </w:tcPr>
          <w:p w14:paraId="424B1149" w14:textId="5A026C7F" w:rsidR="001F2B4D" w:rsidRDefault="006E5C96" w:rsidP="003B475C">
            <w:r>
              <w:t>New</w:t>
            </w:r>
          </w:p>
        </w:tc>
        <w:tc>
          <w:tcPr>
            <w:tcW w:w="5670" w:type="dxa"/>
          </w:tcPr>
          <w:p w14:paraId="54E2EE11" w14:textId="7A6E3021" w:rsidR="001F2B4D" w:rsidRDefault="006E5C96" w:rsidP="003B475C">
            <w:r>
              <w:t>Consensus of writing committee</w:t>
            </w:r>
            <w:r w:rsidR="00E06D02">
              <w:t>:</w:t>
            </w:r>
            <w:r>
              <w:t xml:space="preserve"> </w:t>
            </w:r>
            <w:r w:rsidR="00225B38">
              <w:t>L</w:t>
            </w:r>
            <w:r>
              <w:t>ead removal for asymptomatic upper extremity venous stenosis or thrombosis</w:t>
            </w:r>
            <w:r w:rsidR="00AE4929">
              <w:t>.</w:t>
            </w:r>
          </w:p>
        </w:tc>
      </w:tr>
      <w:tr w:rsidR="00B069BB" w14:paraId="0C221CC8" w14:textId="77777777" w:rsidTr="006165B4">
        <w:tc>
          <w:tcPr>
            <w:tcW w:w="2549" w:type="dxa"/>
          </w:tcPr>
          <w:p w14:paraId="346A4207" w14:textId="6239DD69" w:rsidR="001F2B4D" w:rsidRDefault="006E5C96" w:rsidP="003B475C">
            <w:r>
              <w:t>Infectio</w:t>
            </w:r>
            <w:r w:rsidR="00AE4929">
              <w:t>us tissues</w:t>
            </w:r>
          </w:p>
        </w:tc>
        <w:tc>
          <w:tcPr>
            <w:tcW w:w="1939" w:type="dxa"/>
          </w:tcPr>
          <w:p w14:paraId="7C3065AA" w14:textId="60EFF828" w:rsidR="001F2B4D" w:rsidRDefault="006E5C96" w:rsidP="003B475C">
            <w:r>
              <w:t>II</w:t>
            </w:r>
            <w:r w:rsidR="00F335F1">
              <w:t>b</w:t>
            </w:r>
          </w:p>
        </w:tc>
        <w:tc>
          <w:tcPr>
            <w:tcW w:w="2887" w:type="dxa"/>
          </w:tcPr>
          <w:p w14:paraId="66120A98" w14:textId="77777777" w:rsidR="001F2B4D" w:rsidRDefault="006E5C96" w:rsidP="003B475C">
            <w:pPr>
              <w:rPr>
                <w:vertAlign w:val="superscript"/>
              </w:rPr>
            </w:pPr>
            <w:r>
              <w:t>Change from 2017 guideline</w:t>
            </w:r>
            <w:r>
              <w:rPr>
                <w:vertAlign w:val="superscript"/>
              </w:rPr>
              <w:t>18</w:t>
            </w:r>
          </w:p>
          <w:p w14:paraId="67B91740" w14:textId="0EEEBABB" w:rsidR="006E5C96" w:rsidRPr="006E5C96" w:rsidRDefault="00A036AC" w:rsidP="003B475C">
            <w:r>
              <w:rPr>
                <w:rFonts w:ascii="Times New Roman" w:hAnsi="Times New Roman" w:cs="Times New Roman"/>
              </w:rPr>
              <w:t xml:space="preserve">• </w:t>
            </w:r>
            <w:r w:rsidR="00AE4929">
              <w:t>To c</w:t>
            </w:r>
            <w:r w:rsidR="00F335F1">
              <w:t xml:space="preserve">lass </w:t>
            </w:r>
            <w:r w:rsidR="006E5C96">
              <w:t>II</w:t>
            </w:r>
            <w:r w:rsidR="00F335F1">
              <w:t>b</w:t>
            </w:r>
            <w:r w:rsidR="006E5C96">
              <w:t xml:space="preserve"> </w:t>
            </w:r>
            <w:r w:rsidR="00A9106E">
              <w:t>from</w:t>
            </w:r>
            <w:r w:rsidR="006E5C96">
              <w:t xml:space="preserve"> </w:t>
            </w:r>
            <w:r w:rsidR="00F335F1">
              <w:t xml:space="preserve">class </w:t>
            </w:r>
            <w:r w:rsidR="006E5C96">
              <w:t xml:space="preserve">I </w:t>
            </w:r>
          </w:p>
        </w:tc>
        <w:tc>
          <w:tcPr>
            <w:tcW w:w="5670" w:type="dxa"/>
          </w:tcPr>
          <w:p w14:paraId="42BDF30D" w14:textId="38A3E97B" w:rsidR="001F2B4D" w:rsidRDefault="006E5C96" w:rsidP="003B475C">
            <w:r>
              <w:t>The recommendation has been qualified by adding s</w:t>
            </w:r>
            <w:r w:rsidRPr="00254B26">
              <w:rPr>
                <w:i/>
              </w:rPr>
              <w:t>uperficial</w:t>
            </w:r>
            <w:r>
              <w:t xml:space="preserve"> pocket infection. </w:t>
            </w:r>
            <w:r w:rsidR="0010087A">
              <w:t>Superficial pocket infections can be treated with antibiotics.</w:t>
            </w:r>
            <w:r w:rsidR="0010087A">
              <w:rPr>
                <w:vertAlign w:val="superscript"/>
              </w:rPr>
              <w:t>254</w:t>
            </w:r>
            <w:r w:rsidR="0010087A">
              <w:t xml:space="preserve"> </w:t>
            </w:r>
            <w:r>
              <w:t>Risk/benefit of lead extraction should be considered</w:t>
            </w:r>
            <w:r w:rsidR="0010087A">
              <w:t xml:space="preserve"> in this situation</w:t>
            </w:r>
            <w:r>
              <w:t>.</w:t>
            </w:r>
            <w:r w:rsidR="00C92F90">
              <w:t xml:space="preserve"> </w:t>
            </w:r>
            <w:r w:rsidR="006D15B2">
              <w:t>This is c</w:t>
            </w:r>
            <w:r w:rsidR="00687FB9" w:rsidRPr="006D15B2">
              <w:rPr>
                <w:color w:val="000000" w:themeColor="text1"/>
              </w:rPr>
              <w:t xml:space="preserve">onsistent with 2017 </w:t>
            </w:r>
            <w:r w:rsidR="006D15B2">
              <w:rPr>
                <w:color w:val="000000" w:themeColor="text1"/>
              </w:rPr>
              <w:t xml:space="preserve">CIED </w:t>
            </w:r>
            <w:r w:rsidR="00687FB9" w:rsidRPr="006D15B2">
              <w:rPr>
                <w:color w:val="000000" w:themeColor="text1"/>
              </w:rPr>
              <w:t>lead management</w:t>
            </w:r>
            <w:r w:rsidR="006D15B2">
              <w:rPr>
                <w:color w:val="000000" w:themeColor="text1"/>
              </w:rPr>
              <w:t xml:space="preserve"> </w:t>
            </w:r>
            <w:r w:rsidR="004854EE">
              <w:rPr>
                <w:color w:val="000000" w:themeColor="text1"/>
              </w:rPr>
              <w:t>ECS</w:t>
            </w:r>
            <w:r w:rsidR="006D15B2">
              <w:rPr>
                <w:color w:val="000000" w:themeColor="text1"/>
                <w:vertAlign w:val="superscript"/>
              </w:rPr>
              <w:t>18</w:t>
            </w:r>
            <w:r w:rsidR="00687FB9" w:rsidRPr="006D15B2">
              <w:rPr>
                <w:color w:val="000000" w:themeColor="text1"/>
              </w:rPr>
              <w:t xml:space="preserve"> </w:t>
            </w:r>
            <w:r w:rsidR="006D15B2">
              <w:rPr>
                <w:color w:val="000000" w:themeColor="text1"/>
              </w:rPr>
              <w:t>(</w:t>
            </w:r>
            <w:r w:rsidR="00C92F90">
              <w:rPr>
                <w:color w:val="000000" w:themeColor="text1"/>
              </w:rPr>
              <w:t>F</w:t>
            </w:r>
            <w:r w:rsidR="00687FB9" w:rsidRPr="006D15B2">
              <w:rPr>
                <w:color w:val="000000" w:themeColor="text1"/>
              </w:rPr>
              <w:t>igure 3</w:t>
            </w:r>
            <w:r w:rsidR="006D15B2">
              <w:rPr>
                <w:color w:val="000000" w:themeColor="text1"/>
              </w:rPr>
              <w:t>).</w:t>
            </w:r>
            <w:r w:rsidR="00687FB9" w:rsidRPr="006D15B2">
              <w:rPr>
                <w:color w:val="000000" w:themeColor="text1"/>
              </w:rPr>
              <w:t xml:space="preserve"> </w:t>
            </w:r>
          </w:p>
        </w:tc>
      </w:tr>
      <w:tr w:rsidR="00B069BB" w14:paraId="274CB1A6" w14:textId="77777777" w:rsidTr="006165B4">
        <w:tc>
          <w:tcPr>
            <w:tcW w:w="2549" w:type="dxa"/>
          </w:tcPr>
          <w:p w14:paraId="564BCE98" w14:textId="0340E9C8" w:rsidR="001F2B4D" w:rsidRDefault="006E5C96" w:rsidP="003B475C">
            <w:r>
              <w:t>Epicardial</w:t>
            </w:r>
            <w:r w:rsidR="00AE4929">
              <w:t xml:space="preserve"> leads</w:t>
            </w:r>
          </w:p>
        </w:tc>
        <w:tc>
          <w:tcPr>
            <w:tcW w:w="1939" w:type="dxa"/>
          </w:tcPr>
          <w:p w14:paraId="13B6DD15" w14:textId="7BE4376A" w:rsidR="001F2B4D" w:rsidRDefault="006E5C96" w:rsidP="003B475C">
            <w:r>
              <w:t>I</w:t>
            </w:r>
            <w:r w:rsidR="00F335F1">
              <w:t xml:space="preserve"> </w:t>
            </w:r>
            <w:r>
              <w:t>(#1)</w:t>
            </w:r>
          </w:p>
        </w:tc>
        <w:tc>
          <w:tcPr>
            <w:tcW w:w="2887" w:type="dxa"/>
          </w:tcPr>
          <w:p w14:paraId="694C197C" w14:textId="70674C5F" w:rsidR="001F2B4D" w:rsidRDefault="006E5C96" w:rsidP="003B475C">
            <w:r>
              <w:t>New</w:t>
            </w:r>
          </w:p>
        </w:tc>
        <w:tc>
          <w:tcPr>
            <w:tcW w:w="5670" w:type="dxa"/>
          </w:tcPr>
          <w:p w14:paraId="277AA65B" w14:textId="6C5545D1" w:rsidR="001F2B4D" w:rsidRPr="006E5C96" w:rsidRDefault="006E5C96" w:rsidP="003B475C">
            <w:pPr>
              <w:rPr>
                <w:vertAlign w:val="superscript"/>
              </w:rPr>
            </w:pPr>
            <w:r>
              <w:t>Coronary artery compression resulting in myocardial injury can have life</w:t>
            </w:r>
            <w:r w:rsidR="00AE4929">
              <w:t>-</w:t>
            </w:r>
            <w:r>
              <w:t>threatening consequences.</w:t>
            </w:r>
            <w:r>
              <w:rPr>
                <w:vertAlign w:val="superscript"/>
              </w:rPr>
              <w:t>240</w:t>
            </w:r>
          </w:p>
        </w:tc>
      </w:tr>
      <w:tr w:rsidR="00B069BB" w14:paraId="41ACFB1F" w14:textId="77777777" w:rsidTr="006165B4">
        <w:tc>
          <w:tcPr>
            <w:tcW w:w="2549" w:type="dxa"/>
          </w:tcPr>
          <w:p w14:paraId="2BD1C880" w14:textId="77777777" w:rsidR="001F2B4D" w:rsidRDefault="001F2B4D" w:rsidP="003B475C"/>
        </w:tc>
        <w:tc>
          <w:tcPr>
            <w:tcW w:w="1939" w:type="dxa"/>
          </w:tcPr>
          <w:p w14:paraId="4447F6CF" w14:textId="1E644A8E" w:rsidR="001F2B4D" w:rsidRDefault="006E5C96" w:rsidP="003B475C">
            <w:r>
              <w:t>II</w:t>
            </w:r>
            <w:r w:rsidR="00F335F1">
              <w:t xml:space="preserve">b </w:t>
            </w:r>
            <w:r>
              <w:t>(#1)</w:t>
            </w:r>
          </w:p>
        </w:tc>
        <w:tc>
          <w:tcPr>
            <w:tcW w:w="2887" w:type="dxa"/>
          </w:tcPr>
          <w:p w14:paraId="17D4444F" w14:textId="48BA6324" w:rsidR="001F2B4D" w:rsidRDefault="00857040" w:rsidP="003B475C">
            <w:r>
              <w:t>New</w:t>
            </w:r>
          </w:p>
        </w:tc>
        <w:tc>
          <w:tcPr>
            <w:tcW w:w="5670" w:type="dxa"/>
          </w:tcPr>
          <w:p w14:paraId="454D4DC3" w14:textId="23AF8AF2" w:rsidR="001F2B4D" w:rsidRPr="006E5C96" w:rsidRDefault="006E5C96" w:rsidP="003B475C">
            <w:r>
              <w:t xml:space="preserve">Consensus of </w:t>
            </w:r>
            <w:r w:rsidR="00E06D02">
              <w:t xml:space="preserve">the </w:t>
            </w:r>
            <w:r>
              <w:t>writing committee</w:t>
            </w:r>
            <w:r w:rsidR="00E06D02">
              <w:t>:</w:t>
            </w:r>
            <w:r>
              <w:t xml:space="preserve"> </w:t>
            </w:r>
            <w:r w:rsidR="0010087A">
              <w:t xml:space="preserve">In situ epicardial leads may pose a </w:t>
            </w:r>
            <w:r>
              <w:t>potential risk of myocardial injury</w:t>
            </w:r>
            <w:r w:rsidR="0010087A">
              <w:t xml:space="preserve"> depending on their location</w:t>
            </w:r>
            <w:r>
              <w:t>.</w:t>
            </w:r>
            <w:r>
              <w:rPr>
                <w:vertAlign w:val="superscript"/>
              </w:rPr>
              <w:t>240</w:t>
            </w:r>
            <w:r>
              <w:t xml:space="preserve"> Risk/benefit of epicardial lead removal should be considered.   </w:t>
            </w:r>
          </w:p>
        </w:tc>
      </w:tr>
      <w:tr w:rsidR="00B069BB" w14:paraId="4233ED34" w14:textId="77777777" w:rsidTr="006165B4">
        <w:tc>
          <w:tcPr>
            <w:tcW w:w="2549" w:type="dxa"/>
          </w:tcPr>
          <w:p w14:paraId="372E0C92" w14:textId="77777777" w:rsidR="001F2B4D" w:rsidRDefault="001F2B4D" w:rsidP="003B475C"/>
        </w:tc>
        <w:tc>
          <w:tcPr>
            <w:tcW w:w="1939" w:type="dxa"/>
          </w:tcPr>
          <w:p w14:paraId="242AA077" w14:textId="20722D2C" w:rsidR="001F2B4D" w:rsidRDefault="006E5C96" w:rsidP="003B475C">
            <w:r>
              <w:t>II</w:t>
            </w:r>
            <w:r w:rsidR="00F335F1">
              <w:t>b</w:t>
            </w:r>
            <w:r>
              <w:t xml:space="preserve"> (#2)</w:t>
            </w:r>
          </w:p>
        </w:tc>
        <w:tc>
          <w:tcPr>
            <w:tcW w:w="2887" w:type="dxa"/>
          </w:tcPr>
          <w:p w14:paraId="125AC4A8" w14:textId="53226AA5" w:rsidR="001F2B4D" w:rsidRDefault="00857040" w:rsidP="003B475C">
            <w:r>
              <w:t>New</w:t>
            </w:r>
          </w:p>
        </w:tc>
        <w:tc>
          <w:tcPr>
            <w:tcW w:w="5670" w:type="dxa"/>
          </w:tcPr>
          <w:p w14:paraId="3F372930" w14:textId="2A628387" w:rsidR="001F2B4D" w:rsidRPr="006E5C96" w:rsidRDefault="006E5C96" w:rsidP="003B475C">
            <w:r>
              <w:t xml:space="preserve">Consensus of </w:t>
            </w:r>
            <w:r w:rsidR="00E06D02">
              <w:t xml:space="preserve">the </w:t>
            </w:r>
            <w:r>
              <w:t>writing committee</w:t>
            </w:r>
            <w:r w:rsidR="00E06D02">
              <w:t>:</w:t>
            </w:r>
            <w:r w:rsidR="00225B38">
              <w:t xml:space="preserve"> P</w:t>
            </w:r>
            <w:r>
              <w:t>otential for</w:t>
            </w:r>
            <w:r w:rsidR="00C92F90">
              <w:t xml:space="preserve"> </w:t>
            </w:r>
            <w:r>
              <w:t>epicardial lead</w:t>
            </w:r>
            <w:r w:rsidR="0010087A">
              <w:t>s</w:t>
            </w:r>
            <w:r>
              <w:t xml:space="preserve"> to cause coronary compression, valve impingement,</w:t>
            </w:r>
            <w:r w:rsidR="00C92F90">
              <w:t xml:space="preserve"> and</w:t>
            </w:r>
            <w:r>
              <w:t xml:space="preserve"> myocardial strangulation.</w:t>
            </w:r>
            <w:r>
              <w:rPr>
                <w:vertAlign w:val="superscript"/>
              </w:rPr>
              <w:t>240</w:t>
            </w:r>
            <w:r>
              <w:t xml:space="preserve"> Risk/benefit of epicardial lead removal should be considered.</w:t>
            </w:r>
          </w:p>
        </w:tc>
      </w:tr>
      <w:tr w:rsidR="00BE4F52" w14:paraId="103EC5E0" w14:textId="77777777" w:rsidTr="006165B4">
        <w:tc>
          <w:tcPr>
            <w:tcW w:w="2549" w:type="dxa"/>
          </w:tcPr>
          <w:p w14:paraId="3FE94828" w14:textId="205C9016" w:rsidR="00BE4F52" w:rsidRPr="003E66A5" w:rsidRDefault="00BE4F52" w:rsidP="003B475C">
            <w:pPr>
              <w:rPr>
                <w:b/>
              </w:rPr>
            </w:pPr>
            <w:r w:rsidRPr="003E66A5">
              <w:rPr>
                <w:b/>
              </w:rPr>
              <w:t xml:space="preserve">6. </w:t>
            </w:r>
            <w:r>
              <w:rPr>
                <w:b/>
              </w:rPr>
              <w:t xml:space="preserve">CIED </w:t>
            </w:r>
            <w:r w:rsidRPr="003E66A5">
              <w:rPr>
                <w:b/>
              </w:rPr>
              <w:t>follow</w:t>
            </w:r>
            <w:r>
              <w:rPr>
                <w:b/>
              </w:rPr>
              <w:t>-</w:t>
            </w:r>
            <w:r w:rsidRPr="003E66A5">
              <w:rPr>
                <w:b/>
              </w:rPr>
              <w:t>up and ancillary testing</w:t>
            </w:r>
          </w:p>
        </w:tc>
        <w:tc>
          <w:tcPr>
            <w:tcW w:w="1939" w:type="dxa"/>
          </w:tcPr>
          <w:p w14:paraId="7381EB16" w14:textId="77777777" w:rsidR="00BE4F52" w:rsidRPr="003E66A5" w:rsidRDefault="00BE4F52" w:rsidP="003B475C">
            <w:pPr>
              <w:rPr>
                <w:b/>
              </w:rPr>
            </w:pPr>
          </w:p>
        </w:tc>
        <w:tc>
          <w:tcPr>
            <w:tcW w:w="2887" w:type="dxa"/>
          </w:tcPr>
          <w:p w14:paraId="5A24B2E9" w14:textId="77777777" w:rsidR="00BE4F52" w:rsidRPr="003E66A5" w:rsidRDefault="00BE4F52" w:rsidP="003B475C">
            <w:pPr>
              <w:rPr>
                <w:b/>
              </w:rPr>
            </w:pPr>
          </w:p>
        </w:tc>
        <w:tc>
          <w:tcPr>
            <w:tcW w:w="5670" w:type="dxa"/>
          </w:tcPr>
          <w:p w14:paraId="415C6295" w14:textId="7A62EB49" w:rsidR="00BE4F52" w:rsidRPr="003E66A5" w:rsidRDefault="00BE4F52" w:rsidP="003B475C">
            <w:pPr>
              <w:rPr>
                <w:b/>
              </w:rPr>
            </w:pPr>
          </w:p>
        </w:tc>
      </w:tr>
      <w:tr w:rsidR="00B069BB" w14:paraId="57058B88" w14:textId="77777777" w:rsidTr="006165B4">
        <w:tc>
          <w:tcPr>
            <w:tcW w:w="2549" w:type="dxa"/>
          </w:tcPr>
          <w:p w14:paraId="64C78345" w14:textId="1A105EC2" w:rsidR="001F2B4D" w:rsidRDefault="00A9106E" w:rsidP="003B475C">
            <w:r>
              <w:t>Follow</w:t>
            </w:r>
            <w:r w:rsidR="001B71A1">
              <w:t>-</w:t>
            </w:r>
            <w:r>
              <w:t xml:space="preserve">up </w:t>
            </w:r>
          </w:p>
        </w:tc>
        <w:tc>
          <w:tcPr>
            <w:tcW w:w="1939" w:type="dxa"/>
          </w:tcPr>
          <w:p w14:paraId="5D1FCAC4" w14:textId="71DC2323" w:rsidR="001F2B4D" w:rsidRDefault="00A9106E" w:rsidP="003B475C">
            <w:r>
              <w:t>I (#1)</w:t>
            </w:r>
          </w:p>
        </w:tc>
        <w:tc>
          <w:tcPr>
            <w:tcW w:w="2887" w:type="dxa"/>
          </w:tcPr>
          <w:p w14:paraId="67B6C1A0" w14:textId="3F4E25D4" w:rsidR="00A9106E" w:rsidRDefault="00A9106E" w:rsidP="00A9106E">
            <w:pPr>
              <w:rPr>
                <w:vertAlign w:val="superscript"/>
              </w:rPr>
            </w:pPr>
            <w:r>
              <w:t>Change from 2015 guideline</w:t>
            </w:r>
            <w:r>
              <w:rPr>
                <w:vertAlign w:val="superscript"/>
              </w:rPr>
              <w:t>25</w:t>
            </w:r>
            <w:r w:rsidR="00DA67A1">
              <w:rPr>
                <w:vertAlign w:val="superscript"/>
              </w:rPr>
              <w:t>7</w:t>
            </w:r>
          </w:p>
          <w:p w14:paraId="27B2AA1B" w14:textId="59F2EBC9" w:rsidR="001F2B4D" w:rsidRDefault="00A036AC" w:rsidP="003B475C">
            <w:r>
              <w:rPr>
                <w:rFonts w:ascii="Times New Roman" w:hAnsi="Times New Roman" w:cs="Times New Roman"/>
              </w:rPr>
              <w:t xml:space="preserve">• </w:t>
            </w:r>
            <w:r w:rsidR="00AE4929">
              <w:t xml:space="preserve">To </w:t>
            </w:r>
            <w:r w:rsidR="001B71A1">
              <w:t xml:space="preserve">class </w:t>
            </w:r>
            <w:r w:rsidR="00A9106E">
              <w:t xml:space="preserve">I from </w:t>
            </w:r>
            <w:r w:rsidR="001B71A1">
              <w:t xml:space="preserve">class </w:t>
            </w:r>
            <w:proofErr w:type="spellStart"/>
            <w:r w:rsidR="00A9106E">
              <w:t>II</w:t>
            </w:r>
            <w:r w:rsidR="001B71A1">
              <w:t>a</w:t>
            </w:r>
            <w:proofErr w:type="spellEnd"/>
          </w:p>
        </w:tc>
        <w:tc>
          <w:tcPr>
            <w:tcW w:w="5670" w:type="dxa"/>
          </w:tcPr>
          <w:p w14:paraId="0C348CAD" w14:textId="5DF2B3BE" w:rsidR="001F2B4D" w:rsidRDefault="00A9106E" w:rsidP="003B475C">
            <w:r>
              <w:t xml:space="preserve">Consensus of </w:t>
            </w:r>
            <w:r w:rsidR="00E06D02">
              <w:t xml:space="preserve">the </w:t>
            </w:r>
            <w:r>
              <w:t>writing committee</w:t>
            </w:r>
            <w:r w:rsidR="00E06D02">
              <w:t>:</w:t>
            </w:r>
            <w:r w:rsidR="00225B38">
              <w:t xml:space="preserve"> I</w:t>
            </w:r>
            <w:r>
              <w:t>n</w:t>
            </w:r>
            <w:r w:rsidR="00225B38">
              <w:t>-</w:t>
            </w:r>
            <w:r>
              <w:t xml:space="preserve">person evaluation and establishing RIM </w:t>
            </w:r>
            <w:r w:rsidR="00687FB9">
              <w:t>with</w:t>
            </w:r>
            <w:r>
              <w:t>in 2</w:t>
            </w:r>
            <w:r w:rsidR="00AE4929" w:rsidRPr="001D5738">
              <w:rPr>
                <w:rFonts w:cs="Arial"/>
              </w:rPr>
              <w:t>–</w:t>
            </w:r>
            <w:r>
              <w:t xml:space="preserve">4 weeks </w:t>
            </w:r>
          </w:p>
        </w:tc>
      </w:tr>
      <w:tr w:rsidR="00B069BB" w14:paraId="1E3EFB5E" w14:textId="77777777" w:rsidTr="006165B4">
        <w:tc>
          <w:tcPr>
            <w:tcW w:w="2549" w:type="dxa"/>
          </w:tcPr>
          <w:p w14:paraId="10493C3A" w14:textId="77777777" w:rsidR="001F2B4D" w:rsidRDefault="001F2B4D" w:rsidP="003B475C"/>
        </w:tc>
        <w:tc>
          <w:tcPr>
            <w:tcW w:w="1939" w:type="dxa"/>
          </w:tcPr>
          <w:p w14:paraId="0AC6D393" w14:textId="253CF984" w:rsidR="001F2B4D" w:rsidRDefault="00A9106E" w:rsidP="003B475C">
            <w:r>
              <w:t>I (#</w:t>
            </w:r>
            <w:r w:rsidR="00B069BB">
              <w:t>4</w:t>
            </w:r>
            <w:r>
              <w:t>)</w:t>
            </w:r>
          </w:p>
        </w:tc>
        <w:tc>
          <w:tcPr>
            <w:tcW w:w="2887" w:type="dxa"/>
          </w:tcPr>
          <w:p w14:paraId="40BB7AAA" w14:textId="1B326E58" w:rsidR="001F2B4D" w:rsidRDefault="00B069BB" w:rsidP="003B475C">
            <w:pPr>
              <w:rPr>
                <w:vertAlign w:val="superscript"/>
              </w:rPr>
            </w:pPr>
            <w:r>
              <w:t>Modified from 2008 guideline</w:t>
            </w:r>
            <w:r>
              <w:rPr>
                <w:vertAlign w:val="superscript"/>
              </w:rPr>
              <w:t>25</w:t>
            </w:r>
            <w:r w:rsidR="00DA67A1">
              <w:rPr>
                <w:vertAlign w:val="superscript"/>
              </w:rPr>
              <w:t>8</w:t>
            </w:r>
          </w:p>
          <w:p w14:paraId="08AF68DA" w14:textId="42E67596" w:rsidR="00B069BB" w:rsidRPr="00B069BB" w:rsidRDefault="00A036AC" w:rsidP="003B475C">
            <w:r>
              <w:rPr>
                <w:rFonts w:ascii="Times New Roman" w:hAnsi="Times New Roman" w:cs="Times New Roman"/>
              </w:rPr>
              <w:t xml:space="preserve">• </w:t>
            </w:r>
            <w:r w:rsidR="00B069BB">
              <w:t xml:space="preserve">Modified to </w:t>
            </w:r>
            <w:r w:rsidR="001B71A1">
              <w:t xml:space="preserve">class </w:t>
            </w:r>
            <w:r w:rsidR="00B069BB">
              <w:t xml:space="preserve">I </w:t>
            </w:r>
          </w:p>
        </w:tc>
        <w:tc>
          <w:tcPr>
            <w:tcW w:w="5670" w:type="dxa"/>
          </w:tcPr>
          <w:p w14:paraId="4C561A62" w14:textId="0D2417FB" w:rsidR="001F2B4D" w:rsidRDefault="00A9106E" w:rsidP="00C92F90">
            <w:r>
              <w:t xml:space="preserve">Consensus of </w:t>
            </w:r>
            <w:r w:rsidR="00E06D02">
              <w:t xml:space="preserve">the </w:t>
            </w:r>
            <w:r>
              <w:t>writing committee</w:t>
            </w:r>
            <w:r w:rsidR="00E06D02">
              <w:t>:</w:t>
            </w:r>
            <w:r w:rsidR="00B069BB">
              <w:t xml:space="preserve"> </w:t>
            </w:r>
            <w:r w:rsidR="00E06D02">
              <w:t>A</w:t>
            </w:r>
            <w:r w:rsidR="00B069BB">
              <w:t xml:space="preserve">ssign a class I strength of recommendation for minimum frequency of </w:t>
            </w:r>
            <w:r w:rsidR="00AE4929">
              <w:t>i</w:t>
            </w:r>
            <w:r w:rsidR="00B069BB">
              <w:t>n</w:t>
            </w:r>
            <w:r w:rsidR="00225B38">
              <w:t>-</w:t>
            </w:r>
            <w:r w:rsidR="00B069BB">
              <w:t>person follow</w:t>
            </w:r>
            <w:r w:rsidR="001B71A1">
              <w:t>-</w:t>
            </w:r>
            <w:r w:rsidR="00B069BB">
              <w:t>up or remote</w:t>
            </w:r>
            <w:r w:rsidR="00C92F90">
              <w:t xml:space="preserve"> </w:t>
            </w:r>
            <w:r w:rsidR="005E37AD">
              <w:t>m</w:t>
            </w:r>
            <w:r w:rsidR="00B069BB">
              <w:t>onitoring.</w:t>
            </w:r>
          </w:p>
        </w:tc>
      </w:tr>
      <w:tr w:rsidR="00B069BB" w14:paraId="1F5E1003" w14:textId="77777777" w:rsidTr="006165B4">
        <w:tc>
          <w:tcPr>
            <w:tcW w:w="2549" w:type="dxa"/>
          </w:tcPr>
          <w:p w14:paraId="71CCA036" w14:textId="46E6475A" w:rsidR="001F2B4D" w:rsidRDefault="00857040" w:rsidP="003B475C">
            <w:r>
              <w:t xml:space="preserve">Ancillary </w:t>
            </w:r>
            <w:r w:rsidR="001B71A1">
              <w:t>testing</w:t>
            </w:r>
          </w:p>
        </w:tc>
        <w:tc>
          <w:tcPr>
            <w:tcW w:w="1939" w:type="dxa"/>
          </w:tcPr>
          <w:p w14:paraId="6DBC5594" w14:textId="3CB8AD15" w:rsidR="001F2B4D" w:rsidRDefault="00B069BB" w:rsidP="003B475C">
            <w:proofErr w:type="spellStart"/>
            <w:r>
              <w:t>II</w:t>
            </w:r>
            <w:r w:rsidR="001B71A1">
              <w:t>a</w:t>
            </w:r>
            <w:proofErr w:type="spellEnd"/>
            <w:r>
              <w:t xml:space="preserve"> (#1)</w:t>
            </w:r>
          </w:p>
        </w:tc>
        <w:tc>
          <w:tcPr>
            <w:tcW w:w="2887" w:type="dxa"/>
          </w:tcPr>
          <w:p w14:paraId="6D2C1004" w14:textId="1F704171" w:rsidR="001F2B4D" w:rsidRDefault="00B069BB" w:rsidP="003B475C">
            <w:r>
              <w:t>New</w:t>
            </w:r>
          </w:p>
        </w:tc>
        <w:tc>
          <w:tcPr>
            <w:tcW w:w="5670" w:type="dxa"/>
          </w:tcPr>
          <w:p w14:paraId="4E6F5008" w14:textId="78BFEA26" w:rsidR="001F2B4D" w:rsidRDefault="00B069BB" w:rsidP="003B475C">
            <w:r>
              <w:t xml:space="preserve">Consensus of </w:t>
            </w:r>
            <w:r w:rsidR="00E06D02">
              <w:t xml:space="preserve">the </w:t>
            </w:r>
            <w:r>
              <w:t>writing committee</w:t>
            </w:r>
            <w:r w:rsidR="00460166">
              <w:t>:</w:t>
            </w:r>
            <w:r w:rsidR="00225B38">
              <w:t xml:space="preserve"> O</w:t>
            </w:r>
            <w:r>
              <w:t>btain 12</w:t>
            </w:r>
            <w:r w:rsidR="00225B38">
              <w:t>-</w:t>
            </w:r>
            <w:r>
              <w:t>lead ECG</w:t>
            </w:r>
            <w:r w:rsidR="004854EE">
              <w:t xml:space="preserve"> to assess baseline paced or non</w:t>
            </w:r>
            <w:r w:rsidR="00DA67A1">
              <w:t>-</w:t>
            </w:r>
            <w:bookmarkStart w:id="0" w:name="_GoBack"/>
            <w:bookmarkEnd w:id="0"/>
            <w:r w:rsidR="004854EE">
              <w:t>paced rhythm</w:t>
            </w:r>
            <w:r>
              <w:t>.</w:t>
            </w:r>
          </w:p>
        </w:tc>
      </w:tr>
      <w:tr w:rsidR="00B069BB" w14:paraId="124E7AC7" w14:textId="77777777" w:rsidTr="006165B4">
        <w:tc>
          <w:tcPr>
            <w:tcW w:w="2549" w:type="dxa"/>
          </w:tcPr>
          <w:p w14:paraId="5F5401AC" w14:textId="77777777" w:rsidR="001F2B4D" w:rsidRDefault="001F2B4D" w:rsidP="003B475C"/>
        </w:tc>
        <w:tc>
          <w:tcPr>
            <w:tcW w:w="1939" w:type="dxa"/>
          </w:tcPr>
          <w:p w14:paraId="7698F30A" w14:textId="27D7F3D6" w:rsidR="001F2B4D" w:rsidRDefault="00B069BB" w:rsidP="003B475C">
            <w:proofErr w:type="spellStart"/>
            <w:r>
              <w:t>II</w:t>
            </w:r>
            <w:r w:rsidR="001B71A1">
              <w:t>a</w:t>
            </w:r>
            <w:proofErr w:type="spellEnd"/>
            <w:r>
              <w:t xml:space="preserve"> (#2)</w:t>
            </w:r>
          </w:p>
        </w:tc>
        <w:tc>
          <w:tcPr>
            <w:tcW w:w="2887" w:type="dxa"/>
          </w:tcPr>
          <w:p w14:paraId="64B0D06D" w14:textId="63CC9706" w:rsidR="001F2B4D" w:rsidRDefault="00B069BB" w:rsidP="003B475C">
            <w:r>
              <w:t>New</w:t>
            </w:r>
          </w:p>
        </w:tc>
        <w:tc>
          <w:tcPr>
            <w:tcW w:w="5670" w:type="dxa"/>
          </w:tcPr>
          <w:p w14:paraId="6E38C0EF" w14:textId="69440046" w:rsidR="001F2B4D" w:rsidRDefault="00B069BB" w:rsidP="003B475C">
            <w:r>
              <w:t xml:space="preserve">Consensus of </w:t>
            </w:r>
            <w:r w:rsidR="00E06D02">
              <w:t xml:space="preserve">the </w:t>
            </w:r>
            <w:r>
              <w:t>writing committee</w:t>
            </w:r>
            <w:r w:rsidR="00460166">
              <w:t>:</w:t>
            </w:r>
            <w:r w:rsidR="00E06D02">
              <w:t xml:space="preserve"> </w:t>
            </w:r>
            <w:r w:rsidR="00C92F90">
              <w:t xml:space="preserve">Obtain </w:t>
            </w:r>
            <w:r w:rsidR="0010087A">
              <w:t xml:space="preserve">periodic </w:t>
            </w:r>
            <w:r w:rsidR="00460166">
              <w:t>chest X-rays.</w:t>
            </w:r>
          </w:p>
        </w:tc>
      </w:tr>
      <w:tr w:rsidR="00B069BB" w14:paraId="51314A3A" w14:textId="77777777" w:rsidTr="006165B4">
        <w:tc>
          <w:tcPr>
            <w:tcW w:w="2549" w:type="dxa"/>
          </w:tcPr>
          <w:p w14:paraId="52BDF1DD" w14:textId="77777777" w:rsidR="00B069BB" w:rsidRDefault="00B069BB" w:rsidP="00B069BB"/>
        </w:tc>
        <w:tc>
          <w:tcPr>
            <w:tcW w:w="1939" w:type="dxa"/>
          </w:tcPr>
          <w:p w14:paraId="67C8D1C6" w14:textId="70CB59F7" w:rsidR="00B069BB" w:rsidRDefault="00B069BB" w:rsidP="00B069BB">
            <w:proofErr w:type="spellStart"/>
            <w:r>
              <w:t>II</w:t>
            </w:r>
            <w:r w:rsidR="001B71A1">
              <w:t>a</w:t>
            </w:r>
            <w:proofErr w:type="spellEnd"/>
            <w:r>
              <w:t xml:space="preserve"> (#3)</w:t>
            </w:r>
          </w:p>
        </w:tc>
        <w:tc>
          <w:tcPr>
            <w:tcW w:w="2887" w:type="dxa"/>
          </w:tcPr>
          <w:p w14:paraId="1E247C96" w14:textId="5FB4FDF0" w:rsidR="00B069BB" w:rsidRDefault="00B069BB" w:rsidP="00B069BB">
            <w:r>
              <w:t>New</w:t>
            </w:r>
          </w:p>
        </w:tc>
        <w:tc>
          <w:tcPr>
            <w:tcW w:w="5670" w:type="dxa"/>
          </w:tcPr>
          <w:p w14:paraId="78CC504B" w14:textId="44473F15" w:rsidR="00B069BB" w:rsidRDefault="00B069BB" w:rsidP="00B069BB">
            <w:r>
              <w:t xml:space="preserve">Consensus of </w:t>
            </w:r>
            <w:r w:rsidR="00E06D02">
              <w:t xml:space="preserve">the </w:t>
            </w:r>
            <w:r>
              <w:t>writing committee</w:t>
            </w:r>
            <w:r w:rsidR="00460166">
              <w:t>: O</w:t>
            </w:r>
            <w:r>
              <w:t>btain</w:t>
            </w:r>
            <w:r w:rsidR="0010087A">
              <w:t xml:space="preserve"> periodic</w:t>
            </w:r>
            <w:r>
              <w:t xml:space="preserve"> echocardiogram</w:t>
            </w:r>
            <w:r w:rsidR="0010087A">
              <w:t>s to assess ventricular function</w:t>
            </w:r>
            <w:r>
              <w:t>.</w:t>
            </w:r>
          </w:p>
        </w:tc>
      </w:tr>
      <w:tr w:rsidR="00B069BB" w14:paraId="529F6188" w14:textId="77777777" w:rsidTr="006165B4">
        <w:tc>
          <w:tcPr>
            <w:tcW w:w="2549" w:type="dxa"/>
          </w:tcPr>
          <w:p w14:paraId="501C7D5B" w14:textId="77777777" w:rsidR="00B069BB" w:rsidRDefault="00B069BB" w:rsidP="00B069BB"/>
        </w:tc>
        <w:tc>
          <w:tcPr>
            <w:tcW w:w="1939" w:type="dxa"/>
          </w:tcPr>
          <w:p w14:paraId="6AF96C02" w14:textId="7C4BE743" w:rsidR="00B069BB" w:rsidRDefault="00B069BB" w:rsidP="00B069BB">
            <w:r>
              <w:t>II</w:t>
            </w:r>
            <w:r w:rsidR="001B71A1">
              <w:t>b</w:t>
            </w:r>
          </w:p>
        </w:tc>
        <w:tc>
          <w:tcPr>
            <w:tcW w:w="2887" w:type="dxa"/>
          </w:tcPr>
          <w:p w14:paraId="7DB179DD" w14:textId="5B9E73D0" w:rsidR="00B069BB" w:rsidRDefault="00B069BB" w:rsidP="00B069BB">
            <w:r>
              <w:t>New</w:t>
            </w:r>
          </w:p>
        </w:tc>
        <w:tc>
          <w:tcPr>
            <w:tcW w:w="5670" w:type="dxa"/>
          </w:tcPr>
          <w:p w14:paraId="1C9D1E48" w14:textId="06F3DEFE" w:rsidR="00B069BB" w:rsidRDefault="00B069BB" w:rsidP="00B069BB">
            <w:r>
              <w:t xml:space="preserve">Consensus of </w:t>
            </w:r>
            <w:r w:rsidR="00E06D02">
              <w:t xml:space="preserve">the </w:t>
            </w:r>
            <w:r>
              <w:t>writing committee</w:t>
            </w:r>
            <w:r w:rsidR="00460166">
              <w:t>: C</w:t>
            </w:r>
            <w:r>
              <w:t>onsider exercise stress test, ambulatory ECG.</w:t>
            </w:r>
          </w:p>
        </w:tc>
      </w:tr>
      <w:tr w:rsidR="0024667A" w14:paraId="27F42D6E" w14:textId="77777777" w:rsidTr="006165B4">
        <w:tc>
          <w:tcPr>
            <w:tcW w:w="2549" w:type="dxa"/>
          </w:tcPr>
          <w:p w14:paraId="751B78B0" w14:textId="77777777" w:rsidR="00BE4F52" w:rsidRPr="003E66A5" w:rsidRDefault="00BE4F52" w:rsidP="00B069BB">
            <w:pPr>
              <w:rPr>
                <w:b/>
              </w:rPr>
            </w:pPr>
            <w:r w:rsidRPr="003E66A5">
              <w:rPr>
                <w:b/>
              </w:rPr>
              <w:t xml:space="preserve">7. </w:t>
            </w:r>
            <w:r>
              <w:rPr>
                <w:b/>
              </w:rPr>
              <w:t>Special considerations</w:t>
            </w:r>
          </w:p>
        </w:tc>
        <w:tc>
          <w:tcPr>
            <w:tcW w:w="1939" w:type="dxa"/>
          </w:tcPr>
          <w:p w14:paraId="39F1E63C" w14:textId="77777777" w:rsidR="00BE4F52" w:rsidRPr="003E66A5" w:rsidRDefault="00BE4F52" w:rsidP="00B069BB">
            <w:pPr>
              <w:rPr>
                <w:b/>
              </w:rPr>
            </w:pPr>
          </w:p>
        </w:tc>
        <w:tc>
          <w:tcPr>
            <w:tcW w:w="2887" w:type="dxa"/>
          </w:tcPr>
          <w:p w14:paraId="101A4DA9" w14:textId="77777777" w:rsidR="00BE4F52" w:rsidRPr="003E66A5" w:rsidRDefault="00BE4F52" w:rsidP="00B069BB">
            <w:pPr>
              <w:rPr>
                <w:b/>
              </w:rPr>
            </w:pPr>
          </w:p>
        </w:tc>
        <w:tc>
          <w:tcPr>
            <w:tcW w:w="5670" w:type="dxa"/>
          </w:tcPr>
          <w:p w14:paraId="0D26E38C" w14:textId="3F6DDF47" w:rsidR="00BE4F52" w:rsidRPr="003E66A5" w:rsidRDefault="00BE4F52" w:rsidP="00B069BB">
            <w:pPr>
              <w:rPr>
                <w:b/>
              </w:rPr>
            </w:pPr>
          </w:p>
        </w:tc>
      </w:tr>
      <w:tr w:rsidR="00B069BB" w14:paraId="7133459F" w14:textId="77777777" w:rsidTr="006165B4">
        <w:tc>
          <w:tcPr>
            <w:tcW w:w="2549" w:type="dxa"/>
          </w:tcPr>
          <w:p w14:paraId="1361DFCA" w14:textId="54BE6E3E" w:rsidR="00B069BB" w:rsidRDefault="003E66A5" w:rsidP="00B069BB">
            <w:r>
              <w:t xml:space="preserve">7.1. </w:t>
            </w:r>
            <w:r w:rsidR="00AE4929" w:rsidRPr="006165B4">
              <w:rPr>
                <w:bCs/>
              </w:rPr>
              <w:t>CIEDs and magnetic resonance imaging</w:t>
            </w:r>
          </w:p>
        </w:tc>
        <w:tc>
          <w:tcPr>
            <w:tcW w:w="1939" w:type="dxa"/>
          </w:tcPr>
          <w:p w14:paraId="476D9325" w14:textId="367B8B87" w:rsidR="00B069BB" w:rsidRDefault="005E37AD" w:rsidP="00B069BB">
            <w:r>
              <w:t>I</w:t>
            </w:r>
          </w:p>
        </w:tc>
        <w:tc>
          <w:tcPr>
            <w:tcW w:w="2887" w:type="dxa"/>
          </w:tcPr>
          <w:p w14:paraId="0996516B" w14:textId="77777777" w:rsidR="00B069BB" w:rsidRDefault="005E37AD" w:rsidP="00B069BB">
            <w:pPr>
              <w:rPr>
                <w:vertAlign w:val="superscript"/>
              </w:rPr>
            </w:pPr>
            <w:r>
              <w:t>Change from 2017 guideline</w:t>
            </w:r>
            <w:r>
              <w:rPr>
                <w:vertAlign w:val="superscript"/>
              </w:rPr>
              <w:t>278</w:t>
            </w:r>
          </w:p>
          <w:p w14:paraId="51B2CC21" w14:textId="72292610" w:rsidR="005E37AD" w:rsidRDefault="00A036AC" w:rsidP="00B069BB">
            <w:r>
              <w:rPr>
                <w:rFonts w:ascii="Times New Roman" w:hAnsi="Times New Roman" w:cs="Times New Roman"/>
              </w:rPr>
              <w:t xml:space="preserve">• </w:t>
            </w:r>
            <w:r>
              <w:t xml:space="preserve">To class </w:t>
            </w:r>
            <w:r w:rsidR="005E37AD">
              <w:t xml:space="preserve">I from </w:t>
            </w:r>
            <w:proofErr w:type="spellStart"/>
            <w:r w:rsidR="005E37AD">
              <w:t>II</w:t>
            </w:r>
            <w:r>
              <w:t>a</w:t>
            </w:r>
            <w:proofErr w:type="spellEnd"/>
          </w:p>
        </w:tc>
        <w:tc>
          <w:tcPr>
            <w:tcW w:w="5670" w:type="dxa"/>
          </w:tcPr>
          <w:p w14:paraId="534DF816" w14:textId="3E249149" w:rsidR="00B069BB" w:rsidRDefault="005E37AD" w:rsidP="00B069BB">
            <w:r>
              <w:t xml:space="preserve">Qualifying statement added that MRI in patients with </w:t>
            </w:r>
            <w:r w:rsidRPr="004D66A7">
              <w:rPr>
                <w:i/>
                <w:iCs/>
              </w:rPr>
              <w:t>all</w:t>
            </w:r>
            <w:r>
              <w:t xml:space="preserve"> </w:t>
            </w:r>
            <w:r w:rsidR="00022B6F">
              <w:t xml:space="preserve">types of </w:t>
            </w:r>
            <w:r>
              <w:t>CIEDs should be performed under institutional protocol</w:t>
            </w:r>
            <w:r w:rsidR="00096827">
              <w:t>.</w:t>
            </w:r>
          </w:p>
        </w:tc>
      </w:tr>
      <w:tr w:rsidR="00B069BB" w14:paraId="540ECEC0" w14:textId="77777777" w:rsidTr="006165B4">
        <w:tc>
          <w:tcPr>
            <w:tcW w:w="2549" w:type="dxa"/>
          </w:tcPr>
          <w:p w14:paraId="3895D03F" w14:textId="77777777" w:rsidR="00B069BB" w:rsidRDefault="00B069BB" w:rsidP="00B069BB"/>
        </w:tc>
        <w:tc>
          <w:tcPr>
            <w:tcW w:w="1939" w:type="dxa"/>
          </w:tcPr>
          <w:p w14:paraId="5702D89A" w14:textId="2FA61884" w:rsidR="00B069BB" w:rsidRDefault="005E37AD" w:rsidP="00B069BB">
            <w:r>
              <w:t>II</w:t>
            </w:r>
            <w:r w:rsidR="001B71A1">
              <w:t>b</w:t>
            </w:r>
          </w:p>
        </w:tc>
        <w:tc>
          <w:tcPr>
            <w:tcW w:w="2887" w:type="dxa"/>
          </w:tcPr>
          <w:p w14:paraId="233C5EE5" w14:textId="574AB0BA" w:rsidR="00B069BB" w:rsidRDefault="005E37AD" w:rsidP="00B069BB">
            <w:r>
              <w:t>New</w:t>
            </w:r>
          </w:p>
        </w:tc>
        <w:tc>
          <w:tcPr>
            <w:tcW w:w="5670" w:type="dxa"/>
          </w:tcPr>
          <w:p w14:paraId="5E112D96" w14:textId="21E3C240" w:rsidR="00B069BB" w:rsidRPr="005E37AD" w:rsidRDefault="005E37AD" w:rsidP="00B069BB">
            <w:pPr>
              <w:rPr>
                <w:vertAlign w:val="superscript"/>
              </w:rPr>
            </w:pPr>
            <w:r>
              <w:t>Based on limited data, MRI can be considered in presence of epicardial or abandoned leads based on risk/benefit ratio.</w:t>
            </w:r>
            <w:r>
              <w:rPr>
                <w:vertAlign w:val="superscript"/>
              </w:rPr>
              <w:t>281,282</w:t>
            </w:r>
          </w:p>
        </w:tc>
      </w:tr>
      <w:tr w:rsidR="00B069BB" w14:paraId="01643AAB" w14:textId="77777777" w:rsidTr="006165B4">
        <w:tc>
          <w:tcPr>
            <w:tcW w:w="2549" w:type="dxa"/>
          </w:tcPr>
          <w:p w14:paraId="7665C628" w14:textId="3FC48A24" w:rsidR="00B069BB" w:rsidRDefault="008925A4" w:rsidP="00B069BB">
            <w:r>
              <w:t>7.2</w:t>
            </w:r>
            <w:r w:rsidR="003E66A5">
              <w:t>.</w:t>
            </w:r>
            <w:r>
              <w:t xml:space="preserve"> </w:t>
            </w:r>
            <w:r w:rsidR="00AE4929" w:rsidRPr="00AE4929">
              <w:t xml:space="preserve">CIEDs and sports </w:t>
            </w:r>
            <w:r w:rsidR="00FC0D00" w:rsidRPr="00445A5E">
              <w:rPr>
                <w:bCs/>
              </w:rPr>
              <w:t>participation</w:t>
            </w:r>
          </w:p>
        </w:tc>
        <w:tc>
          <w:tcPr>
            <w:tcW w:w="1939" w:type="dxa"/>
          </w:tcPr>
          <w:p w14:paraId="571E6DDF" w14:textId="57533E6E" w:rsidR="00B069BB" w:rsidRDefault="008925A4" w:rsidP="00B069BB">
            <w:r>
              <w:t>I</w:t>
            </w:r>
          </w:p>
        </w:tc>
        <w:tc>
          <w:tcPr>
            <w:tcW w:w="2887" w:type="dxa"/>
          </w:tcPr>
          <w:p w14:paraId="4569E0D9" w14:textId="2D5D96D5" w:rsidR="00B069BB" w:rsidRDefault="008925A4" w:rsidP="00B069BB">
            <w:r>
              <w:t>New</w:t>
            </w:r>
          </w:p>
        </w:tc>
        <w:tc>
          <w:tcPr>
            <w:tcW w:w="5670" w:type="dxa"/>
          </w:tcPr>
          <w:p w14:paraId="09E3C0B3" w14:textId="1C8B220C" w:rsidR="00B069BB" w:rsidRDefault="008925A4" w:rsidP="00B069BB">
            <w:r>
              <w:t xml:space="preserve">Consensus of </w:t>
            </w:r>
            <w:r w:rsidR="00E06D02">
              <w:t xml:space="preserve">the </w:t>
            </w:r>
            <w:r>
              <w:t>writing committee</w:t>
            </w:r>
            <w:r w:rsidR="00460166">
              <w:t>:</w:t>
            </w:r>
            <w:r w:rsidRPr="00B95074">
              <w:t xml:space="preserve"> </w:t>
            </w:r>
            <w:r w:rsidR="00225B38">
              <w:t>D</w:t>
            </w:r>
            <w:r w:rsidRPr="00B95074">
              <w:t>ecisions regarding sports</w:t>
            </w:r>
            <w:r>
              <w:t xml:space="preserve"> participation</w:t>
            </w:r>
            <w:r w:rsidRPr="00B95074">
              <w:t xml:space="preserve"> primarily based on diagnosis</w:t>
            </w:r>
            <w:r>
              <w:t xml:space="preserve"> and physiology</w:t>
            </w:r>
            <w:r w:rsidR="003A50CA">
              <w:t xml:space="preserve"> in most patients</w:t>
            </w:r>
            <w:r w:rsidR="00A36FA5">
              <w:t>.</w:t>
            </w:r>
          </w:p>
        </w:tc>
      </w:tr>
      <w:tr w:rsidR="00B069BB" w14:paraId="2EA864AB" w14:textId="77777777" w:rsidTr="006165B4">
        <w:tc>
          <w:tcPr>
            <w:tcW w:w="2549" w:type="dxa"/>
          </w:tcPr>
          <w:p w14:paraId="15CE3A90" w14:textId="77777777" w:rsidR="00B069BB" w:rsidRDefault="00B069BB" w:rsidP="00B069BB"/>
        </w:tc>
        <w:tc>
          <w:tcPr>
            <w:tcW w:w="1939" w:type="dxa"/>
          </w:tcPr>
          <w:p w14:paraId="7D2B68F7" w14:textId="20A5E3F4" w:rsidR="00B069BB" w:rsidRDefault="008925A4" w:rsidP="00B069BB">
            <w:proofErr w:type="spellStart"/>
            <w:r>
              <w:t>II</w:t>
            </w:r>
            <w:r w:rsidR="001B71A1">
              <w:t>a</w:t>
            </w:r>
            <w:proofErr w:type="spellEnd"/>
          </w:p>
        </w:tc>
        <w:tc>
          <w:tcPr>
            <w:tcW w:w="2887" w:type="dxa"/>
          </w:tcPr>
          <w:p w14:paraId="0566CA70" w14:textId="5C278C16" w:rsidR="00B069BB" w:rsidRDefault="008925A4" w:rsidP="00B069BB">
            <w:r>
              <w:t>New</w:t>
            </w:r>
          </w:p>
        </w:tc>
        <w:tc>
          <w:tcPr>
            <w:tcW w:w="5670" w:type="dxa"/>
          </w:tcPr>
          <w:p w14:paraId="5370EFB2" w14:textId="45AB6B23" w:rsidR="00B069BB" w:rsidRPr="008925A4" w:rsidRDefault="008925A4" w:rsidP="00B069BB">
            <w:pPr>
              <w:rPr>
                <w:vertAlign w:val="superscript"/>
              </w:rPr>
            </w:pPr>
            <w:r>
              <w:t xml:space="preserve">Based on limited data, </w:t>
            </w:r>
            <w:r w:rsidR="008E0E7D">
              <w:t xml:space="preserve">the </w:t>
            </w:r>
            <w:r>
              <w:t xml:space="preserve">risk of </w:t>
            </w:r>
            <w:r w:rsidR="008E0E7D">
              <w:t>death, SCA</w:t>
            </w:r>
            <w:r w:rsidR="00AE4929">
              <w:t>,</w:t>
            </w:r>
            <w:r w:rsidR="008E0E7D">
              <w:t xml:space="preserve"> or arrhythmia</w:t>
            </w:r>
            <w:r w:rsidR="00AE4929">
              <w:t>-</w:t>
            </w:r>
            <w:r w:rsidR="008E0E7D">
              <w:t xml:space="preserve">related injury in patients </w:t>
            </w:r>
            <w:r>
              <w:t xml:space="preserve">with CIEDs </w:t>
            </w:r>
            <w:r w:rsidR="008E0E7D" w:rsidRPr="008E0E7D">
              <w:t xml:space="preserve">during sports participation </w:t>
            </w:r>
            <w:r>
              <w:t>may be low.</w:t>
            </w:r>
            <w:r>
              <w:rPr>
                <w:vertAlign w:val="superscript"/>
              </w:rPr>
              <w:t>290-293</w:t>
            </w:r>
          </w:p>
        </w:tc>
      </w:tr>
      <w:tr w:rsidR="00B069BB" w14:paraId="5805A1FE" w14:textId="77777777" w:rsidTr="006165B4">
        <w:tc>
          <w:tcPr>
            <w:tcW w:w="2549" w:type="dxa"/>
          </w:tcPr>
          <w:p w14:paraId="3658E45A" w14:textId="77777777" w:rsidR="00B069BB" w:rsidRDefault="00B069BB" w:rsidP="00B069BB"/>
        </w:tc>
        <w:tc>
          <w:tcPr>
            <w:tcW w:w="1939" w:type="dxa"/>
          </w:tcPr>
          <w:p w14:paraId="0D2AC845" w14:textId="51DA2ECA" w:rsidR="00B069BB" w:rsidRDefault="008925A4" w:rsidP="00B069BB">
            <w:r>
              <w:t>III</w:t>
            </w:r>
          </w:p>
        </w:tc>
        <w:tc>
          <w:tcPr>
            <w:tcW w:w="2887" w:type="dxa"/>
          </w:tcPr>
          <w:p w14:paraId="7A01BB54" w14:textId="4780EAFF" w:rsidR="00B069BB" w:rsidRPr="009D524F" w:rsidRDefault="008925A4" w:rsidP="00B069BB">
            <w:pPr>
              <w:rPr>
                <w:vertAlign w:val="superscript"/>
              </w:rPr>
            </w:pPr>
            <w:r>
              <w:t>Modified from 2015</w:t>
            </w:r>
            <w:r w:rsidR="009D524F">
              <w:t xml:space="preserve"> </w:t>
            </w:r>
            <w:r w:rsidR="00AE4929">
              <w:t xml:space="preserve">eligibility </w:t>
            </w:r>
            <w:r w:rsidR="0058697B">
              <w:t xml:space="preserve">recommendations for </w:t>
            </w:r>
            <w:r w:rsidR="009D524F">
              <w:t xml:space="preserve">competitive athletes </w:t>
            </w:r>
            <w:r>
              <w:t>guideline</w:t>
            </w:r>
            <w:r w:rsidR="009D524F">
              <w:rPr>
                <w:vertAlign w:val="superscript"/>
              </w:rPr>
              <w:t>294</w:t>
            </w:r>
          </w:p>
          <w:p w14:paraId="3D51B1DE" w14:textId="392282FF" w:rsidR="008925A4" w:rsidRPr="008925A4" w:rsidRDefault="00A036AC" w:rsidP="00B069BB">
            <w:r>
              <w:rPr>
                <w:rFonts w:ascii="Times New Roman" w:hAnsi="Times New Roman" w:cs="Times New Roman"/>
              </w:rPr>
              <w:lastRenderedPageBreak/>
              <w:t xml:space="preserve">• </w:t>
            </w:r>
            <w:r w:rsidR="00AE4929">
              <w:t>M</w:t>
            </w:r>
            <w:r w:rsidR="008925A4">
              <w:t>odified to apply to all patients with</w:t>
            </w:r>
            <w:r w:rsidR="0058697B">
              <w:t xml:space="preserve"> </w:t>
            </w:r>
            <w:r w:rsidR="00AE4929">
              <w:t xml:space="preserve">cardiovascular </w:t>
            </w:r>
            <w:r w:rsidR="0058697B">
              <w:t>abnormalities and</w:t>
            </w:r>
            <w:r w:rsidR="008925A4">
              <w:t xml:space="preserve"> CIEDs</w:t>
            </w:r>
          </w:p>
        </w:tc>
        <w:tc>
          <w:tcPr>
            <w:tcW w:w="5670" w:type="dxa"/>
          </w:tcPr>
          <w:p w14:paraId="0C11D55A" w14:textId="7C084693" w:rsidR="0058697B" w:rsidRDefault="0058697B" w:rsidP="0058697B">
            <w:r>
              <w:lastRenderedPageBreak/>
              <w:t xml:space="preserve">Recommendation expanded to include all patients with </w:t>
            </w:r>
            <w:r w:rsidR="00AE4929">
              <w:t>cardiovascular</w:t>
            </w:r>
            <w:r>
              <w:t xml:space="preserve"> abnormalities and not limited to patients with cardiomyopathies due to possibility of device-related</w:t>
            </w:r>
          </w:p>
          <w:p w14:paraId="02217156" w14:textId="648882B7" w:rsidR="00B069BB" w:rsidRDefault="0058697B" w:rsidP="0058697B">
            <w:r>
              <w:t>complications with high</w:t>
            </w:r>
            <w:r w:rsidR="00AE4929">
              <w:t>-</w:t>
            </w:r>
            <w:r>
              <w:t>intensity sports.</w:t>
            </w:r>
          </w:p>
        </w:tc>
      </w:tr>
    </w:tbl>
    <w:p w14:paraId="60325AE2" w14:textId="5270BC78" w:rsidR="0010087A" w:rsidRDefault="0010087A" w:rsidP="0010087A"/>
    <w:sectPr w:rsidR="0010087A" w:rsidSect="006165B4">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3F840" w16cex:dateUtc="2021-07-10T14:43:00Z"/>
  <w16cex:commentExtensible w16cex:durableId="2495FB39" w16cex:dateUtc="2021-07-12T03:20:00Z"/>
  <w16cex:commentExtensible w16cex:durableId="2495FBE1" w16cex:dateUtc="2021-07-12T03:23:00Z"/>
  <w16cex:commentExtensible w16cex:durableId="2495F6BD" w16cex:dateUtc="2021-07-12T03:01:00Z"/>
  <w16cex:commentExtensible w16cex:durableId="2495F71D" w16cex:dateUtc="2021-07-12T03:02:00Z"/>
  <w16cex:commentExtensible w16cex:durableId="2493E12C" w16cex:dateUtc="2021-07-10T13:04:00Z"/>
  <w16cex:commentExtensible w16cex:durableId="2495F7A0" w16cex:dateUtc="2021-07-12T03:05:00Z"/>
  <w16cex:commentExtensible w16cex:durableId="2491BEE6" w16cex:dateUtc="2021-07-08T22:13:00Z"/>
  <w16cex:commentExtensible w16cex:durableId="2495F86C" w16cex:dateUtc="2021-07-12T03:08:00Z"/>
  <w16cex:commentExtensible w16cex:durableId="2495F86E" w16cex:dateUtc="2021-07-12T03:08:00Z"/>
  <w16cex:commentExtensible w16cex:durableId="2491C0CF" w16cex:dateUtc="2021-07-08T22:22:00Z"/>
  <w16cex:commentExtensible w16cex:durableId="2493FAB8" w16cex:dateUtc="2021-07-10T14:53:00Z"/>
  <w16cex:commentExtensible w16cex:durableId="2495FA62" w16cex:dateUtc="2021-07-12T03:1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90BF6"/>
    <w:multiLevelType w:val="hybridMultilevel"/>
    <w:tmpl w:val="97BA5DC0"/>
    <w:lvl w:ilvl="0" w:tplc="EB50EA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D9"/>
    <w:rsid w:val="000054EF"/>
    <w:rsid w:val="0001171F"/>
    <w:rsid w:val="00012E52"/>
    <w:rsid w:val="00022B6F"/>
    <w:rsid w:val="00032038"/>
    <w:rsid w:val="000400BA"/>
    <w:rsid w:val="00046AE3"/>
    <w:rsid w:val="00077A0D"/>
    <w:rsid w:val="00083AD7"/>
    <w:rsid w:val="00085344"/>
    <w:rsid w:val="00096827"/>
    <w:rsid w:val="000B04FC"/>
    <w:rsid w:val="000D1762"/>
    <w:rsid w:val="000D55D7"/>
    <w:rsid w:val="000E0168"/>
    <w:rsid w:val="000E5481"/>
    <w:rsid w:val="0010087A"/>
    <w:rsid w:val="001051C8"/>
    <w:rsid w:val="00106D33"/>
    <w:rsid w:val="00110E3D"/>
    <w:rsid w:val="00126244"/>
    <w:rsid w:val="00131FE7"/>
    <w:rsid w:val="00135352"/>
    <w:rsid w:val="0019182D"/>
    <w:rsid w:val="0019343E"/>
    <w:rsid w:val="001B2AA9"/>
    <w:rsid w:val="001B34F1"/>
    <w:rsid w:val="001B6ABA"/>
    <w:rsid w:val="001B71A1"/>
    <w:rsid w:val="001C7597"/>
    <w:rsid w:val="001E2698"/>
    <w:rsid w:val="001F04C3"/>
    <w:rsid w:val="001F2B4D"/>
    <w:rsid w:val="001F613C"/>
    <w:rsid w:val="002152D9"/>
    <w:rsid w:val="00225B38"/>
    <w:rsid w:val="00231CEF"/>
    <w:rsid w:val="00241978"/>
    <w:rsid w:val="00246564"/>
    <w:rsid w:val="0024667A"/>
    <w:rsid w:val="00254B26"/>
    <w:rsid w:val="002737F8"/>
    <w:rsid w:val="00280FD3"/>
    <w:rsid w:val="00287E47"/>
    <w:rsid w:val="002A4FAD"/>
    <w:rsid w:val="002E219E"/>
    <w:rsid w:val="00313DD6"/>
    <w:rsid w:val="003149DA"/>
    <w:rsid w:val="00335931"/>
    <w:rsid w:val="00337CB1"/>
    <w:rsid w:val="00350DEA"/>
    <w:rsid w:val="00352927"/>
    <w:rsid w:val="00353825"/>
    <w:rsid w:val="0035500E"/>
    <w:rsid w:val="00364E38"/>
    <w:rsid w:val="003905CA"/>
    <w:rsid w:val="003A20B4"/>
    <w:rsid w:val="003A50CA"/>
    <w:rsid w:val="003A71ED"/>
    <w:rsid w:val="003B475C"/>
    <w:rsid w:val="003B5BFA"/>
    <w:rsid w:val="003C4D32"/>
    <w:rsid w:val="003D0F19"/>
    <w:rsid w:val="003D42D0"/>
    <w:rsid w:val="003E66A5"/>
    <w:rsid w:val="003F4B03"/>
    <w:rsid w:val="004050F5"/>
    <w:rsid w:val="00410D0E"/>
    <w:rsid w:val="00415480"/>
    <w:rsid w:val="00416510"/>
    <w:rsid w:val="00422B0E"/>
    <w:rsid w:val="004255EF"/>
    <w:rsid w:val="00426B52"/>
    <w:rsid w:val="00443A98"/>
    <w:rsid w:val="00445A5E"/>
    <w:rsid w:val="00460166"/>
    <w:rsid w:val="00460676"/>
    <w:rsid w:val="0047665B"/>
    <w:rsid w:val="00484593"/>
    <w:rsid w:val="004854EE"/>
    <w:rsid w:val="004A0711"/>
    <w:rsid w:val="004B2813"/>
    <w:rsid w:val="004C0904"/>
    <w:rsid w:val="004D5500"/>
    <w:rsid w:val="004D66A7"/>
    <w:rsid w:val="004D7DC2"/>
    <w:rsid w:val="004F47F6"/>
    <w:rsid w:val="00511CD7"/>
    <w:rsid w:val="00513243"/>
    <w:rsid w:val="00524F72"/>
    <w:rsid w:val="00544350"/>
    <w:rsid w:val="005525EE"/>
    <w:rsid w:val="00574551"/>
    <w:rsid w:val="0058697B"/>
    <w:rsid w:val="005A1277"/>
    <w:rsid w:val="005B4155"/>
    <w:rsid w:val="005B78AE"/>
    <w:rsid w:val="005D2560"/>
    <w:rsid w:val="005E37AD"/>
    <w:rsid w:val="005F5D16"/>
    <w:rsid w:val="00603821"/>
    <w:rsid w:val="00606848"/>
    <w:rsid w:val="006120C9"/>
    <w:rsid w:val="006165B4"/>
    <w:rsid w:val="00622925"/>
    <w:rsid w:val="00622A2E"/>
    <w:rsid w:val="0062416E"/>
    <w:rsid w:val="00640EC5"/>
    <w:rsid w:val="00641C40"/>
    <w:rsid w:val="00687FB9"/>
    <w:rsid w:val="00696CD9"/>
    <w:rsid w:val="006C4BDA"/>
    <w:rsid w:val="006D15B2"/>
    <w:rsid w:val="006E5C96"/>
    <w:rsid w:val="00706F9E"/>
    <w:rsid w:val="00711357"/>
    <w:rsid w:val="00720FF7"/>
    <w:rsid w:val="00722BC6"/>
    <w:rsid w:val="00725483"/>
    <w:rsid w:val="00725AE1"/>
    <w:rsid w:val="007325B9"/>
    <w:rsid w:val="00732F3E"/>
    <w:rsid w:val="007412DE"/>
    <w:rsid w:val="00782B73"/>
    <w:rsid w:val="00785BD8"/>
    <w:rsid w:val="007901AE"/>
    <w:rsid w:val="00795707"/>
    <w:rsid w:val="007A0E37"/>
    <w:rsid w:val="007A5B44"/>
    <w:rsid w:val="007A7ED9"/>
    <w:rsid w:val="007B1CC9"/>
    <w:rsid w:val="007B3361"/>
    <w:rsid w:val="007D5BEC"/>
    <w:rsid w:val="007E1687"/>
    <w:rsid w:val="007E2FA2"/>
    <w:rsid w:val="00802CD9"/>
    <w:rsid w:val="00817A88"/>
    <w:rsid w:val="0083684C"/>
    <w:rsid w:val="00844817"/>
    <w:rsid w:val="008450F2"/>
    <w:rsid w:val="00850BCA"/>
    <w:rsid w:val="00857040"/>
    <w:rsid w:val="00863FC3"/>
    <w:rsid w:val="00864CD0"/>
    <w:rsid w:val="00866ECA"/>
    <w:rsid w:val="00874513"/>
    <w:rsid w:val="00883946"/>
    <w:rsid w:val="008925A4"/>
    <w:rsid w:val="008A0E2C"/>
    <w:rsid w:val="008A745B"/>
    <w:rsid w:val="008B1C48"/>
    <w:rsid w:val="008B23A0"/>
    <w:rsid w:val="008C4DD1"/>
    <w:rsid w:val="008E0E7D"/>
    <w:rsid w:val="008E31DD"/>
    <w:rsid w:val="008E7B05"/>
    <w:rsid w:val="008F58F9"/>
    <w:rsid w:val="00903363"/>
    <w:rsid w:val="009039AA"/>
    <w:rsid w:val="00907BD0"/>
    <w:rsid w:val="009117F6"/>
    <w:rsid w:val="00916DBB"/>
    <w:rsid w:val="009230DD"/>
    <w:rsid w:val="00935433"/>
    <w:rsid w:val="00952B9F"/>
    <w:rsid w:val="009736EA"/>
    <w:rsid w:val="00976F8C"/>
    <w:rsid w:val="00985D44"/>
    <w:rsid w:val="009A7538"/>
    <w:rsid w:val="009B3BF3"/>
    <w:rsid w:val="009C613D"/>
    <w:rsid w:val="009D524F"/>
    <w:rsid w:val="009E32BA"/>
    <w:rsid w:val="009E5F30"/>
    <w:rsid w:val="009F29F6"/>
    <w:rsid w:val="009F730F"/>
    <w:rsid w:val="00A01812"/>
    <w:rsid w:val="00A036AC"/>
    <w:rsid w:val="00A04353"/>
    <w:rsid w:val="00A06C92"/>
    <w:rsid w:val="00A344D3"/>
    <w:rsid w:val="00A36FA5"/>
    <w:rsid w:val="00A571C8"/>
    <w:rsid w:val="00A62625"/>
    <w:rsid w:val="00A83C3C"/>
    <w:rsid w:val="00A84F16"/>
    <w:rsid w:val="00A86B5C"/>
    <w:rsid w:val="00A9106E"/>
    <w:rsid w:val="00A9445F"/>
    <w:rsid w:val="00AA6A33"/>
    <w:rsid w:val="00AE0B2F"/>
    <w:rsid w:val="00AE3244"/>
    <w:rsid w:val="00AE4929"/>
    <w:rsid w:val="00AF34EC"/>
    <w:rsid w:val="00B069BB"/>
    <w:rsid w:val="00B233A8"/>
    <w:rsid w:val="00B25E0E"/>
    <w:rsid w:val="00B346BD"/>
    <w:rsid w:val="00B4147C"/>
    <w:rsid w:val="00B5288D"/>
    <w:rsid w:val="00B52C7B"/>
    <w:rsid w:val="00B648C0"/>
    <w:rsid w:val="00B665B6"/>
    <w:rsid w:val="00B6710C"/>
    <w:rsid w:val="00B71F1A"/>
    <w:rsid w:val="00B749CE"/>
    <w:rsid w:val="00BA0093"/>
    <w:rsid w:val="00BC02D5"/>
    <w:rsid w:val="00BC2883"/>
    <w:rsid w:val="00BC7359"/>
    <w:rsid w:val="00BD7B2C"/>
    <w:rsid w:val="00BE4F52"/>
    <w:rsid w:val="00C11996"/>
    <w:rsid w:val="00C12EB8"/>
    <w:rsid w:val="00C20BDF"/>
    <w:rsid w:val="00C22774"/>
    <w:rsid w:val="00C25B3A"/>
    <w:rsid w:val="00C36E25"/>
    <w:rsid w:val="00C54F48"/>
    <w:rsid w:val="00C60C11"/>
    <w:rsid w:val="00C60FD2"/>
    <w:rsid w:val="00C922BC"/>
    <w:rsid w:val="00C92F90"/>
    <w:rsid w:val="00C9583C"/>
    <w:rsid w:val="00CA2440"/>
    <w:rsid w:val="00CA2C36"/>
    <w:rsid w:val="00CA4C65"/>
    <w:rsid w:val="00CB1BB6"/>
    <w:rsid w:val="00CD177D"/>
    <w:rsid w:val="00CF08FB"/>
    <w:rsid w:val="00CF1601"/>
    <w:rsid w:val="00CF7FB5"/>
    <w:rsid w:val="00D222EF"/>
    <w:rsid w:val="00D35000"/>
    <w:rsid w:val="00D3740A"/>
    <w:rsid w:val="00D42447"/>
    <w:rsid w:val="00D56287"/>
    <w:rsid w:val="00D65180"/>
    <w:rsid w:val="00DA67A1"/>
    <w:rsid w:val="00DB669C"/>
    <w:rsid w:val="00DB7E3A"/>
    <w:rsid w:val="00DC28ED"/>
    <w:rsid w:val="00DD2F89"/>
    <w:rsid w:val="00DD3D79"/>
    <w:rsid w:val="00DE39B6"/>
    <w:rsid w:val="00DE3ED1"/>
    <w:rsid w:val="00DF5C99"/>
    <w:rsid w:val="00E06D02"/>
    <w:rsid w:val="00E364D2"/>
    <w:rsid w:val="00E373E4"/>
    <w:rsid w:val="00E4000D"/>
    <w:rsid w:val="00E6686F"/>
    <w:rsid w:val="00E95A18"/>
    <w:rsid w:val="00EA20D4"/>
    <w:rsid w:val="00EA39AB"/>
    <w:rsid w:val="00EA72E3"/>
    <w:rsid w:val="00EB365F"/>
    <w:rsid w:val="00EC554D"/>
    <w:rsid w:val="00ED032F"/>
    <w:rsid w:val="00ED1158"/>
    <w:rsid w:val="00ED4B0B"/>
    <w:rsid w:val="00ED5F0A"/>
    <w:rsid w:val="00EE3F92"/>
    <w:rsid w:val="00F1120A"/>
    <w:rsid w:val="00F323C6"/>
    <w:rsid w:val="00F335F1"/>
    <w:rsid w:val="00F512EA"/>
    <w:rsid w:val="00F548A5"/>
    <w:rsid w:val="00F82287"/>
    <w:rsid w:val="00F83F9F"/>
    <w:rsid w:val="00F9353E"/>
    <w:rsid w:val="00FA355A"/>
    <w:rsid w:val="00FA65B3"/>
    <w:rsid w:val="00FA668C"/>
    <w:rsid w:val="00FB4C8A"/>
    <w:rsid w:val="00FC0D00"/>
    <w:rsid w:val="00FC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DFC8"/>
  <w15:chartTrackingRefBased/>
  <w15:docId w15:val="{5396D7A3-B7E3-D54A-8AFA-234CC560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64CD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B52"/>
    <w:rPr>
      <w:rFonts w:ascii="Segoe UI" w:hAnsi="Segoe UI" w:cs="Segoe UI"/>
      <w:sz w:val="18"/>
      <w:szCs w:val="18"/>
    </w:rPr>
  </w:style>
  <w:style w:type="paragraph" w:styleId="ListParagraph">
    <w:name w:val="List Paragraph"/>
    <w:basedOn w:val="Normal"/>
    <w:uiPriority w:val="34"/>
    <w:qFormat/>
    <w:rsid w:val="00B6710C"/>
    <w:pPr>
      <w:ind w:left="720"/>
      <w:contextualSpacing/>
    </w:pPr>
  </w:style>
  <w:style w:type="character" w:styleId="CommentReference">
    <w:name w:val="annotation reference"/>
    <w:basedOn w:val="DefaultParagraphFont"/>
    <w:uiPriority w:val="99"/>
    <w:semiHidden/>
    <w:unhideWhenUsed/>
    <w:rsid w:val="00511CD7"/>
    <w:rPr>
      <w:sz w:val="16"/>
      <w:szCs w:val="16"/>
    </w:rPr>
  </w:style>
  <w:style w:type="paragraph" w:styleId="CommentText">
    <w:name w:val="annotation text"/>
    <w:basedOn w:val="Normal"/>
    <w:link w:val="CommentTextChar"/>
    <w:uiPriority w:val="99"/>
    <w:unhideWhenUsed/>
    <w:rsid w:val="00511CD7"/>
    <w:rPr>
      <w:sz w:val="20"/>
      <w:szCs w:val="20"/>
    </w:rPr>
  </w:style>
  <w:style w:type="character" w:customStyle="1" w:styleId="CommentTextChar">
    <w:name w:val="Comment Text Char"/>
    <w:basedOn w:val="DefaultParagraphFont"/>
    <w:link w:val="CommentText"/>
    <w:uiPriority w:val="99"/>
    <w:rsid w:val="00511CD7"/>
    <w:rPr>
      <w:sz w:val="20"/>
      <w:szCs w:val="20"/>
    </w:rPr>
  </w:style>
  <w:style w:type="paragraph" w:styleId="CommentSubject">
    <w:name w:val="annotation subject"/>
    <w:basedOn w:val="CommentText"/>
    <w:next w:val="CommentText"/>
    <w:link w:val="CommentSubjectChar"/>
    <w:uiPriority w:val="99"/>
    <w:semiHidden/>
    <w:unhideWhenUsed/>
    <w:rsid w:val="00511CD7"/>
    <w:rPr>
      <w:b/>
      <w:bCs/>
    </w:rPr>
  </w:style>
  <w:style w:type="character" w:customStyle="1" w:styleId="CommentSubjectChar">
    <w:name w:val="Comment Subject Char"/>
    <w:basedOn w:val="CommentTextChar"/>
    <w:link w:val="CommentSubject"/>
    <w:uiPriority w:val="99"/>
    <w:semiHidden/>
    <w:rsid w:val="00511CD7"/>
    <w:rPr>
      <w:b/>
      <w:bCs/>
      <w:sz w:val="20"/>
      <w:szCs w:val="20"/>
    </w:rPr>
  </w:style>
  <w:style w:type="paragraph" w:customStyle="1" w:styleId="Default">
    <w:name w:val="Default"/>
    <w:rsid w:val="001B6ABA"/>
    <w:pPr>
      <w:autoSpaceDE w:val="0"/>
      <w:autoSpaceDN w:val="0"/>
      <w:adjustRightInd w:val="0"/>
    </w:pPr>
    <w:rPr>
      <w:rFonts w:ascii="Times New Roman" w:hAnsi="Times New Roman" w:cs="Times New Roman"/>
      <w:color w:val="000000"/>
    </w:rPr>
  </w:style>
  <w:style w:type="paragraph" w:styleId="Caption">
    <w:name w:val="caption"/>
    <w:basedOn w:val="Normal"/>
    <w:next w:val="Normal"/>
    <w:uiPriority w:val="35"/>
    <w:unhideWhenUsed/>
    <w:qFormat/>
    <w:rsid w:val="000D1762"/>
    <w:pPr>
      <w:spacing w:after="200"/>
    </w:pPr>
    <w:rPr>
      <w:i/>
      <w:iCs/>
      <w:color w:val="44546A" w:themeColor="text2"/>
      <w:sz w:val="18"/>
      <w:szCs w:val="18"/>
    </w:rPr>
  </w:style>
  <w:style w:type="paragraph" w:styleId="Revision">
    <w:name w:val="Revision"/>
    <w:hidden/>
    <w:uiPriority w:val="99"/>
    <w:semiHidden/>
    <w:rsid w:val="00641C40"/>
  </w:style>
  <w:style w:type="character" w:customStyle="1" w:styleId="Heading1Char">
    <w:name w:val="Heading 1 Char"/>
    <w:basedOn w:val="DefaultParagraphFont"/>
    <w:link w:val="Heading1"/>
    <w:uiPriority w:val="9"/>
    <w:rsid w:val="00864CD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7698">
      <w:bodyDiv w:val="1"/>
      <w:marLeft w:val="0"/>
      <w:marRight w:val="0"/>
      <w:marTop w:val="0"/>
      <w:marBottom w:val="0"/>
      <w:divBdr>
        <w:top w:val="none" w:sz="0" w:space="0" w:color="auto"/>
        <w:left w:val="none" w:sz="0" w:space="0" w:color="auto"/>
        <w:bottom w:val="none" w:sz="0" w:space="0" w:color="auto"/>
        <w:right w:val="none" w:sz="0" w:space="0" w:color="auto"/>
      </w:divBdr>
    </w:div>
    <w:div w:id="319817832">
      <w:bodyDiv w:val="1"/>
      <w:marLeft w:val="0"/>
      <w:marRight w:val="0"/>
      <w:marTop w:val="0"/>
      <w:marBottom w:val="0"/>
      <w:divBdr>
        <w:top w:val="none" w:sz="0" w:space="0" w:color="auto"/>
        <w:left w:val="none" w:sz="0" w:space="0" w:color="auto"/>
        <w:bottom w:val="none" w:sz="0" w:space="0" w:color="auto"/>
        <w:right w:val="none" w:sz="0" w:space="0" w:color="auto"/>
      </w:divBdr>
    </w:div>
    <w:div w:id="476530396">
      <w:bodyDiv w:val="1"/>
      <w:marLeft w:val="0"/>
      <w:marRight w:val="0"/>
      <w:marTop w:val="0"/>
      <w:marBottom w:val="0"/>
      <w:divBdr>
        <w:top w:val="none" w:sz="0" w:space="0" w:color="auto"/>
        <w:left w:val="none" w:sz="0" w:space="0" w:color="auto"/>
        <w:bottom w:val="none" w:sz="0" w:space="0" w:color="auto"/>
        <w:right w:val="none" w:sz="0" w:space="0" w:color="auto"/>
      </w:divBdr>
    </w:div>
    <w:div w:id="604385306">
      <w:bodyDiv w:val="1"/>
      <w:marLeft w:val="0"/>
      <w:marRight w:val="0"/>
      <w:marTop w:val="0"/>
      <w:marBottom w:val="0"/>
      <w:divBdr>
        <w:top w:val="none" w:sz="0" w:space="0" w:color="auto"/>
        <w:left w:val="none" w:sz="0" w:space="0" w:color="auto"/>
        <w:bottom w:val="none" w:sz="0" w:space="0" w:color="auto"/>
        <w:right w:val="none" w:sz="0" w:space="0" w:color="auto"/>
      </w:divBdr>
    </w:div>
    <w:div w:id="627782106">
      <w:bodyDiv w:val="1"/>
      <w:marLeft w:val="0"/>
      <w:marRight w:val="0"/>
      <w:marTop w:val="0"/>
      <w:marBottom w:val="0"/>
      <w:divBdr>
        <w:top w:val="none" w:sz="0" w:space="0" w:color="auto"/>
        <w:left w:val="none" w:sz="0" w:space="0" w:color="auto"/>
        <w:bottom w:val="none" w:sz="0" w:space="0" w:color="auto"/>
        <w:right w:val="none" w:sz="0" w:space="0" w:color="auto"/>
      </w:divBdr>
    </w:div>
    <w:div w:id="638149578">
      <w:bodyDiv w:val="1"/>
      <w:marLeft w:val="0"/>
      <w:marRight w:val="0"/>
      <w:marTop w:val="0"/>
      <w:marBottom w:val="0"/>
      <w:divBdr>
        <w:top w:val="none" w:sz="0" w:space="0" w:color="auto"/>
        <w:left w:val="none" w:sz="0" w:space="0" w:color="auto"/>
        <w:bottom w:val="none" w:sz="0" w:space="0" w:color="auto"/>
        <w:right w:val="none" w:sz="0" w:space="0" w:color="auto"/>
      </w:divBdr>
    </w:div>
    <w:div w:id="758062795">
      <w:bodyDiv w:val="1"/>
      <w:marLeft w:val="0"/>
      <w:marRight w:val="0"/>
      <w:marTop w:val="0"/>
      <w:marBottom w:val="0"/>
      <w:divBdr>
        <w:top w:val="none" w:sz="0" w:space="0" w:color="auto"/>
        <w:left w:val="none" w:sz="0" w:space="0" w:color="auto"/>
        <w:bottom w:val="none" w:sz="0" w:space="0" w:color="auto"/>
        <w:right w:val="none" w:sz="0" w:space="0" w:color="auto"/>
      </w:divBdr>
    </w:div>
    <w:div w:id="912161835">
      <w:bodyDiv w:val="1"/>
      <w:marLeft w:val="0"/>
      <w:marRight w:val="0"/>
      <w:marTop w:val="0"/>
      <w:marBottom w:val="0"/>
      <w:divBdr>
        <w:top w:val="none" w:sz="0" w:space="0" w:color="auto"/>
        <w:left w:val="none" w:sz="0" w:space="0" w:color="auto"/>
        <w:bottom w:val="none" w:sz="0" w:space="0" w:color="auto"/>
        <w:right w:val="none" w:sz="0" w:space="0" w:color="auto"/>
      </w:divBdr>
    </w:div>
    <w:div w:id="1013923644">
      <w:bodyDiv w:val="1"/>
      <w:marLeft w:val="0"/>
      <w:marRight w:val="0"/>
      <w:marTop w:val="0"/>
      <w:marBottom w:val="0"/>
      <w:divBdr>
        <w:top w:val="none" w:sz="0" w:space="0" w:color="auto"/>
        <w:left w:val="none" w:sz="0" w:space="0" w:color="auto"/>
        <w:bottom w:val="none" w:sz="0" w:space="0" w:color="auto"/>
        <w:right w:val="none" w:sz="0" w:space="0" w:color="auto"/>
      </w:divBdr>
    </w:div>
    <w:div w:id="1275092140">
      <w:bodyDiv w:val="1"/>
      <w:marLeft w:val="0"/>
      <w:marRight w:val="0"/>
      <w:marTop w:val="0"/>
      <w:marBottom w:val="0"/>
      <w:divBdr>
        <w:top w:val="none" w:sz="0" w:space="0" w:color="auto"/>
        <w:left w:val="none" w:sz="0" w:space="0" w:color="auto"/>
        <w:bottom w:val="none" w:sz="0" w:space="0" w:color="auto"/>
        <w:right w:val="none" w:sz="0" w:space="0" w:color="auto"/>
      </w:divBdr>
      <w:divsChild>
        <w:div w:id="1761750488">
          <w:marLeft w:val="0"/>
          <w:marRight w:val="0"/>
          <w:marTop w:val="0"/>
          <w:marBottom w:val="0"/>
          <w:divBdr>
            <w:top w:val="none" w:sz="0" w:space="0" w:color="auto"/>
            <w:left w:val="none" w:sz="0" w:space="0" w:color="auto"/>
            <w:bottom w:val="none" w:sz="0" w:space="0" w:color="auto"/>
            <w:right w:val="none" w:sz="0" w:space="0" w:color="auto"/>
          </w:divBdr>
          <w:divsChild>
            <w:div w:id="59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5685">
      <w:bodyDiv w:val="1"/>
      <w:marLeft w:val="0"/>
      <w:marRight w:val="0"/>
      <w:marTop w:val="0"/>
      <w:marBottom w:val="0"/>
      <w:divBdr>
        <w:top w:val="none" w:sz="0" w:space="0" w:color="auto"/>
        <w:left w:val="none" w:sz="0" w:space="0" w:color="auto"/>
        <w:bottom w:val="none" w:sz="0" w:space="0" w:color="auto"/>
        <w:right w:val="none" w:sz="0" w:space="0" w:color="auto"/>
      </w:divBdr>
    </w:div>
    <w:div w:id="1381631554">
      <w:bodyDiv w:val="1"/>
      <w:marLeft w:val="0"/>
      <w:marRight w:val="0"/>
      <w:marTop w:val="0"/>
      <w:marBottom w:val="0"/>
      <w:divBdr>
        <w:top w:val="none" w:sz="0" w:space="0" w:color="auto"/>
        <w:left w:val="none" w:sz="0" w:space="0" w:color="auto"/>
        <w:bottom w:val="none" w:sz="0" w:space="0" w:color="auto"/>
        <w:right w:val="none" w:sz="0" w:space="0" w:color="auto"/>
      </w:divBdr>
    </w:div>
    <w:div w:id="1432899430">
      <w:bodyDiv w:val="1"/>
      <w:marLeft w:val="0"/>
      <w:marRight w:val="0"/>
      <w:marTop w:val="0"/>
      <w:marBottom w:val="0"/>
      <w:divBdr>
        <w:top w:val="none" w:sz="0" w:space="0" w:color="auto"/>
        <w:left w:val="none" w:sz="0" w:space="0" w:color="auto"/>
        <w:bottom w:val="none" w:sz="0" w:space="0" w:color="auto"/>
        <w:right w:val="none" w:sz="0" w:space="0" w:color="auto"/>
      </w:divBdr>
    </w:div>
    <w:div w:id="1458524769">
      <w:bodyDiv w:val="1"/>
      <w:marLeft w:val="0"/>
      <w:marRight w:val="0"/>
      <w:marTop w:val="0"/>
      <w:marBottom w:val="0"/>
      <w:divBdr>
        <w:top w:val="none" w:sz="0" w:space="0" w:color="auto"/>
        <w:left w:val="none" w:sz="0" w:space="0" w:color="auto"/>
        <w:bottom w:val="none" w:sz="0" w:space="0" w:color="auto"/>
        <w:right w:val="none" w:sz="0" w:space="0" w:color="auto"/>
      </w:divBdr>
    </w:div>
    <w:div w:id="1488788919">
      <w:bodyDiv w:val="1"/>
      <w:marLeft w:val="0"/>
      <w:marRight w:val="0"/>
      <w:marTop w:val="0"/>
      <w:marBottom w:val="0"/>
      <w:divBdr>
        <w:top w:val="none" w:sz="0" w:space="0" w:color="auto"/>
        <w:left w:val="none" w:sz="0" w:space="0" w:color="auto"/>
        <w:bottom w:val="none" w:sz="0" w:space="0" w:color="auto"/>
        <w:right w:val="none" w:sz="0" w:space="0" w:color="auto"/>
      </w:divBdr>
    </w:div>
    <w:div w:id="1577744614">
      <w:bodyDiv w:val="1"/>
      <w:marLeft w:val="0"/>
      <w:marRight w:val="0"/>
      <w:marTop w:val="0"/>
      <w:marBottom w:val="0"/>
      <w:divBdr>
        <w:top w:val="none" w:sz="0" w:space="0" w:color="auto"/>
        <w:left w:val="none" w:sz="0" w:space="0" w:color="auto"/>
        <w:bottom w:val="none" w:sz="0" w:space="0" w:color="auto"/>
        <w:right w:val="none" w:sz="0" w:space="0" w:color="auto"/>
      </w:divBdr>
    </w:div>
    <w:div w:id="1757551810">
      <w:bodyDiv w:val="1"/>
      <w:marLeft w:val="0"/>
      <w:marRight w:val="0"/>
      <w:marTop w:val="0"/>
      <w:marBottom w:val="0"/>
      <w:divBdr>
        <w:top w:val="none" w:sz="0" w:space="0" w:color="auto"/>
        <w:left w:val="none" w:sz="0" w:space="0" w:color="auto"/>
        <w:bottom w:val="none" w:sz="0" w:space="0" w:color="auto"/>
        <w:right w:val="none" w:sz="0" w:space="0" w:color="auto"/>
      </w:divBdr>
    </w:div>
    <w:div w:id="1798600442">
      <w:bodyDiv w:val="1"/>
      <w:marLeft w:val="0"/>
      <w:marRight w:val="0"/>
      <w:marTop w:val="0"/>
      <w:marBottom w:val="0"/>
      <w:divBdr>
        <w:top w:val="none" w:sz="0" w:space="0" w:color="auto"/>
        <w:left w:val="none" w:sz="0" w:space="0" w:color="auto"/>
        <w:bottom w:val="none" w:sz="0" w:space="0" w:color="auto"/>
        <w:right w:val="none" w:sz="0" w:space="0" w:color="auto"/>
      </w:divBdr>
    </w:div>
    <w:div w:id="1846821994">
      <w:bodyDiv w:val="1"/>
      <w:marLeft w:val="0"/>
      <w:marRight w:val="0"/>
      <w:marTop w:val="0"/>
      <w:marBottom w:val="0"/>
      <w:divBdr>
        <w:top w:val="none" w:sz="0" w:space="0" w:color="auto"/>
        <w:left w:val="none" w:sz="0" w:space="0" w:color="auto"/>
        <w:bottom w:val="none" w:sz="0" w:space="0" w:color="auto"/>
        <w:right w:val="none" w:sz="0" w:space="0" w:color="auto"/>
      </w:divBdr>
      <w:divsChild>
        <w:div w:id="282731280">
          <w:marLeft w:val="0"/>
          <w:marRight w:val="0"/>
          <w:marTop w:val="0"/>
          <w:marBottom w:val="0"/>
          <w:divBdr>
            <w:top w:val="none" w:sz="0" w:space="0" w:color="auto"/>
            <w:left w:val="none" w:sz="0" w:space="0" w:color="auto"/>
            <w:bottom w:val="none" w:sz="0" w:space="0" w:color="auto"/>
            <w:right w:val="none" w:sz="0" w:space="0" w:color="auto"/>
          </w:divBdr>
        </w:div>
        <w:div w:id="795875418">
          <w:marLeft w:val="0"/>
          <w:marRight w:val="0"/>
          <w:marTop w:val="0"/>
          <w:marBottom w:val="0"/>
          <w:divBdr>
            <w:top w:val="none" w:sz="0" w:space="0" w:color="auto"/>
            <w:left w:val="none" w:sz="0" w:space="0" w:color="auto"/>
            <w:bottom w:val="none" w:sz="0" w:space="0" w:color="auto"/>
            <w:right w:val="none" w:sz="0" w:space="0" w:color="auto"/>
          </w:divBdr>
        </w:div>
        <w:div w:id="1384520997">
          <w:marLeft w:val="0"/>
          <w:marRight w:val="0"/>
          <w:marTop w:val="0"/>
          <w:marBottom w:val="0"/>
          <w:divBdr>
            <w:top w:val="none" w:sz="0" w:space="0" w:color="auto"/>
            <w:left w:val="none" w:sz="0" w:space="0" w:color="auto"/>
            <w:bottom w:val="none" w:sz="0" w:space="0" w:color="auto"/>
            <w:right w:val="none" w:sz="0" w:space="0" w:color="auto"/>
          </w:divBdr>
        </w:div>
        <w:div w:id="530921402">
          <w:marLeft w:val="0"/>
          <w:marRight w:val="0"/>
          <w:marTop w:val="0"/>
          <w:marBottom w:val="0"/>
          <w:divBdr>
            <w:top w:val="none" w:sz="0" w:space="0" w:color="auto"/>
            <w:left w:val="none" w:sz="0" w:space="0" w:color="auto"/>
            <w:bottom w:val="none" w:sz="0" w:space="0" w:color="auto"/>
            <w:right w:val="none" w:sz="0" w:space="0" w:color="auto"/>
          </w:divBdr>
        </w:div>
        <w:div w:id="2004239601">
          <w:marLeft w:val="0"/>
          <w:marRight w:val="0"/>
          <w:marTop w:val="0"/>
          <w:marBottom w:val="0"/>
          <w:divBdr>
            <w:top w:val="none" w:sz="0" w:space="0" w:color="auto"/>
            <w:left w:val="none" w:sz="0" w:space="0" w:color="auto"/>
            <w:bottom w:val="none" w:sz="0" w:space="0" w:color="auto"/>
            <w:right w:val="none" w:sz="0" w:space="0" w:color="auto"/>
          </w:divBdr>
        </w:div>
      </w:divsChild>
    </w:div>
    <w:div w:id="1874807016">
      <w:bodyDiv w:val="1"/>
      <w:marLeft w:val="0"/>
      <w:marRight w:val="0"/>
      <w:marTop w:val="0"/>
      <w:marBottom w:val="0"/>
      <w:divBdr>
        <w:top w:val="none" w:sz="0" w:space="0" w:color="auto"/>
        <w:left w:val="none" w:sz="0" w:space="0" w:color="auto"/>
        <w:bottom w:val="none" w:sz="0" w:space="0" w:color="auto"/>
        <w:right w:val="none" w:sz="0" w:space="0" w:color="auto"/>
      </w:divBdr>
    </w:div>
    <w:div w:id="19395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6BA39A807B024692CE68B93968FE28" ma:contentTypeVersion="7" ma:contentTypeDescription="Create a new document." ma:contentTypeScope="" ma:versionID="14ce5c234c060f0036cd7b61d0c06197">
  <xsd:schema xmlns:xsd="http://www.w3.org/2001/XMLSchema" xmlns:xs="http://www.w3.org/2001/XMLSchema" xmlns:p="http://schemas.microsoft.com/office/2006/metadata/properties" xmlns:ns3="b29f2d5a-eb32-43f8-9be7-0b8ff89bd682" targetNamespace="http://schemas.microsoft.com/office/2006/metadata/properties" ma:root="true" ma:fieldsID="968a58c9f42b4dd7dc627129dd032a66" ns3:_="">
    <xsd:import namespace="b29f2d5a-eb32-43f8-9be7-0b8ff89bd6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2d5a-eb32-43f8-9be7-0b8ff89bd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45FF-B7B8-4D0C-85CA-2C5A37A938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44522-B111-44B5-ACFF-F038457ED59D}">
  <ds:schemaRefs>
    <ds:schemaRef ds:uri="http://schemas.microsoft.com/sharepoint/v3/contenttype/forms"/>
  </ds:schemaRefs>
</ds:datastoreItem>
</file>

<file path=customXml/itemProps3.xml><?xml version="1.0" encoding="utf-8"?>
<ds:datastoreItem xmlns:ds="http://schemas.openxmlformats.org/officeDocument/2006/customXml" ds:itemID="{91542C57-2A09-42CB-8775-7F3946072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2d5a-eb32-43f8-9be7-0b8ff89bd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90CE9-19A4-1E46-B091-427EEF6D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Maully</dc:creator>
  <cp:keywords/>
  <dc:description/>
  <cp:lastModifiedBy>Shah, Maully</cp:lastModifiedBy>
  <cp:revision>4</cp:revision>
  <cp:lastPrinted>2021-04-30T21:59:00Z</cp:lastPrinted>
  <dcterms:created xsi:type="dcterms:W3CDTF">2021-07-15T11:24:00Z</dcterms:created>
  <dcterms:modified xsi:type="dcterms:W3CDTF">2021-07-15T11:32:00Z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0x010100A46BA39A807B024692CE68B93968FE28</vt:lpwstr>
  </property>
</Properties>
</file>