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FA7F" w14:textId="41CE50EB" w:rsidR="00A83049" w:rsidRPr="003E2809" w:rsidRDefault="00A83049" w:rsidP="00A83049">
      <w:pPr>
        <w:spacing w:line="480" w:lineRule="auto"/>
        <w:rPr>
          <w:rFonts w:ascii="Times New Roman" w:hAnsi="Times New Roman" w:cs="Times New Roman"/>
          <w:b/>
          <w:bCs/>
        </w:rPr>
      </w:pPr>
      <w:r w:rsidRPr="003E2809">
        <w:rPr>
          <w:rFonts w:ascii="Times New Roman" w:hAnsi="Times New Roman" w:cs="Times New Roman"/>
          <w:b/>
          <w:bCs/>
        </w:rPr>
        <w:t>Supplement</w:t>
      </w:r>
    </w:p>
    <w:p w14:paraId="555B23DF" w14:textId="585A4AFC" w:rsidR="00A83049" w:rsidRPr="003E2809" w:rsidRDefault="00A83049" w:rsidP="00A83049">
      <w:pPr>
        <w:spacing w:line="480" w:lineRule="auto"/>
        <w:rPr>
          <w:rFonts w:ascii="Times New Roman" w:hAnsi="Times New Roman" w:cs="Times New Roman"/>
          <w:b/>
          <w:bCs/>
          <w:i/>
          <w:iCs/>
        </w:rPr>
      </w:pPr>
    </w:p>
    <w:p w14:paraId="7B2BFAF1" w14:textId="1B486A0B" w:rsidR="00162496" w:rsidRPr="003E2809" w:rsidRDefault="00162496" w:rsidP="00162496">
      <w:pPr>
        <w:spacing w:line="480" w:lineRule="auto"/>
        <w:rPr>
          <w:rFonts w:ascii="Times New Roman" w:hAnsi="Times New Roman" w:cs="Times New Roman"/>
          <w:b/>
          <w:bCs/>
        </w:rPr>
      </w:pPr>
      <w:r w:rsidRPr="003E2809">
        <w:rPr>
          <w:rFonts w:ascii="Times New Roman" w:hAnsi="Times New Roman" w:cs="Times New Roman"/>
          <w:b/>
          <w:bCs/>
        </w:rPr>
        <w:t>Materials and Methods</w:t>
      </w:r>
    </w:p>
    <w:p w14:paraId="209BAB13" w14:textId="714A95A1" w:rsidR="00A83049" w:rsidRPr="003E2809" w:rsidRDefault="00A83049" w:rsidP="00A83049">
      <w:pPr>
        <w:spacing w:line="480" w:lineRule="auto"/>
        <w:rPr>
          <w:rFonts w:ascii="Times New Roman" w:hAnsi="Times New Roman" w:cs="Times New Roman"/>
          <w:b/>
          <w:bCs/>
          <w:i/>
          <w:iCs/>
        </w:rPr>
      </w:pPr>
      <w:r w:rsidRPr="003E2809">
        <w:rPr>
          <w:rFonts w:ascii="Times New Roman" w:hAnsi="Times New Roman" w:cs="Times New Roman"/>
          <w:b/>
          <w:bCs/>
          <w:i/>
          <w:iCs/>
        </w:rPr>
        <w:t>Setting</w:t>
      </w:r>
    </w:p>
    <w:p w14:paraId="0EFEC562" w14:textId="0087D302" w:rsidR="00A83049" w:rsidRPr="003E2809" w:rsidRDefault="00A83049" w:rsidP="00A83049">
      <w:pPr>
        <w:spacing w:line="480" w:lineRule="auto"/>
        <w:ind w:firstLine="840"/>
        <w:rPr>
          <w:rFonts w:ascii="Times New Roman" w:hAnsi="Times New Roman" w:cs="Times New Roman"/>
        </w:rPr>
      </w:pPr>
      <w:r w:rsidRPr="003E2809">
        <w:rPr>
          <w:rFonts w:ascii="Times New Roman" w:hAnsi="Times New Roman" w:cs="Times New Roman"/>
        </w:rPr>
        <w:t xml:space="preserve">Shizuoka Children's Hospital is a pediatric facility that was established in 1977. Our cardiovascular center performs </w:t>
      </w:r>
      <w:r w:rsidR="009716AC" w:rsidRPr="003E2809">
        <w:rPr>
          <w:rFonts w:ascii="Times New Roman" w:hAnsi="Times New Roman" w:cs="Times New Roman"/>
        </w:rPr>
        <w:t>a</w:t>
      </w:r>
      <w:r w:rsidR="009716AC">
        <w:rPr>
          <w:rFonts w:ascii="Times New Roman" w:hAnsi="Times New Roman" w:cs="Times New Roman"/>
        </w:rPr>
        <w:t>pproximately</w:t>
      </w:r>
      <w:r w:rsidR="009716AC" w:rsidRPr="003E2809">
        <w:rPr>
          <w:rFonts w:ascii="Times New Roman" w:hAnsi="Times New Roman" w:cs="Times New Roman"/>
        </w:rPr>
        <w:t xml:space="preserve"> </w:t>
      </w:r>
      <w:r w:rsidRPr="003E2809">
        <w:rPr>
          <w:rFonts w:ascii="Times New Roman" w:hAnsi="Times New Roman" w:cs="Times New Roman"/>
        </w:rPr>
        <w:t>280 cardiac surgeries annually—200 on-p</w:t>
      </w:r>
      <w:r w:rsidR="004C6A3A">
        <w:rPr>
          <w:rFonts w:ascii="Times New Roman" w:hAnsi="Times New Roman" w:cs="Times New Roman"/>
        </w:rPr>
        <w:t>u</w:t>
      </w:r>
      <w:r w:rsidRPr="003E2809">
        <w:rPr>
          <w:rFonts w:ascii="Times New Roman" w:hAnsi="Times New Roman" w:cs="Times New Roman"/>
        </w:rPr>
        <w:t xml:space="preserve">mp and 80 </w:t>
      </w:r>
      <w:r w:rsidR="00C56DAB" w:rsidRPr="004C6A3A">
        <w:rPr>
          <w:rFonts w:ascii="Times New Roman" w:hAnsi="Times New Roman" w:cs="Times New Roman"/>
          <w:color w:val="FF0000"/>
        </w:rPr>
        <w:t xml:space="preserve">off-pump </w:t>
      </w:r>
      <w:r w:rsidRPr="003E2809">
        <w:rPr>
          <w:rFonts w:ascii="Times New Roman" w:hAnsi="Times New Roman" w:cs="Times New Roman"/>
        </w:rPr>
        <w:t>cardiopulmonary bypass surgeries. We accept consultations not only from our regional referral area but from all over Japan. A cardiac ICU (C</w:t>
      </w:r>
      <w:r w:rsidR="00123CD2" w:rsidRPr="003E2809">
        <w:rPr>
          <w:rFonts w:ascii="Times New Roman" w:hAnsi="Times New Roman" w:cs="Times New Roman"/>
          <w:color w:val="000000" w:themeColor="text1"/>
        </w:rPr>
        <w:t>I</w:t>
      </w:r>
      <w:r w:rsidRPr="003E2809">
        <w:rPr>
          <w:rFonts w:ascii="Times New Roman" w:hAnsi="Times New Roman" w:cs="Times New Roman"/>
        </w:rPr>
        <w:t xml:space="preserve">CU) specializing in pediatric heart diseases is available and staffed 24 h a day by </w:t>
      </w:r>
      <w:r w:rsidR="009716AC">
        <w:rPr>
          <w:rFonts w:ascii="Times New Roman" w:hAnsi="Times New Roman" w:cs="Times New Roman"/>
        </w:rPr>
        <w:t>three</w:t>
      </w:r>
      <w:r w:rsidR="009716AC" w:rsidRPr="003E2809">
        <w:rPr>
          <w:rFonts w:ascii="Times New Roman" w:hAnsi="Times New Roman" w:cs="Times New Roman"/>
        </w:rPr>
        <w:t xml:space="preserve"> </w:t>
      </w:r>
      <w:r w:rsidRPr="003E2809">
        <w:rPr>
          <w:rFonts w:ascii="Times New Roman" w:hAnsi="Times New Roman" w:cs="Times New Roman"/>
        </w:rPr>
        <w:t xml:space="preserve">pediatric cardiac intensivists and </w:t>
      </w:r>
      <w:r w:rsidR="009716AC">
        <w:rPr>
          <w:rFonts w:ascii="Times New Roman" w:hAnsi="Times New Roman" w:cs="Times New Roman"/>
        </w:rPr>
        <w:t>three</w:t>
      </w:r>
      <w:r w:rsidR="009716AC" w:rsidRPr="003E2809">
        <w:rPr>
          <w:rFonts w:ascii="Times New Roman" w:hAnsi="Times New Roman" w:cs="Times New Roman"/>
        </w:rPr>
        <w:t xml:space="preserve"> </w:t>
      </w:r>
      <w:r w:rsidRPr="003E2809">
        <w:rPr>
          <w:rFonts w:ascii="Times New Roman" w:hAnsi="Times New Roman" w:cs="Times New Roman"/>
        </w:rPr>
        <w:t>dedicated fellows, working in collaboration with a cardiovascular surgeon. The C</w:t>
      </w:r>
      <w:r w:rsidR="00123CD2" w:rsidRPr="003E2809">
        <w:rPr>
          <w:rFonts w:ascii="Times New Roman" w:hAnsi="Times New Roman" w:cs="Times New Roman"/>
        </w:rPr>
        <w:t>I</w:t>
      </w:r>
      <w:r w:rsidRPr="003E2809">
        <w:rPr>
          <w:rFonts w:ascii="Times New Roman" w:hAnsi="Times New Roman" w:cs="Times New Roman"/>
        </w:rPr>
        <w:t>CU has 12 beds, and every patient who undergoes cardiovascular surgery is admitted to the C</w:t>
      </w:r>
      <w:r w:rsidR="00123CD2" w:rsidRPr="003E2809">
        <w:rPr>
          <w:rFonts w:ascii="Times New Roman" w:hAnsi="Times New Roman" w:cs="Times New Roman"/>
        </w:rPr>
        <w:t>I</w:t>
      </w:r>
      <w:r w:rsidRPr="003E2809">
        <w:rPr>
          <w:rFonts w:ascii="Times New Roman" w:hAnsi="Times New Roman" w:cs="Times New Roman"/>
        </w:rPr>
        <w:t>CU for postoperative management.</w:t>
      </w:r>
    </w:p>
    <w:p w14:paraId="5EE6ED08" w14:textId="77777777" w:rsidR="00A83049" w:rsidRPr="003E2809" w:rsidRDefault="00A83049" w:rsidP="00A83049">
      <w:pPr>
        <w:spacing w:line="480" w:lineRule="auto"/>
        <w:rPr>
          <w:rFonts w:ascii="Times New Roman" w:hAnsi="Times New Roman" w:cs="Times New Roman"/>
        </w:rPr>
      </w:pPr>
    </w:p>
    <w:p w14:paraId="5C204118" w14:textId="77777777" w:rsidR="00A83049" w:rsidRPr="003E2809" w:rsidRDefault="00A83049" w:rsidP="00A83049">
      <w:pPr>
        <w:spacing w:line="480" w:lineRule="auto"/>
        <w:rPr>
          <w:rFonts w:ascii="Times New Roman" w:hAnsi="Times New Roman" w:cs="Times New Roman"/>
          <w:b/>
          <w:bCs/>
          <w:i/>
          <w:iCs/>
        </w:rPr>
      </w:pPr>
      <w:r w:rsidRPr="003E2809">
        <w:rPr>
          <w:rFonts w:ascii="Times New Roman" w:hAnsi="Times New Roman" w:cs="Times New Roman"/>
          <w:b/>
          <w:bCs/>
          <w:i/>
          <w:iCs/>
        </w:rPr>
        <w:t>Routine management</w:t>
      </w:r>
    </w:p>
    <w:p w14:paraId="5C6E12DA" w14:textId="77777777" w:rsidR="00A83049" w:rsidRPr="003E2809" w:rsidRDefault="00A83049" w:rsidP="00A83049">
      <w:pPr>
        <w:spacing w:line="480" w:lineRule="auto"/>
        <w:rPr>
          <w:rFonts w:ascii="Times New Roman" w:hAnsi="Times New Roman" w:cs="Times New Roman"/>
          <w:i/>
          <w:iCs/>
        </w:rPr>
      </w:pPr>
      <w:r w:rsidRPr="003E2809">
        <w:rPr>
          <w:rFonts w:ascii="Times New Roman" w:hAnsi="Times New Roman" w:cs="Times New Roman"/>
          <w:i/>
          <w:iCs/>
        </w:rPr>
        <w:t>Surgical procedure</w:t>
      </w:r>
    </w:p>
    <w:p w14:paraId="05D62CEF" w14:textId="4A824D84" w:rsidR="00A83049" w:rsidRPr="003E2809" w:rsidRDefault="00A83049" w:rsidP="00A83049">
      <w:pPr>
        <w:spacing w:line="480" w:lineRule="auto"/>
        <w:ind w:firstLine="840"/>
        <w:rPr>
          <w:rFonts w:ascii="Times New Roman" w:hAnsi="Times New Roman" w:cs="Times New Roman"/>
        </w:rPr>
      </w:pPr>
      <w:r w:rsidRPr="003E2809">
        <w:rPr>
          <w:rFonts w:ascii="Times New Roman" w:hAnsi="Times New Roman" w:cs="Times New Roman"/>
        </w:rPr>
        <w:t>At Shizuoka Children's Hospital, 15–20 cases of Fontan surgery are performed annually. When planning Fontan procedures, we determine the</w:t>
      </w:r>
      <w:r w:rsidRPr="00A24AF6">
        <w:rPr>
          <w:rFonts w:ascii="Times New Roman" w:hAnsi="Times New Roman" w:cs="Times New Roman"/>
          <w:color w:val="FF0000"/>
        </w:rPr>
        <w:t xml:space="preserve"> </w:t>
      </w:r>
      <w:r w:rsidRPr="004C6A3A">
        <w:rPr>
          <w:rFonts w:ascii="Times New Roman" w:hAnsi="Times New Roman" w:cs="Times New Roman"/>
          <w:color w:val="000000" w:themeColor="text1"/>
        </w:rPr>
        <w:t>route</w:t>
      </w:r>
      <w:r w:rsidRPr="003E2809">
        <w:rPr>
          <w:rFonts w:ascii="Times New Roman" w:hAnsi="Times New Roman" w:cs="Times New Roman"/>
        </w:rPr>
        <w:t xml:space="preserve"> of the conduit from each anatomical feature. Intracardiac or intra-extracardiac root is selected depending on </w:t>
      </w:r>
      <w:r w:rsidRPr="003E2809">
        <w:rPr>
          <w:rFonts w:ascii="Times New Roman" w:hAnsi="Times New Roman" w:cs="Times New Roman"/>
        </w:rPr>
        <w:lastRenderedPageBreak/>
        <w:t xml:space="preserve">the anatomical difficulty of installing an extracardiac conduit and the position of reflux of the hepatic vein. Fenestrations are constructed in patients at high risk of abnormally high venous return pressures. We did not set </w:t>
      </w:r>
      <w:r w:rsidR="004C0E0E" w:rsidRPr="003E2809">
        <w:rPr>
          <w:rFonts w:ascii="Times New Roman" w:hAnsi="Times New Roman" w:cs="Times New Roman"/>
        </w:rPr>
        <w:t xml:space="preserve">a </w:t>
      </w:r>
      <w:r w:rsidRPr="003E2809">
        <w:rPr>
          <w:rFonts w:ascii="Times New Roman" w:hAnsi="Times New Roman" w:cs="Times New Roman"/>
        </w:rPr>
        <w:t>clear threshold</w:t>
      </w:r>
      <w:r w:rsidR="004C0E0E" w:rsidRPr="003E2809">
        <w:rPr>
          <w:rFonts w:ascii="Times New Roman" w:hAnsi="Times New Roman" w:cs="Times New Roman"/>
        </w:rPr>
        <w:t>,</w:t>
      </w:r>
      <w:r w:rsidRPr="003E2809">
        <w:rPr>
          <w:rFonts w:ascii="Times New Roman" w:hAnsi="Times New Roman" w:cs="Times New Roman"/>
        </w:rPr>
        <w:t xml:space="preserve"> such as central venous pressure. We made a comprehensive decision based on various data </w:t>
      </w:r>
      <w:r w:rsidR="004C0E0E" w:rsidRPr="003E2809">
        <w:rPr>
          <w:rFonts w:ascii="Times New Roman" w:hAnsi="Times New Roman" w:cs="Times New Roman"/>
        </w:rPr>
        <w:t xml:space="preserve">on </w:t>
      </w:r>
      <w:r w:rsidRPr="003E2809">
        <w:rPr>
          <w:rFonts w:ascii="Times New Roman" w:hAnsi="Times New Roman" w:cs="Times New Roman"/>
        </w:rPr>
        <w:t xml:space="preserve">whether to construct fenestrations. A median sternotomy was performed, and cannulas were placed in the ascending aorta, </w:t>
      </w:r>
      <w:bookmarkStart w:id="0" w:name="_Hlk69821314"/>
      <w:r w:rsidRPr="003E2809">
        <w:rPr>
          <w:rFonts w:ascii="Times New Roman" w:hAnsi="Times New Roman" w:cs="Times New Roman"/>
        </w:rPr>
        <w:t>superior vena cava</w:t>
      </w:r>
      <w:bookmarkEnd w:id="0"/>
      <w:r w:rsidRPr="003E2809">
        <w:rPr>
          <w:rFonts w:ascii="Times New Roman" w:hAnsi="Times New Roman" w:cs="Times New Roman"/>
        </w:rPr>
        <w:t xml:space="preserve">, and inferior vena cava to establish total cardiopulmonary bypass. Most of the operations involve a total </w:t>
      </w:r>
      <w:proofErr w:type="spellStart"/>
      <w:r w:rsidRPr="003E2809">
        <w:rPr>
          <w:rFonts w:ascii="Times New Roman" w:hAnsi="Times New Roman" w:cs="Times New Roman"/>
        </w:rPr>
        <w:t>cavopulmonary</w:t>
      </w:r>
      <w:proofErr w:type="spellEnd"/>
      <w:r w:rsidRPr="003E2809">
        <w:rPr>
          <w:rFonts w:ascii="Times New Roman" w:hAnsi="Times New Roman" w:cs="Times New Roman"/>
        </w:rPr>
        <w:t xml:space="preserve"> connection using a 16-mm or 18-mm extracardiac conduit. Intracardiac or intra-extracardiac total </w:t>
      </w:r>
      <w:proofErr w:type="spellStart"/>
      <w:r w:rsidRPr="003E2809">
        <w:rPr>
          <w:rFonts w:ascii="Times New Roman" w:hAnsi="Times New Roman" w:cs="Times New Roman"/>
        </w:rPr>
        <w:t>cavopulmonary</w:t>
      </w:r>
      <w:proofErr w:type="spellEnd"/>
      <w:r w:rsidRPr="003E2809">
        <w:rPr>
          <w:rFonts w:ascii="Times New Roman" w:hAnsi="Times New Roman" w:cs="Times New Roman"/>
        </w:rPr>
        <w:t xml:space="preserve"> connection was selected according to the orientation and morphology of the cardiovascular system. Ventricular fibrillation was induced during the creation of fenestrations, and cardioplegic arrest was instituted during simultaneous valvuloplasty, endocardial repair, intracardiac total </w:t>
      </w:r>
      <w:proofErr w:type="spellStart"/>
      <w:r w:rsidRPr="003E2809">
        <w:rPr>
          <w:rFonts w:ascii="Times New Roman" w:hAnsi="Times New Roman" w:cs="Times New Roman"/>
        </w:rPr>
        <w:t>cavopulmonary</w:t>
      </w:r>
      <w:proofErr w:type="spellEnd"/>
      <w:r w:rsidRPr="003E2809">
        <w:rPr>
          <w:rFonts w:ascii="Times New Roman" w:hAnsi="Times New Roman" w:cs="Times New Roman"/>
        </w:rPr>
        <w:t xml:space="preserve"> connection, and intra-extra cardiac total </w:t>
      </w:r>
      <w:proofErr w:type="spellStart"/>
      <w:r w:rsidRPr="003E2809">
        <w:rPr>
          <w:rFonts w:ascii="Times New Roman" w:hAnsi="Times New Roman" w:cs="Times New Roman"/>
        </w:rPr>
        <w:t>cavopulmonary</w:t>
      </w:r>
      <w:proofErr w:type="spellEnd"/>
      <w:r w:rsidRPr="003E2809">
        <w:rPr>
          <w:rFonts w:ascii="Times New Roman" w:hAnsi="Times New Roman" w:cs="Times New Roman"/>
        </w:rPr>
        <w:t xml:space="preserve"> connection. After being weaned from cardiopulmonary bypass, all patients underwent modified ultrafiltration.</w:t>
      </w:r>
    </w:p>
    <w:p w14:paraId="04868A58" w14:textId="77777777" w:rsidR="00A83049" w:rsidRPr="003E2809" w:rsidRDefault="00A83049" w:rsidP="00A83049">
      <w:pPr>
        <w:spacing w:line="480" w:lineRule="auto"/>
        <w:rPr>
          <w:rFonts w:ascii="Times New Roman" w:hAnsi="Times New Roman" w:cs="Times New Roman"/>
        </w:rPr>
      </w:pPr>
    </w:p>
    <w:p w14:paraId="1F6A63C1" w14:textId="77777777" w:rsidR="00A83049" w:rsidRPr="003E2809" w:rsidRDefault="00A83049" w:rsidP="00A83049">
      <w:pPr>
        <w:spacing w:line="480" w:lineRule="auto"/>
        <w:rPr>
          <w:rFonts w:ascii="Times New Roman" w:hAnsi="Times New Roman" w:cs="Times New Roman"/>
          <w:i/>
          <w:iCs/>
        </w:rPr>
      </w:pPr>
      <w:r w:rsidRPr="003E2809">
        <w:rPr>
          <w:rFonts w:ascii="Times New Roman" w:hAnsi="Times New Roman" w:cs="Times New Roman"/>
          <w:i/>
          <w:iCs/>
        </w:rPr>
        <w:t>Anesthetic management</w:t>
      </w:r>
    </w:p>
    <w:p w14:paraId="23768FAF" w14:textId="5A761C27" w:rsidR="00A83049" w:rsidRPr="003E2809" w:rsidRDefault="00A83049" w:rsidP="00162496">
      <w:pPr>
        <w:spacing w:line="480" w:lineRule="auto"/>
        <w:ind w:firstLine="840"/>
        <w:rPr>
          <w:rFonts w:ascii="Times New Roman" w:hAnsi="Times New Roman" w:cs="Times New Roman"/>
        </w:rPr>
      </w:pPr>
      <w:r w:rsidRPr="003E2809">
        <w:rPr>
          <w:rFonts w:ascii="Times New Roman" w:hAnsi="Times New Roman" w:cs="Times New Roman"/>
        </w:rPr>
        <w:t xml:space="preserve">Midazolam was administered transrectally in anxious children. Induction of </w:t>
      </w:r>
      <w:r w:rsidR="004C0E0E" w:rsidRPr="003E2809">
        <w:rPr>
          <w:rFonts w:ascii="Times New Roman" w:hAnsi="Times New Roman" w:cs="Times New Roman"/>
        </w:rPr>
        <w:t>a</w:t>
      </w:r>
      <w:r w:rsidRPr="003E2809">
        <w:rPr>
          <w:rFonts w:ascii="Times New Roman" w:hAnsi="Times New Roman" w:cs="Times New Roman"/>
        </w:rPr>
        <w:t xml:space="preserve">nesthesia was performed by rapid intravenous infusion of propofol. Nasotracheal </w:t>
      </w:r>
      <w:r w:rsidRPr="003E2809">
        <w:rPr>
          <w:rFonts w:ascii="Times New Roman" w:hAnsi="Times New Roman" w:cs="Times New Roman"/>
        </w:rPr>
        <w:lastRenderedPageBreak/>
        <w:t>intubation was performed</w:t>
      </w:r>
      <w:r w:rsidR="009716AC">
        <w:rPr>
          <w:rFonts w:ascii="Times New Roman" w:hAnsi="Times New Roman" w:cs="Times New Roman"/>
        </w:rPr>
        <w:t>, and</w:t>
      </w:r>
      <w:r w:rsidRPr="003E2809">
        <w:rPr>
          <w:rFonts w:ascii="Times New Roman" w:hAnsi="Times New Roman" w:cs="Times New Roman"/>
        </w:rPr>
        <w:t xml:space="preserve"> </w:t>
      </w:r>
      <w:r w:rsidR="009716AC">
        <w:rPr>
          <w:rFonts w:ascii="Times New Roman" w:hAnsi="Times New Roman" w:cs="Times New Roman"/>
        </w:rPr>
        <w:t>p</w:t>
      </w:r>
      <w:r w:rsidRPr="003E2809">
        <w:rPr>
          <w:rFonts w:ascii="Times New Roman" w:hAnsi="Times New Roman" w:cs="Times New Roman"/>
        </w:rPr>
        <w:t xml:space="preserve">ropofol and remifentanil were continuously administered during the procedure to maintain anesthesia. </w:t>
      </w:r>
      <w:r w:rsidR="009716AC">
        <w:rPr>
          <w:rFonts w:ascii="Times New Roman" w:hAnsi="Times New Roman" w:cs="Times New Roman"/>
        </w:rPr>
        <w:t>Similarly, v</w:t>
      </w:r>
      <w:r w:rsidRPr="003E2809">
        <w:rPr>
          <w:rFonts w:ascii="Times New Roman" w:hAnsi="Times New Roman" w:cs="Times New Roman"/>
        </w:rPr>
        <w:t xml:space="preserve">ecuronium and fentanyl were intermittently administered. All patients received methylprednisolone 30 mg/kg and tranexamic acid preoperatively. We administered </w:t>
      </w:r>
      <w:r w:rsidR="009716AC">
        <w:rPr>
          <w:rFonts w:ascii="Times New Roman" w:hAnsi="Times New Roman" w:cs="Times New Roman"/>
        </w:rPr>
        <w:t>sufficient</w:t>
      </w:r>
      <w:r w:rsidR="009716AC" w:rsidRPr="003E2809">
        <w:rPr>
          <w:rFonts w:ascii="Times New Roman" w:hAnsi="Times New Roman" w:cs="Times New Roman"/>
        </w:rPr>
        <w:t xml:space="preserve"> </w:t>
      </w:r>
      <w:r w:rsidRPr="003E2809">
        <w:rPr>
          <w:rFonts w:ascii="Times New Roman" w:hAnsi="Times New Roman" w:cs="Times New Roman"/>
        </w:rPr>
        <w:t xml:space="preserve">heparin before </w:t>
      </w:r>
      <w:r w:rsidR="009716AC">
        <w:rPr>
          <w:rFonts w:ascii="Times New Roman" w:hAnsi="Times New Roman" w:cs="Times New Roman"/>
        </w:rPr>
        <w:t>establishing</w:t>
      </w:r>
      <w:r w:rsidRPr="003E2809">
        <w:rPr>
          <w:rFonts w:ascii="Times New Roman" w:hAnsi="Times New Roman" w:cs="Times New Roman"/>
        </w:rPr>
        <w:t xml:space="preserve"> cardiopulmonary bypass, and this was reversed with protamine postoperatively. With the aim of early </w:t>
      </w:r>
      <w:proofErr w:type="spellStart"/>
      <w:r w:rsidRPr="003E2809">
        <w:rPr>
          <w:rFonts w:ascii="Times New Roman" w:hAnsi="Times New Roman" w:cs="Times New Roman"/>
        </w:rPr>
        <w:t>extubation</w:t>
      </w:r>
      <w:proofErr w:type="spellEnd"/>
      <w:r w:rsidRPr="003E2809">
        <w:rPr>
          <w:rFonts w:ascii="Times New Roman" w:hAnsi="Times New Roman" w:cs="Times New Roman"/>
        </w:rPr>
        <w:t xml:space="preserve"> at 2–3 h postoperatively, the dose of fentanyl was kept below 30 </w:t>
      </w:r>
      <w:proofErr w:type="spellStart"/>
      <w:r w:rsidRPr="003E2809">
        <w:rPr>
          <w:rFonts w:ascii="Times New Roman" w:hAnsi="Times New Roman" w:cs="Times New Roman"/>
        </w:rPr>
        <w:t>μg</w:t>
      </w:r>
      <w:proofErr w:type="spellEnd"/>
      <w:r w:rsidRPr="003E2809">
        <w:rPr>
          <w:rFonts w:ascii="Times New Roman" w:hAnsi="Times New Roman" w:cs="Times New Roman"/>
        </w:rPr>
        <w:t>/kg. Intercostal nerve blocks were not performed.</w:t>
      </w:r>
    </w:p>
    <w:p w14:paraId="2A8D6121" w14:textId="77777777" w:rsidR="00162496" w:rsidRPr="003E2809" w:rsidRDefault="00162496" w:rsidP="00162496">
      <w:pPr>
        <w:spacing w:line="480" w:lineRule="auto"/>
        <w:rPr>
          <w:rFonts w:ascii="Times New Roman" w:hAnsi="Times New Roman" w:cs="Times New Roman"/>
        </w:rPr>
      </w:pPr>
    </w:p>
    <w:p w14:paraId="2CE93795" w14:textId="12662669" w:rsidR="00162496" w:rsidRPr="003E2809" w:rsidRDefault="00162496" w:rsidP="00162496">
      <w:pPr>
        <w:spacing w:line="480" w:lineRule="auto"/>
        <w:rPr>
          <w:rFonts w:ascii="Times New Roman" w:hAnsi="Times New Roman" w:cs="Times New Roman"/>
          <w:i/>
          <w:iCs/>
        </w:rPr>
      </w:pPr>
      <w:r w:rsidRPr="003E2809">
        <w:rPr>
          <w:rFonts w:ascii="Times New Roman" w:hAnsi="Times New Roman" w:cs="Times New Roman"/>
          <w:i/>
          <w:iCs/>
        </w:rPr>
        <w:t>C</w:t>
      </w:r>
      <w:r w:rsidR="005E66C9" w:rsidRPr="003E2809">
        <w:rPr>
          <w:rFonts w:ascii="Times New Roman" w:hAnsi="Times New Roman" w:cs="Times New Roman"/>
          <w:i/>
          <w:iCs/>
        </w:rPr>
        <w:t>I</w:t>
      </w:r>
      <w:r w:rsidRPr="003E2809">
        <w:rPr>
          <w:rFonts w:ascii="Times New Roman" w:hAnsi="Times New Roman" w:cs="Times New Roman"/>
          <w:i/>
          <w:iCs/>
        </w:rPr>
        <w:t>CU management</w:t>
      </w:r>
    </w:p>
    <w:p w14:paraId="276D7333" w14:textId="75B69751" w:rsidR="00162496" w:rsidRPr="003E2809" w:rsidRDefault="00162496" w:rsidP="005E66C9">
      <w:pPr>
        <w:spacing w:line="480" w:lineRule="auto"/>
        <w:ind w:firstLine="840"/>
        <w:rPr>
          <w:rFonts w:ascii="Times New Roman" w:hAnsi="Times New Roman" w:cs="Times New Roman"/>
        </w:rPr>
      </w:pPr>
      <w:r w:rsidRPr="003E2809">
        <w:rPr>
          <w:rFonts w:ascii="Times New Roman" w:hAnsi="Times New Roman" w:cs="Times New Roman"/>
        </w:rPr>
        <w:t>At our hospital, all cardiovascular surgery patients are admitted to the C</w:t>
      </w:r>
      <w:r w:rsidR="009716AC">
        <w:rPr>
          <w:rFonts w:ascii="Times New Roman" w:hAnsi="Times New Roman" w:cs="Times New Roman"/>
        </w:rPr>
        <w:t>I</w:t>
      </w:r>
      <w:r w:rsidRPr="003E2809">
        <w:rPr>
          <w:rFonts w:ascii="Times New Roman" w:hAnsi="Times New Roman" w:cs="Times New Roman"/>
        </w:rPr>
        <w:t xml:space="preserve">CU while intubated </w:t>
      </w:r>
      <w:r w:rsidR="00C56DAB" w:rsidRPr="004C6A3A">
        <w:rPr>
          <w:rFonts w:ascii="Times New Roman" w:hAnsi="Times New Roman" w:cs="Times New Roman"/>
          <w:color w:val="FF0000"/>
        </w:rPr>
        <w:t xml:space="preserve">with </w:t>
      </w:r>
      <w:r w:rsidR="004C6A3A">
        <w:rPr>
          <w:rFonts w:ascii="Times New Roman" w:hAnsi="Times New Roman" w:cs="Times New Roman"/>
          <w:color w:val="FF0000"/>
        </w:rPr>
        <w:t>the</w:t>
      </w:r>
      <w:r w:rsidR="004C6A3A" w:rsidRPr="004C6A3A">
        <w:rPr>
          <w:rFonts w:ascii="Times New Roman" w:hAnsi="Times New Roman" w:cs="Times New Roman"/>
          <w:color w:val="FF0000"/>
        </w:rPr>
        <w:t xml:space="preserve"> </w:t>
      </w:r>
      <w:r w:rsidR="00C56DAB" w:rsidRPr="004C6A3A">
        <w:rPr>
          <w:rFonts w:ascii="Times New Roman" w:hAnsi="Times New Roman" w:cs="Times New Roman"/>
          <w:color w:val="FF0000"/>
        </w:rPr>
        <w:t>intent to</w:t>
      </w:r>
      <w:r w:rsidRPr="003E2809">
        <w:rPr>
          <w:rFonts w:ascii="Times New Roman" w:hAnsi="Times New Roman" w:cs="Times New Roman"/>
        </w:rPr>
        <w:t xml:space="preserve"> extubat</w:t>
      </w:r>
      <w:r w:rsidR="009716AC">
        <w:rPr>
          <w:rFonts w:ascii="Times New Roman" w:hAnsi="Times New Roman" w:cs="Times New Roman"/>
        </w:rPr>
        <w:t>e</w:t>
      </w:r>
      <w:r w:rsidRPr="003E2809">
        <w:rPr>
          <w:rFonts w:ascii="Times New Roman" w:hAnsi="Times New Roman" w:cs="Times New Roman"/>
        </w:rPr>
        <w:t xml:space="preserve"> them as early as possible. We initially use a Siemens </w:t>
      </w:r>
      <w:proofErr w:type="spellStart"/>
      <w:r w:rsidRPr="003E2809">
        <w:rPr>
          <w:rFonts w:ascii="Times New Roman" w:hAnsi="Times New Roman" w:cs="Times New Roman"/>
        </w:rPr>
        <w:t>Maquet</w:t>
      </w:r>
      <w:proofErr w:type="spellEnd"/>
      <w:r w:rsidRPr="003E2809">
        <w:rPr>
          <w:rFonts w:ascii="Times New Roman" w:hAnsi="Times New Roman" w:cs="Times New Roman"/>
        </w:rPr>
        <w:t xml:space="preserve"> Servo-</w:t>
      </w:r>
      <w:proofErr w:type="spellStart"/>
      <w:r w:rsidRPr="003E2809">
        <w:rPr>
          <w:rFonts w:ascii="Times New Roman" w:hAnsi="Times New Roman" w:cs="Times New Roman"/>
        </w:rPr>
        <w:t>i</w:t>
      </w:r>
      <w:proofErr w:type="spellEnd"/>
      <w:r w:rsidRPr="003E2809">
        <w:rPr>
          <w:rFonts w:ascii="Times New Roman" w:hAnsi="Times New Roman" w:cs="Times New Roman"/>
        </w:rPr>
        <w:t xml:space="preserve"> ventilator (SOMA TECH INTL, Bloomfield, CT) on pressure-regulated volume control mode. Once spontaneous breathing resumes, we switched to pressure support ventilation. </w:t>
      </w:r>
      <w:proofErr w:type="spellStart"/>
      <w:r w:rsidRPr="003E2809">
        <w:rPr>
          <w:rFonts w:ascii="Times New Roman" w:hAnsi="Times New Roman" w:cs="Times New Roman"/>
        </w:rPr>
        <w:t>Extubation</w:t>
      </w:r>
      <w:proofErr w:type="spellEnd"/>
      <w:r w:rsidRPr="003E2809">
        <w:rPr>
          <w:rFonts w:ascii="Times New Roman" w:hAnsi="Times New Roman" w:cs="Times New Roman"/>
        </w:rPr>
        <w:t xml:space="preserve"> is performed once the following criteria are </w:t>
      </w:r>
      <w:proofErr w:type="gramStart"/>
      <w:r w:rsidRPr="003E2809">
        <w:rPr>
          <w:rFonts w:ascii="Times New Roman" w:hAnsi="Times New Roman" w:cs="Times New Roman"/>
        </w:rPr>
        <w:t>met:</w:t>
      </w:r>
      <w:proofErr w:type="gramEnd"/>
      <w:r w:rsidRPr="003E2809">
        <w:rPr>
          <w:rFonts w:ascii="Times New Roman" w:hAnsi="Times New Roman" w:cs="Times New Roman"/>
        </w:rPr>
        <w:t xml:space="preserve"> stable circulation, systolic blood pressure that is above the fifth percentile for the child’s age; normal lactate level (&lt;2</w:t>
      </w:r>
      <w:r w:rsidR="009716AC">
        <w:rPr>
          <w:rFonts w:ascii="Times New Roman" w:hAnsi="Times New Roman" w:cs="Times New Roman"/>
        </w:rPr>
        <w:t xml:space="preserve"> </w:t>
      </w:r>
      <w:r w:rsidRPr="003E2809">
        <w:rPr>
          <w:rFonts w:ascii="Times New Roman" w:hAnsi="Times New Roman" w:cs="Times New Roman"/>
        </w:rPr>
        <w:t xml:space="preserve">mmol/L); adequate hemostasis; maintenance of respiratory function [spontaneous breathing test </w:t>
      </w:r>
      <w:r w:rsidRPr="004C6A3A">
        <w:rPr>
          <w:rFonts w:ascii="Times New Roman" w:hAnsi="Times New Roman" w:cs="Times New Roman"/>
          <w:color w:val="000000" w:themeColor="text1"/>
        </w:rPr>
        <w:t>(fraction of inspired oxygen ≤0.</w:t>
      </w:r>
      <w:r w:rsidR="005D1ACD" w:rsidRPr="004C6A3A">
        <w:rPr>
          <w:rFonts w:ascii="Times New Roman" w:hAnsi="Times New Roman" w:cs="Times New Roman"/>
          <w:color w:val="000000" w:themeColor="text1"/>
        </w:rPr>
        <w:t>5</w:t>
      </w:r>
      <w:r w:rsidRPr="004C6A3A">
        <w:rPr>
          <w:rFonts w:ascii="Times New Roman" w:hAnsi="Times New Roman" w:cs="Times New Roman"/>
          <w:color w:val="000000" w:themeColor="text1"/>
        </w:rPr>
        <w:t>; positive end-expiratory pressure ≤5 cmH</w:t>
      </w:r>
      <w:r w:rsidRPr="004C6A3A">
        <w:rPr>
          <w:rFonts w:ascii="Times New Roman" w:hAnsi="Times New Roman" w:cs="Times New Roman"/>
          <w:color w:val="000000" w:themeColor="text1"/>
          <w:vertAlign w:val="subscript"/>
        </w:rPr>
        <w:t>2</w:t>
      </w:r>
      <w:r w:rsidRPr="004C6A3A">
        <w:rPr>
          <w:rFonts w:ascii="Times New Roman" w:hAnsi="Times New Roman" w:cs="Times New Roman"/>
          <w:color w:val="000000" w:themeColor="text1"/>
        </w:rPr>
        <w:t>0, peak inspiratory pressure ≤1</w:t>
      </w:r>
      <w:r w:rsidR="005D1ACD" w:rsidRPr="004C6A3A">
        <w:rPr>
          <w:rFonts w:ascii="Times New Roman" w:hAnsi="Times New Roman" w:cs="Times New Roman"/>
          <w:color w:val="000000" w:themeColor="text1"/>
        </w:rPr>
        <w:t>0</w:t>
      </w:r>
      <w:r w:rsidRPr="004C6A3A">
        <w:rPr>
          <w:rFonts w:ascii="Times New Roman" w:hAnsi="Times New Roman" w:cs="Times New Roman"/>
          <w:color w:val="000000" w:themeColor="text1"/>
        </w:rPr>
        <w:t xml:space="preserve"> cmH</w:t>
      </w:r>
      <w:r w:rsidRPr="004C6A3A">
        <w:rPr>
          <w:rFonts w:ascii="Times New Roman" w:hAnsi="Times New Roman" w:cs="Times New Roman"/>
          <w:color w:val="000000" w:themeColor="text1"/>
          <w:vertAlign w:val="subscript"/>
        </w:rPr>
        <w:t>2</w:t>
      </w:r>
      <w:r w:rsidRPr="004C6A3A">
        <w:rPr>
          <w:rFonts w:ascii="Times New Roman" w:hAnsi="Times New Roman" w:cs="Times New Roman"/>
          <w:color w:val="000000" w:themeColor="text1"/>
        </w:rPr>
        <w:t>O)]</w:t>
      </w:r>
      <w:r w:rsidRPr="003E2809">
        <w:rPr>
          <w:rFonts w:ascii="Times New Roman" w:hAnsi="Times New Roman" w:cs="Times New Roman"/>
        </w:rPr>
        <w:t xml:space="preserve">; and awaking </w:t>
      </w:r>
      <w:r w:rsidRPr="003E2809">
        <w:rPr>
          <w:rFonts w:ascii="Times New Roman" w:hAnsi="Times New Roman" w:cs="Times New Roman"/>
        </w:rPr>
        <w:lastRenderedPageBreak/>
        <w:t xml:space="preserve">while maintaining a sufficient </w:t>
      </w:r>
      <w:r w:rsidR="00717BEC">
        <w:rPr>
          <w:rFonts w:ascii="Times New Roman" w:hAnsi="Times New Roman" w:cs="Times New Roman"/>
        </w:rPr>
        <w:t xml:space="preserve">airflow through the </w:t>
      </w:r>
      <w:r w:rsidRPr="003E2809">
        <w:rPr>
          <w:rFonts w:ascii="Times New Roman" w:hAnsi="Times New Roman" w:cs="Times New Roman"/>
        </w:rPr>
        <w:t>airway. Acetaminophen and low-dose intravenous continuous infusion of fentanyl and non-steroidal anti-inflammatory drugs were used for analgesia as needed. To maintain adequate circulation, dopamine, dobutamine</w:t>
      </w:r>
      <w:r w:rsidR="002A10CA" w:rsidRPr="003E2809">
        <w:rPr>
          <w:rFonts w:ascii="Times New Roman" w:hAnsi="Times New Roman" w:cs="Times New Roman"/>
        </w:rPr>
        <w:t>,</w:t>
      </w:r>
      <w:r w:rsidRPr="003E2809">
        <w:rPr>
          <w:rFonts w:ascii="Times New Roman" w:hAnsi="Times New Roman" w:cs="Times New Roman"/>
        </w:rPr>
        <w:t xml:space="preserve"> and, if necessary, continuous small doses of epinephrine were infused. In addition to the maintenance dose, blood transfusion and albumin preparations </w:t>
      </w:r>
      <w:r w:rsidR="002A10CA" w:rsidRPr="003E2809">
        <w:rPr>
          <w:rFonts w:ascii="Times New Roman" w:hAnsi="Times New Roman" w:cs="Times New Roman"/>
        </w:rPr>
        <w:t xml:space="preserve">were </w:t>
      </w:r>
      <w:r w:rsidRPr="003E2809">
        <w:rPr>
          <w:rFonts w:ascii="Times New Roman" w:hAnsi="Times New Roman" w:cs="Times New Roman"/>
        </w:rPr>
        <w:t xml:space="preserve">used whenever they were appropriate. </w:t>
      </w:r>
    </w:p>
    <w:p w14:paraId="1672E047" w14:textId="677814E0" w:rsidR="00A83049" w:rsidRPr="003E2809" w:rsidRDefault="00A83049" w:rsidP="00A83049">
      <w:pPr>
        <w:spacing w:line="480" w:lineRule="auto"/>
        <w:rPr>
          <w:rFonts w:ascii="Times New Roman" w:hAnsi="Times New Roman" w:cs="Times New Roman"/>
        </w:rPr>
      </w:pPr>
    </w:p>
    <w:p w14:paraId="2765E255" w14:textId="77777777" w:rsidR="00A83049" w:rsidRPr="003E2809" w:rsidRDefault="00A83049" w:rsidP="00A83049">
      <w:pPr>
        <w:spacing w:line="480" w:lineRule="auto"/>
        <w:rPr>
          <w:rFonts w:ascii="Times New Roman" w:hAnsi="Times New Roman" w:cs="Times New Roman"/>
          <w:b/>
          <w:bCs/>
        </w:rPr>
      </w:pPr>
      <w:r w:rsidRPr="003E2809">
        <w:rPr>
          <w:rFonts w:ascii="Times New Roman" w:hAnsi="Times New Roman" w:cs="Times New Roman"/>
          <w:b/>
          <w:bCs/>
        </w:rPr>
        <w:t>Result</w:t>
      </w:r>
    </w:p>
    <w:p w14:paraId="1DA77752" w14:textId="5685E696" w:rsidR="00A83049" w:rsidRPr="003E2809" w:rsidRDefault="00A83049" w:rsidP="00162496">
      <w:pPr>
        <w:spacing w:line="480" w:lineRule="auto"/>
        <w:ind w:firstLine="840"/>
        <w:rPr>
          <w:rFonts w:ascii="Times New Roman" w:hAnsi="Times New Roman" w:cs="Times New Roman"/>
          <w:b/>
          <w:bCs/>
          <w:i/>
          <w:iCs/>
          <w:color w:val="000000" w:themeColor="text1"/>
        </w:rPr>
      </w:pPr>
      <w:r w:rsidRPr="003E2809">
        <w:rPr>
          <w:rFonts w:ascii="Times New Roman" w:hAnsi="Times New Roman" w:cs="Times New Roman"/>
          <w:color w:val="000000" w:themeColor="text1"/>
        </w:rPr>
        <w:t xml:space="preserve">Respiratory failure was the most common cause of </w:t>
      </w:r>
      <w:r w:rsidR="00591215" w:rsidRPr="003E2809">
        <w:rPr>
          <w:rFonts w:ascii="Times New Roman" w:hAnsi="Times New Roman" w:cs="Times New Roman"/>
          <w:color w:val="000000" w:themeColor="text1"/>
        </w:rPr>
        <w:t>prolonged ventilation</w:t>
      </w:r>
      <w:r w:rsidRPr="003E2809">
        <w:rPr>
          <w:rFonts w:ascii="Times New Roman" w:hAnsi="Times New Roman" w:cs="Times New Roman"/>
          <w:color w:val="000000" w:themeColor="text1"/>
        </w:rPr>
        <w:t xml:space="preserve"> (n = 11, 52%), followed by circulatory instability (n = 6, 29%), hemorrhage and cardiac tamponade (n = 2, 9%), postoperative cerebral infarction (n = 1, 5%), and delayed postoperative waking (n = 1, 5%). Respiratory failure was caused by pulmonary edema and parenchymal damage in </w:t>
      </w:r>
      <w:r w:rsidR="006A7671">
        <w:rPr>
          <w:rFonts w:ascii="Times New Roman" w:hAnsi="Times New Roman" w:cs="Times New Roman"/>
          <w:color w:val="000000" w:themeColor="text1"/>
        </w:rPr>
        <w:t>eight</w:t>
      </w:r>
      <w:r w:rsidR="006A7671" w:rsidRPr="003E2809">
        <w:rPr>
          <w:rFonts w:ascii="Times New Roman" w:hAnsi="Times New Roman" w:cs="Times New Roman"/>
          <w:color w:val="000000" w:themeColor="text1"/>
        </w:rPr>
        <w:t xml:space="preserve"> </w:t>
      </w:r>
      <w:r w:rsidRPr="003E2809">
        <w:rPr>
          <w:rFonts w:ascii="Times New Roman" w:hAnsi="Times New Roman" w:cs="Times New Roman"/>
          <w:color w:val="000000" w:themeColor="text1"/>
        </w:rPr>
        <w:t xml:space="preserve">patients (73%), upper airway obstruction in </w:t>
      </w:r>
      <w:r w:rsidR="006A7671">
        <w:rPr>
          <w:rFonts w:ascii="Times New Roman" w:hAnsi="Times New Roman" w:cs="Times New Roman"/>
          <w:color w:val="000000" w:themeColor="text1"/>
        </w:rPr>
        <w:t>two</w:t>
      </w:r>
      <w:r w:rsidR="006A7671" w:rsidRPr="003E2809">
        <w:rPr>
          <w:rFonts w:ascii="Times New Roman" w:hAnsi="Times New Roman" w:cs="Times New Roman"/>
          <w:color w:val="000000" w:themeColor="text1"/>
        </w:rPr>
        <w:t xml:space="preserve"> </w:t>
      </w:r>
      <w:r w:rsidRPr="003E2809">
        <w:rPr>
          <w:rFonts w:ascii="Times New Roman" w:hAnsi="Times New Roman" w:cs="Times New Roman"/>
          <w:color w:val="000000" w:themeColor="text1"/>
        </w:rPr>
        <w:t xml:space="preserve">(18%) patients, and phrenic nerve palsy in </w:t>
      </w:r>
      <w:r w:rsidR="006A7671">
        <w:rPr>
          <w:rFonts w:ascii="Times New Roman" w:hAnsi="Times New Roman" w:cs="Times New Roman"/>
          <w:color w:val="000000" w:themeColor="text1"/>
        </w:rPr>
        <w:t>one</w:t>
      </w:r>
      <w:r w:rsidR="006A7671" w:rsidRPr="003E2809">
        <w:rPr>
          <w:rFonts w:ascii="Times New Roman" w:hAnsi="Times New Roman" w:cs="Times New Roman"/>
          <w:color w:val="000000" w:themeColor="text1"/>
        </w:rPr>
        <w:t xml:space="preserve"> </w:t>
      </w:r>
      <w:r w:rsidRPr="003E2809">
        <w:rPr>
          <w:rFonts w:ascii="Times New Roman" w:hAnsi="Times New Roman" w:cs="Times New Roman"/>
          <w:color w:val="000000" w:themeColor="text1"/>
        </w:rPr>
        <w:t>patient (9%).</w:t>
      </w:r>
    </w:p>
    <w:p w14:paraId="3E2DAD2E" w14:textId="69EBFC67" w:rsidR="00A83049" w:rsidRPr="003E2809" w:rsidRDefault="00162496" w:rsidP="00A83049">
      <w:pPr>
        <w:spacing w:line="480" w:lineRule="auto"/>
        <w:rPr>
          <w:rFonts w:ascii="Times New Roman" w:hAnsi="Times New Roman" w:cs="Times New Roman"/>
          <w:color w:val="000000" w:themeColor="text1"/>
        </w:rPr>
      </w:pPr>
      <w:r w:rsidRPr="003E2809">
        <w:rPr>
          <w:rFonts w:ascii="Times New Roman" w:hAnsi="Times New Roman" w:cs="Times New Roman"/>
          <w:color w:val="000000" w:themeColor="text1"/>
        </w:rPr>
        <w:tab/>
        <w:t>Although there is no clear definition of respiratory failure, it was assumed that the ventilator weaning d</w:t>
      </w:r>
      <w:r w:rsidR="00591215" w:rsidRPr="003E2809">
        <w:rPr>
          <w:rFonts w:ascii="Times New Roman" w:hAnsi="Times New Roman" w:cs="Times New Roman"/>
          <w:color w:val="000000" w:themeColor="text1"/>
        </w:rPr>
        <w:t>o</w:t>
      </w:r>
      <w:r w:rsidR="002A10CA" w:rsidRPr="003E2809">
        <w:rPr>
          <w:rFonts w:ascii="Times New Roman" w:hAnsi="Times New Roman" w:cs="Times New Roman"/>
          <w:color w:val="000000" w:themeColor="text1"/>
        </w:rPr>
        <w:t>es</w:t>
      </w:r>
      <w:r w:rsidRPr="003E2809">
        <w:rPr>
          <w:rFonts w:ascii="Times New Roman" w:hAnsi="Times New Roman" w:cs="Times New Roman"/>
          <w:color w:val="000000" w:themeColor="text1"/>
        </w:rPr>
        <w:t xml:space="preserve"> not pro</w:t>
      </w:r>
      <w:r w:rsidR="00591215" w:rsidRPr="003E2809">
        <w:rPr>
          <w:rFonts w:ascii="Times New Roman" w:hAnsi="Times New Roman" w:cs="Times New Roman"/>
          <w:color w:val="000000" w:themeColor="text1"/>
        </w:rPr>
        <w:t>ceed</w:t>
      </w:r>
      <w:r w:rsidR="002A10CA" w:rsidRPr="003E2809">
        <w:rPr>
          <w:rFonts w:ascii="Times New Roman" w:hAnsi="Times New Roman" w:cs="Times New Roman"/>
          <w:color w:val="000000" w:themeColor="text1"/>
        </w:rPr>
        <w:t>,</w:t>
      </w:r>
      <w:r w:rsidRPr="003E2809">
        <w:rPr>
          <w:rFonts w:ascii="Times New Roman" w:hAnsi="Times New Roman" w:cs="Times New Roman"/>
          <w:color w:val="000000" w:themeColor="text1"/>
        </w:rPr>
        <w:t xml:space="preserve"> and the cause was evaluated to be the respiratory system</w:t>
      </w:r>
      <w:r w:rsidR="002A10CA" w:rsidRPr="003E2809">
        <w:rPr>
          <w:rFonts w:ascii="Times New Roman" w:hAnsi="Times New Roman" w:cs="Times New Roman"/>
          <w:color w:val="000000" w:themeColor="text1"/>
        </w:rPr>
        <w:t>,</w:t>
      </w:r>
      <w:r w:rsidRPr="003E2809">
        <w:rPr>
          <w:rFonts w:ascii="Times New Roman" w:hAnsi="Times New Roman" w:cs="Times New Roman"/>
          <w:color w:val="000000" w:themeColor="text1"/>
        </w:rPr>
        <w:t xml:space="preserve"> including the airways and lungs. The d</w:t>
      </w:r>
      <w:r w:rsidR="005E66C9" w:rsidRPr="003E2809">
        <w:rPr>
          <w:rFonts w:ascii="Times New Roman" w:hAnsi="Times New Roman" w:cs="Times New Roman"/>
          <w:color w:val="000000" w:themeColor="text1"/>
        </w:rPr>
        <w:t>e</w:t>
      </w:r>
      <w:r w:rsidRPr="003E2809">
        <w:rPr>
          <w:rFonts w:ascii="Times New Roman" w:hAnsi="Times New Roman" w:cs="Times New Roman"/>
          <w:color w:val="000000" w:themeColor="text1"/>
        </w:rPr>
        <w:t>finit</w:t>
      </w:r>
      <w:r w:rsidR="005E66C9" w:rsidRPr="003E2809">
        <w:rPr>
          <w:rFonts w:ascii="Times New Roman" w:hAnsi="Times New Roman" w:cs="Times New Roman"/>
          <w:color w:val="000000" w:themeColor="text1"/>
        </w:rPr>
        <w:t>i</w:t>
      </w:r>
      <w:r w:rsidRPr="003E2809">
        <w:rPr>
          <w:rFonts w:ascii="Times New Roman" w:hAnsi="Times New Roman" w:cs="Times New Roman"/>
          <w:color w:val="000000" w:themeColor="text1"/>
        </w:rPr>
        <w:t>on of c</w:t>
      </w:r>
      <w:r w:rsidR="005E66C9" w:rsidRPr="003E2809">
        <w:rPr>
          <w:rFonts w:ascii="Times New Roman" w:hAnsi="Times New Roman" w:cs="Times New Roman"/>
          <w:color w:val="000000" w:themeColor="text1"/>
        </w:rPr>
        <w:t xml:space="preserve">irculatory instability was mentioned in the CICU management section. Hemorrhage was treated as a case of </w:t>
      </w:r>
      <w:r w:rsidR="005E66C9" w:rsidRPr="003E2809">
        <w:rPr>
          <w:rFonts w:ascii="Times New Roman" w:hAnsi="Times New Roman" w:cs="Times New Roman"/>
          <w:color w:val="000000" w:themeColor="text1"/>
        </w:rPr>
        <w:lastRenderedPageBreak/>
        <w:t xml:space="preserve">bleeding that required </w:t>
      </w:r>
      <w:r w:rsidR="002A10CA" w:rsidRPr="003E2809">
        <w:rPr>
          <w:rFonts w:ascii="Times New Roman" w:hAnsi="Times New Roman" w:cs="Times New Roman"/>
          <w:color w:val="000000" w:themeColor="text1"/>
        </w:rPr>
        <w:t xml:space="preserve">a </w:t>
      </w:r>
      <w:r w:rsidR="005E66C9" w:rsidRPr="003E2809">
        <w:rPr>
          <w:rFonts w:ascii="Times New Roman" w:hAnsi="Times New Roman" w:cs="Times New Roman"/>
          <w:color w:val="000000" w:themeColor="text1"/>
        </w:rPr>
        <w:t xml:space="preserve">hemostasis procedure. Delayed postoperative waking was defined as a prolonged decline in consciousness that was evaluated as </w:t>
      </w:r>
      <w:r w:rsidR="006A7671">
        <w:rPr>
          <w:rFonts w:ascii="Times New Roman" w:hAnsi="Times New Roman" w:cs="Times New Roman"/>
          <w:color w:val="000000" w:themeColor="text1"/>
        </w:rPr>
        <w:t>inability</w:t>
      </w:r>
      <w:r w:rsidR="006A7671" w:rsidRPr="003E2809">
        <w:rPr>
          <w:rFonts w:ascii="Times New Roman" w:hAnsi="Times New Roman" w:cs="Times New Roman"/>
          <w:color w:val="000000" w:themeColor="text1"/>
        </w:rPr>
        <w:t xml:space="preserve"> </w:t>
      </w:r>
      <w:r w:rsidR="005E66C9" w:rsidRPr="003E2809">
        <w:rPr>
          <w:rFonts w:ascii="Times New Roman" w:hAnsi="Times New Roman" w:cs="Times New Roman"/>
          <w:color w:val="000000" w:themeColor="text1"/>
        </w:rPr>
        <w:t xml:space="preserve">to maintain the airway after </w:t>
      </w:r>
      <w:proofErr w:type="spellStart"/>
      <w:r w:rsidR="005E66C9" w:rsidRPr="003E2809">
        <w:rPr>
          <w:rFonts w:ascii="Times New Roman" w:hAnsi="Times New Roman" w:cs="Times New Roman"/>
          <w:color w:val="000000" w:themeColor="text1"/>
        </w:rPr>
        <w:t>extubation</w:t>
      </w:r>
      <w:proofErr w:type="spellEnd"/>
      <w:r w:rsidR="005E66C9" w:rsidRPr="003E2809">
        <w:rPr>
          <w:rFonts w:ascii="Times New Roman" w:hAnsi="Times New Roman" w:cs="Times New Roman"/>
          <w:color w:val="000000" w:themeColor="text1"/>
        </w:rPr>
        <w:t xml:space="preserve">. </w:t>
      </w:r>
    </w:p>
    <w:p w14:paraId="121360F8" w14:textId="172A3AA1" w:rsidR="005D64CC" w:rsidRDefault="005D64CC">
      <w:pPr>
        <w:rPr>
          <w:rFonts w:ascii="Times New Roman" w:hAnsi="Times New Roman" w:cs="Times New Roman"/>
        </w:rPr>
      </w:pPr>
    </w:p>
    <w:p w14:paraId="4A17FA92" w14:textId="14F482D7" w:rsidR="00072ABD" w:rsidRDefault="00072ABD">
      <w:pPr>
        <w:rPr>
          <w:rFonts w:ascii="Times New Roman" w:hAnsi="Times New Roman" w:cs="Times New Roman"/>
        </w:rPr>
      </w:pPr>
    </w:p>
    <w:p w14:paraId="034C36BE" w14:textId="1DDCD930" w:rsidR="00072ABD" w:rsidRDefault="00072ABD">
      <w:pPr>
        <w:rPr>
          <w:rFonts w:ascii="Times New Roman" w:hAnsi="Times New Roman" w:cs="Times New Roman"/>
        </w:rPr>
      </w:pPr>
    </w:p>
    <w:p w14:paraId="3C84C8D4" w14:textId="4D1934F2" w:rsidR="00072ABD" w:rsidRDefault="00072ABD">
      <w:pPr>
        <w:rPr>
          <w:rFonts w:ascii="Times New Roman" w:hAnsi="Times New Roman" w:cs="Times New Roman"/>
        </w:rPr>
      </w:pPr>
    </w:p>
    <w:p w14:paraId="5B111023" w14:textId="38A501F5" w:rsidR="00072ABD" w:rsidRDefault="00072ABD">
      <w:pPr>
        <w:rPr>
          <w:rFonts w:ascii="Times New Roman" w:hAnsi="Times New Roman" w:cs="Times New Roman"/>
        </w:rPr>
      </w:pPr>
    </w:p>
    <w:p w14:paraId="2D48D56B" w14:textId="5E30334D" w:rsidR="00072ABD" w:rsidRDefault="00072ABD">
      <w:pPr>
        <w:rPr>
          <w:rFonts w:ascii="Times New Roman" w:hAnsi="Times New Roman" w:cs="Times New Roman"/>
        </w:rPr>
      </w:pPr>
    </w:p>
    <w:p w14:paraId="7A2CEB1C" w14:textId="28447EB8" w:rsidR="00072ABD" w:rsidRDefault="00072ABD">
      <w:pPr>
        <w:rPr>
          <w:rFonts w:ascii="Times New Roman" w:hAnsi="Times New Roman" w:cs="Times New Roman"/>
        </w:rPr>
      </w:pPr>
    </w:p>
    <w:p w14:paraId="66BE21E6" w14:textId="27275238" w:rsidR="00072ABD" w:rsidRDefault="00072ABD">
      <w:pPr>
        <w:rPr>
          <w:rFonts w:ascii="Times New Roman" w:hAnsi="Times New Roman" w:cs="Times New Roman"/>
        </w:rPr>
      </w:pPr>
    </w:p>
    <w:p w14:paraId="2A89E3C5" w14:textId="06F3C39A" w:rsidR="00072ABD" w:rsidRDefault="00072ABD">
      <w:pPr>
        <w:rPr>
          <w:rFonts w:ascii="Times New Roman" w:hAnsi="Times New Roman" w:cs="Times New Roman"/>
        </w:rPr>
      </w:pPr>
    </w:p>
    <w:p w14:paraId="50A3A5EA" w14:textId="3120D9FA" w:rsidR="00072ABD" w:rsidRDefault="00072ABD">
      <w:pPr>
        <w:rPr>
          <w:rFonts w:ascii="Times New Roman" w:hAnsi="Times New Roman" w:cs="Times New Roman"/>
        </w:rPr>
      </w:pPr>
    </w:p>
    <w:p w14:paraId="545708BC" w14:textId="29F707FD" w:rsidR="00072ABD" w:rsidRDefault="00072ABD">
      <w:pPr>
        <w:rPr>
          <w:rFonts w:ascii="Times New Roman" w:hAnsi="Times New Roman" w:cs="Times New Roman"/>
        </w:rPr>
      </w:pPr>
    </w:p>
    <w:p w14:paraId="04FA39C6" w14:textId="0E8711A3" w:rsidR="00072ABD" w:rsidRDefault="00072ABD">
      <w:pPr>
        <w:rPr>
          <w:rFonts w:ascii="Times New Roman" w:hAnsi="Times New Roman" w:cs="Times New Roman"/>
        </w:rPr>
      </w:pPr>
    </w:p>
    <w:p w14:paraId="6EBC503C" w14:textId="495F0C93" w:rsidR="00072ABD" w:rsidRDefault="00072ABD">
      <w:pPr>
        <w:rPr>
          <w:rFonts w:ascii="Times New Roman" w:hAnsi="Times New Roman" w:cs="Times New Roman"/>
        </w:rPr>
      </w:pPr>
    </w:p>
    <w:p w14:paraId="5E724A21" w14:textId="6192AEF3" w:rsidR="00072ABD" w:rsidRDefault="00072ABD">
      <w:pPr>
        <w:rPr>
          <w:rFonts w:ascii="Times New Roman" w:hAnsi="Times New Roman" w:cs="Times New Roman"/>
        </w:rPr>
      </w:pPr>
    </w:p>
    <w:p w14:paraId="534E8DBF" w14:textId="07A0C0B1" w:rsidR="00072ABD" w:rsidRDefault="00072ABD">
      <w:pPr>
        <w:rPr>
          <w:rFonts w:ascii="Times New Roman" w:hAnsi="Times New Roman" w:cs="Times New Roman"/>
        </w:rPr>
      </w:pPr>
    </w:p>
    <w:p w14:paraId="3D0CF3C8" w14:textId="34F12350" w:rsidR="00072ABD" w:rsidRDefault="00072ABD">
      <w:pPr>
        <w:rPr>
          <w:rFonts w:ascii="Times New Roman" w:hAnsi="Times New Roman" w:cs="Times New Roman"/>
        </w:rPr>
      </w:pPr>
    </w:p>
    <w:p w14:paraId="21E47DDE" w14:textId="55BD8444" w:rsidR="00072ABD" w:rsidRDefault="00072ABD">
      <w:pPr>
        <w:rPr>
          <w:rFonts w:ascii="Times New Roman" w:hAnsi="Times New Roman" w:cs="Times New Roman"/>
        </w:rPr>
      </w:pPr>
    </w:p>
    <w:p w14:paraId="6287FDA4" w14:textId="161A6DB9" w:rsidR="00072ABD" w:rsidRDefault="00072ABD">
      <w:pPr>
        <w:rPr>
          <w:rFonts w:ascii="Times New Roman" w:hAnsi="Times New Roman" w:cs="Times New Roman"/>
        </w:rPr>
      </w:pPr>
    </w:p>
    <w:p w14:paraId="0EF01053" w14:textId="2AAF09E2" w:rsidR="00072ABD" w:rsidRDefault="00072ABD">
      <w:pPr>
        <w:rPr>
          <w:rFonts w:ascii="Times New Roman" w:hAnsi="Times New Roman" w:cs="Times New Roman"/>
        </w:rPr>
      </w:pPr>
    </w:p>
    <w:p w14:paraId="181AF2C1" w14:textId="5CDF8CCF" w:rsidR="00072ABD" w:rsidRDefault="00072ABD">
      <w:pPr>
        <w:rPr>
          <w:rFonts w:ascii="Times New Roman" w:hAnsi="Times New Roman" w:cs="Times New Roman"/>
        </w:rPr>
      </w:pPr>
    </w:p>
    <w:p w14:paraId="0729D1F8" w14:textId="6A68D8BB" w:rsidR="00072ABD" w:rsidRDefault="00072ABD">
      <w:pPr>
        <w:rPr>
          <w:rFonts w:ascii="Times New Roman" w:hAnsi="Times New Roman" w:cs="Times New Roman"/>
        </w:rPr>
      </w:pPr>
    </w:p>
    <w:p w14:paraId="534F5C44" w14:textId="269390D8" w:rsidR="00072ABD" w:rsidRDefault="00072ABD">
      <w:pPr>
        <w:rPr>
          <w:rFonts w:ascii="Times New Roman" w:hAnsi="Times New Roman" w:cs="Times New Roman"/>
        </w:rPr>
      </w:pPr>
    </w:p>
    <w:p w14:paraId="062876C7" w14:textId="59616EA2" w:rsidR="00072ABD" w:rsidRDefault="00072ABD">
      <w:pPr>
        <w:rPr>
          <w:rFonts w:ascii="Times New Roman" w:hAnsi="Times New Roman" w:cs="Times New Roman"/>
        </w:rPr>
      </w:pPr>
    </w:p>
    <w:p w14:paraId="09DE1B7D" w14:textId="28D14DB3" w:rsidR="00072ABD" w:rsidRDefault="00072ABD">
      <w:pPr>
        <w:rPr>
          <w:rFonts w:ascii="Times New Roman" w:hAnsi="Times New Roman" w:cs="Times New Roman"/>
        </w:rPr>
      </w:pPr>
    </w:p>
    <w:p w14:paraId="009E83DA" w14:textId="5C350208" w:rsidR="00072ABD" w:rsidRDefault="00072ABD">
      <w:pPr>
        <w:rPr>
          <w:rFonts w:ascii="Times New Roman" w:hAnsi="Times New Roman" w:cs="Times New Roman"/>
        </w:rPr>
      </w:pPr>
    </w:p>
    <w:p w14:paraId="789BE3D1" w14:textId="0F7FB859" w:rsidR="00072ABD" w:rsidRDefault="00072ABD">
      <w:pPr>
        <w:rPr>
          <w:rFonts w:ascii="Times New Roman" w:hAnsi="Times New Roman" w:cs="Times New Roman"/>
        </w:rPr>
      </w:pPr>
    </w:p>
    <w:p w14:paraId="31CFE5B5" w14:textId="0FAC0D26" w:rsidR="00072ABD" w:rsidRDefault="00072ABD">
      <w:pPr>
        <w:rPr>
          <w:rFonts w:ascii="Times New Roman" w:hAnsi="Times New Roman" w:cs="Times New Roman"/>
        </w:rPr>
      </w:pPr>
    </w:p>
    <w:p w14:paraId="56812DB7" w14:textId="34C3A730" w:rsidR="00072ABD" w:rsidRDefault="00072ABD">
      <w:pPr>
        <w:rPr>
          <w:rFonts w:ascii="Times New Roman" w:hAnsi="Times New Roman" w:cs="Times New Roman"/>
        </w:rPr>
      </w:pPr>
    </w:p>
    <w:p w14:paraId="50F1B0E2" w14:textId="631B9CC6" w:rsidR="00072ABD" w:rsidRDefault="00072ABD">
      <w:pPr>
        <w:rPr>
          <w:rFonts w:ascii="Times New Roman" w:hAnsi="Times New Roman" w:cs="Times New Roman"/>
        </w:rPr>
      </w:pPr>
    </w:p>
    <w:p w14:paraId="2D241D19" w14:textId="77777777" w:rsidR="00072ABD" w:rsidRPr="003E2809" w:rsidRDefault="00072ABD">
      <w:pPr>
        <w:rPr>
          <w:rFonts w:ascii="Times New Roman" w:hAnsi="Times New Roman" w:cs="Times New Roman"/>
        </w:rPr>
      </w:pPr>
    </w:p>
    <w:p w14:paraId="105C7D3F" w14:textId="106B7C3A" w:rsidR="008A5FFE" w:rsidRPr="004C6A3A" w:rsidRDefault="006D228E" w:rsidP="00C12719">
      <w:pPr>
        <w:rPr>
          <w:rFonts w:asciiTheme="majorBidi" w:hAnsiTheme="majorBidi" w:cstheme="majorBidi"/>
          <w:color w:val="000000" w:themeColor="text1"/>
        </w:rPr>
      </w:pPr>
      <w:r w:rsidRPr="004C6A3A">
        <w:rPr>
          <w:rFonts w:ascii="Times New Roman" w:hAnsi="Times New Roman" w:cs="Times New Roman"/>
          <w:b/>
          <w:bCs/>
          <w:color w:val="000000" w:themeColor="text1"/>
        </w:rPr>
        <w:lastRenderedPageBreak/>
        <w:t>Supplement</w:t>
      </w:r>
      <w:r w:rsidR="00296519" w:rsidRPr="004C6A3A">
        <w:rPr>
          <w:rFonts w:ascii="Times New Roman" w:hAnsi="Times New Roman" w:cs="Times New Roman"/>
          <w:b/>
          <w:bCs/>
          <w:color w:val="000000" w:themeColor="text1"/>
        </w:rPr>
        <w:t>ary</w:t>
      </w:r>
      <w:r w:rsidRPr="004C6A3A">
        <w:rPr>
          <w:rFonts w:ascii="Times New Roman" w:hAnsi="Times New Roman" w:cs="Times New Roman"/>
          <w:b/>
          <w:bCs/>
          <w:color w:val="000000" w:themeColor="text1"/>
        </w:rPr>
        <w:t xml:space="preserve"> Table</w:t>
      </w:r>
      <w:r w:rsidR="00C12719" w:rsidRPr="004C6A3A">
        <w:rPr>
          <w:rFonts w:ascii="Times New Roman" w:hAnsi="Times New Roman" w:cs="Times New Roman"/>
          <w:b/>
          <w:bCs/>
          <w:color w:val="000000" w:themeColor="text1"/>
        </w:rPr>
        <w:t xml:space="preserve"> </w:t>
      </w:r>
      <w:r w:rsidR="00296519" w:rsidRPr="004C6A3A">
        <w:rPr>
          <w:rFonts w:ascii="Times New Roman" w:hAnsi="Times New Roman" w:cs="Times New Roman"/>
          <w:b/>
          <w:bCs/>
          <w:color w:val="000000" w:themeColor="text1"/>
        </w:rPr>
        <w:t>S</w:t>
      </w:r>
      <w:r w:rsidRPr="004C6A3A">
        <w:rPr>
          <w:rFonts w:ascii="Times New Roman" w:hAnsi="Times New Roman" w:cs="Times New Roman"/>
          <w:b/>
          <w:bCs/>
          <w:color w:val="000000" w:themeColor="text1"/>
        </w:rPr>
        <w:t>1</w:t>
      </w:r>
      <w:r w:rsidR="00C12719" w:rsidRPr="004C6A3A">
        <w:rPr>
          <w:rFonts w:ascii="Times New Roman" w:hAnsi="Times New Roman" w:cs="Times New Roman"/>
          <w:b/>
          <w:bCs/>
          <w:color w:val="000000" w:themeColor="text1"/>
        </w:rPr>
        <w:t>.</w:t>
      </w:r>
      <w:r w:rsidRPr="004C6A3A">
        <w:rPr>
          <w:rFonts w:asciiTheme="majorBidi" w:hAnsiTheme="majorBidi" w:cstheme="majorBidi"/>
          <w:color w:val="000000" w:themeColor="text1"/>
        </w:rPr>
        <w:t xml:space="preserve"> </w:t>
      </w:r>
    </w:p>
    <w:p w14:paraId="3FC0258D" w14:textId="61BFA652" w:rsidR="006D228E" w:rsidRPr="00F30812" w:rsidRDefault="006D228E" w:rsidP="005D1ACD">
      <w:pPr>
        <w:rPr>
          <w:rFonts w:ascii="Times New Roman" w:hAnsi="Times New Roman" w:cs="Times New Roman"/>
          <w:b/>
          <w:bCs/>
          <w:color w:val="000000" w:themeColor="text1"/>
          <w:sz w:val="36"/>
          <w:szCs w:val="36"/>
        </w:rPr>
      </w:pPr>
      <w:r w:rsidRPr="00F30812">
        <w:rPr>
          <w:rFonts w:ascii="Times New Roman" w:hAnsi="Times New Roman" w:cs="Times New Roman"/>
          <w:color w:val="000000" w:themeColor="text1"/>
        </w:rPr>
        <w:t>Postoperative profile</w:t>
      </w:r>
    </w:p>
    <w:tbl>
      <w:tblPr>
        <w:tblW w:w="5004" w:type="pct"/>
        <w:tblLook w:val="0000" w:firstRow="0" w:lastRow="0" w:firstColumn="0" w:lastColumn="0" w:noHBand="0" w:noVBand="0"/>
      </w:tblPr>
      <w:tblGrid>
        <w:gridCol w:w="3402"/>
        <w:gridCol w:w="2126"/>
        <w:gridCol w:w="2126"/>
        <w:gridCol w:w="851"/>
      </w:tblGrid>
      <w:tr w:rsidR="00C56DAB" w:rsidRPr="00F30812" w14:paraId="47D7ED81" w14:textId="77777777" w:rsidTr="005D1ACD">
        <w:trPr>
          <w:trHeight w:val="400"/>
        </w:trPr>
        <w:tc>
          <w:tcPr>
            <w:tcW w:w="2000" w:type="pct"/>
            <w:tcBorders>
              <w:top w:val="single" w:sz="4" w:space="0" w:color="auto"/>
              <w:bottom w:val="single" w:sz="4" w:space="0" w:color="auto"/>
            </w:tcBorders>
            <w:tcMar>
              <w:top w:w="192" w:type="nil"/>
              <w:left w:w="96" w:type="nil"/>
              <w:bottom w:w="96" w:type="nil"/>
              <w:right w:w="192" w:type="nil"/>
            </w:tcMar>
            <w:vAlign w:val="center"/>
          </w:tcPr>
          <w:p w14:paraId="496D746A" w14:textId="77777777" w:rsidR="006D228E" w:rsidRPr="00F30812" w:rsidRDefault="006D228E" w:rsidP="009F6A62">
            <w:pPr>
              <w:autoSpaceDE w:val="0"/>
              <w:autoSpaceDN w:val="0"/>
              <w:adjustRightInd w:val="0"/>
              <w:spacing w:line="480" w:lineRule="auto"/>
              <w:rPr>
                <w:rFonts w:ascii="Times New Roman" w:hAnsi="Times New Roman" w:cs="Times New Roman"/>
                <w:color w:val="000000" w:themeColor="text1"/>
                <w:kern w:val="0"/>
                <w:sz w:val="16"/>
                <w:szCs w:val="16"/>
              </w:rPr>
            </w:pPr>
          </w:p>
        </w:tc>
        <w:tc>
          <w:tcPr>
            <w:tcW w:w="1250" w:type="pct"/>
            <w:tcBorders>
              <w:top w:val="single" w:sz="4" w:space="0" w:color="auto"/>
              <w:bottom w:val="single" w:sz="4" w:space="0" w:color="auto"/>
            </w:tcBorders>
            <w:tcMar>
              <w:top w:w="192" w:type="nil"/>
              <w:left w:w="96" w:type="nil"/>
              <w:bottom w:w="96" w:type="nil"/>
              <w:right w:w="192" w:type="nil"/>
            </w:tcMar>
            <w:vAlign w:val="center"/>
          </w:tcPr>
          <w:p w14:paraId="656FE10D"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 xml:space="preserve">Early </w:t>
            </w:r>
            <w:proofErr w:type="spellStart"/>
            <w:r w:rsidRPr="00F30812">
              <w:rPr>
                <w:rFonts w:ascii="Times New Roman" w:hAnsi="Times New Roman" w:cs="Times New Roman"/>
                <w:color w:val="000000" w:themeColor="text1"/>
                <w:kern w:val="0"/>
                <w:sz w:val="16"/>
                <w:szCs w:val="16"/>
              </w:rPr>
              <w:t>extubation</w:t>
            </w:r>
            <w:proofErr w:type="spellEnd"/>
            <w:r w:rsidRPr="00F30812">
              <w:rPr>
                <w:rFonts w:ascii="Times New Roman" w:hAnsi="Times New Roman" w:cs="Times New Roman"/>
                <w:color w:val="000000" w:themeColor="text1"/>
                <w:kern w:val="0"/>
                <w:sz w:val="16"/>
                <w:szCs w:val="16"/>
              </w:rPr>
              <w:t xml:space="preserve"> group, </w:t>
            </w:r>
          </w:p>
          <w:p w14:paraId="0717F51B" w14:textId="78D7E2FA" w:rsidR="006D228E" w:rsidRPr="00F30812" w:rsidRDefault="004C6A3A"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 xml:space="preserve">n </w:t>
            </w:r>
            <w:r w:rsidR="006D228E"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 xml:space="preserve"> </w:t>
            </w:r>
            <w:r w:rsidR="006D228E" w:rsidRPr="00F30812">
              <w:rPr>
                <w:rFonts w:ascii="Times New Roman" w:hAnsi="Times New Roman" w:cs="Times New Roman"/>
                <w:color w:val="000000" w:themeColor="text1"/>
                <w:kern w:val="0"/>
                <w:sz w:val="16"/>
                <w:szCs w:val="16"/>
              </w:rPr>
              <w:t>102</w:t>
            </w:r>
          </w:p>
        </w:tc>
        <w:tc>
          <w:tcPr>
            <w:tcW w:w="1250" w:type="pct"/>
            <w:tcBorders>
              <w:top w:val="single" w:sz="4" w:space="0" w:color="auto"/>
              <w:bottom w:val="single" w:sz="4" w:space="0" w:color="auto"/>
            </w:tcBorders>
            <w:tcMar>
              <w:top w:w="192" w:type="nil"/>
              <w:left w:w="96" w:type="nil"/>
              <w:bottom w:w="96" w:type="nil"/>
              <w:right w:w="192" w:type="nil"/>
            </w:tcMar>
            <w:vAlign w:val="center"/>
          </w:tcPr>
          <w:p w14:paraId="126CBA5E" w14:textId="77777777" w:rsidR="004C6A3A"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 xml:space="preserve">Prolonged ventilation group, </w:t>
            </w:r>
          </w:p>
          <w:p w14:paraId="3D22C42E" w14:textId="70365EB2"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n</w:t>
            </w:r>
            <w:r w:rsidR="004C6A3A" w:rsidRPr="00F30812">
              <w:rPr>
                <w:rFonts w:ascii="Times New Roman" w:hAnsi="Times New Roman" w:cs="Times New Roman"/>
                <w:color w:val="000000" w:themeColor="text1"/>
                <w:kern w:val="0"/>
                <w:sz w:val="16"/>
                <w:szCs w:val="16"/>
              </w:rPr>
              <w:t xml:space="preserve"> </w:t>
            </w:r>
            <w:r w:rsidRPr="00F30812">
              <w:rPr>
                <w:rFonts w:ascii="Times New Roman" w:hAnsi="Times New Roman" w:cs="Times New Roman"/>
                <w:color w:val="000000" w:themeColor="text1"/>
                <w:kern w:val="0"/>
                <w:sz w:val="16"/>
                <w:szCs w:val="16"/>
              </w:rPr>
              <w:t>=</w:t>
            </w:r>
            <w:r w:rsidR="004C6A3A" w:rsidRPr="00F30812">
              <w:rPr>
                <w:rFonts w:ascii="Times New Roman" w:hAnsi="Times New Roman" w:cs="Times New Roman"/>
                <w:color w:val="000000" w:themeColor="text1"/>
                <w:kern w:val="0"/>
                <w:sz w:val="16"/>
                <w:szCs w:val="16"/>
              </w:rPr>
              <w:t xml:space="preserve"> </w:t>
            </w:r>
            <w:r w:rsidRPr="00F30812">
              <w:rPr>
                <w:rFonts w:ascii="Times New Roman" w:hAnsi="Times New Roman" w:cs="Times New Roman"/>
                <w:color w:val="000000" w:themeColor="text1"/>
                <w:kern w:val="0"/>
                <w:sz w:val="16"/>
                <w:szCs w:val="16"/>
              </w:rPr>
              <w:t>21</w:t>
            </w:r>
          </w:p>
        </w:tc>
        <w:tc>
          <w:tcPr>
            <w:tcW w:w="500" w:type="pct"/>
            <w:tcBorders>
              <w:top w:val="single" w:sz="4" w:space="0" w:color="auto"/>
              <w:bottom w:val="single" w:sz="4" w:space="0" w:color="auto"/>
            </w:tcBorders>
            <w:tcMar>
              <w:top w:w="192" w:type="nil"/>
              <w:left w:w="96" w:type="nil"/>
              <w:bottom w:w="96" w:type="nil"/>
              <w:right w:w="192" w:type="nil"/>
            </w:tcMar>
            <w:vAlign w:val="center"/>
          </w:tcPr>
          <w:p w14:paraId="79CCFB77"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p value</w:t>
            </w:r>
          </w:p>
        </w:tc>
      </w:tr>
      <w:tr w:rsidR="00C56DAB" w:rsidRPr="00F30812" w14:paraId="327071C4" w14:textId="77777777" w:rsidTr="005D1ACD">
        <w:trPr>
          <w:trHeight w:val="400"/>
        </w:trPr>
        <w:tc>
          <w:tcPr>
            <w:tcW w:w="2000" w:type="pct"/>
            <w:tcMar>
              <w:top w:w="192" w:type="nil"/>
              <w:left w:w="96" w:type="nil"/>
              <w:bottom w:w="96" w:type="nil"/>
              <w:right w:w="192" w:type="nil"/>
            </w:tcMar>
            <w:vAlign w:val="center"/>
          </w:tcPr>
          <w:p w14:paraId="41BF4FA5" w14:textId="7996ED0B" w:rsidR="006D228E" w:rsidRPr="00F30812" w:rsidRDefault="006D228E" w:rsidP="009F6A62">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SAP – admission (mmHg, IQR)</w:t>
            </w:r>
          </w:p>
        </w:tc>
        <w:tc>
          <w:tcPr>
            <w:tcW w:w="1250" w:type="pct"/>
            <w:tcMar>
              <w:top w:w="192" w:type="nil"/>
              <w:left w:w="96" w:type="nil"/>
              <w:bottom w:w="96" w:type="nil"/>
              <w:right w:w="192" w:type="nil"/>
            </w:tcMar>
            <w:vAlign w:val="center"/>
          </w:tcPr>
          <w:p w14:paraId="635F485A" w14:textId="5BC360C9"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88 (82</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95)</w:t>
            </w:r>
          </w:p>
        </w:tc>
        <w:tc>
          <w:tcPr>
            <w:tcW w:w="1250" w:type="pct"/>
            <w:tcMar>
              <w:top w:w="192" w:type="nil"/>
              <w:left w:w="96" w:type="nil"/>
              <w:bottom w:w="96" w:type="nil"/>
              <w:right w:w="192" w:type="nil"/>
            </w:tcMar>
            <w:vAlign w:val="center"/>
          </w:tcPr>
          <w:p w14:paraId="5967959C" w14:textId="7164F4F4" w:rsidR="006D228E" w:rsidRPr="00F30812" w:rsidRDefault="006D228E" w:rsidP="004C6A3A">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85 (75</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95)</w:t>
            </w:r>
          </w:p>
        </w:tc>
        <w:tc>
          <w:tcPr>
            <w:tcW w:w="500" w:type="pct"/>
            <w:tcMar>
              <w:top w:w="192" w:type="nil"/>
              <w:left w:w="96" w:type="nil"/>
              <w:bottom w:w="96" w:type="nil"/>
              <w:right w:w="192" w:type="nil"/>
            </w:tcMar>
            <w:vAlign w:val="center"/>
          </w:tcPr>
          <w:p w14:paraId="75E3779B" w14:textId="2CCAFEA5" w:rsidR="006D228E" w:rsidRPr="00F30812" w:rsidRDefault="00782117"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&lt;0.01</w:t>
            </w:r>
          </w:p>
        </w:tc>
      </w:tr>
      <w:tr w:rsidR="00C56DAB" w:rsidRPr="00F30812" w14:paraId="2A76B97B" w14:textId="77777777" w:rsidTr="005D1ACD">
        <w:trPr>
          <w:trHeight w:val="400"/>
        </w:trPr>
        <w:tc>
          <w:tcPr>
            <w:tcW w:w="2000" w:type="pct"/>
            <w:tcMar>
              <w:top w:w="192" w:type="nil"/>
              <w:left w:w="96" w:type="nil"/>
              <w:bottom w:w="96" w:type="nil"/>
              <w:right w:w="192" w:type="nil"/>
            </w:tcMar>
            <w:vAlign w:val="center"/>
          </w:tcPr>
          <w:p w14:paraId="1EC93ACE" w14:textId="1444F491" w:rsidR="006D228E" w:rsidRPr="00F30812" w:rsidRDefault="006D228E" w:rsidP="009F6A62">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12 h</w:t>
            </w:r>
          </w:p>
        </w:tc>
        <w:tc>
          <w:tcPr>
            <w:tcW w:w="1250" w:type="pct"/>
            <w:tcMar>
              <w:top w:w="192" w:type="nil"/>
              <w:left w:w="96" w:type="nil"/>
              <w:bottom w:w="96" w:type="nil"/>
              <w:right w:w="192" w:type="nil"/>
            </w:tcMar>
            <w:vAlign w:val="center"/>
          </w:tcPr>
          <w:p w14:paraId="28E1B912" w14:textId="49163119"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92 (80</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101)</w:t>
            </w:r>
          </w:p>
        </w:tc>
        <w:tc>
          <w:tcPr>
            <w:tcW w:w="1250" w:type="pct"/>
            <w:tcMar>
              <w:top w:w="192" w:type="nil"/>
              <w:left w:w="96" w:type="nil"/>
              <w:bottom w:w="96" w:type="nil"/>
              <w:right w:w="192" w:type="nil"/>
            </w:tcMar>
            <w:vAlign w:val="center"/>
          </w:tcPr>
          <w:p w14:paraId="76859EE8" w14:textId="73665AAE"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86 (80</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96)</w:t>
            </w:r>
          </w:p>
        </w:tc>
        <w:tc>
          <w:tcPr>
            <w:tcW w:w="500" w:type="pct"/>
            <w:tcMar>
              <w:top w:w="192" w:type="nil"/>
              <w:left w:w="96" w:type="nil"/>
              <w:bottom w:w="96" w:type="nil"/>
              <w:right w:w="192" w:type="nil"/>
            </w:tcMar>
            <w:vAlign w:val="center"/>
          </w:tcPr>
          <w:p w14:paraId="7F2E3366" w14:textId="0297BFC9"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w:t>
            </w:r>
            <w:r w:rsidR="00782117" w:rsidRPr="00F30812">
              <w:rPr>
                <w:rFonts w:ascii="Times New Roman" w:hAnsi="Times New Roman" w:cs="Times New Roman"/>
                <w:color w:val="FF0000"/>
                <w:kern w:val="0"/>
                <w:sz w:val="16"/>
                <w:szCs w:val="16"/>
              </w:rPr>
              <w:t>07</w:t>
            </w:r>
          </w:p>
        </w:tc>
      </w:tr>
      <w:tr w:rsidR="00C56DAB" w:rsidRPr="00F30812" w14:paraId="4A589DEB" w14:textId="77777777" w:rsidTr="005D1ACD">
        <w:trPr>
          <w:trHeight w:val="400"/>
        </w:trPr>
        <w:tc>
          <w:tcPr>
            <w:tcW w:w="2000" w:type="pct"/>
            <w:tcMar>
              <w:top w:w="192" w:type="nil"/>
              <w:left w:w="96" w:type="nil"/>
              <w:bottom w:w="96" w:type="nil"/>
              <w:right w:w="192" w:type="nil"/>
            </w:tcMar>
            <w:vAlign w:val="center"/>
          </w:tcPr>
          <w:p w14:paraId="27B66D0A" w14:textId="346715D3"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24 h</w:t>
            </w:r>
          </w:p>
        </w:tc>
        <w:tc>
          <w:tcPr>
            <w:tcW w:w="1250" w:type="pct"/>
            <w:tcMar>
              <w:top w:w="192" w:type="nil"/>
              <w:left w:w="96" w:type="nil"/>
              <w:bottom w:w="96" w:type="nil"/>
              <w:right w:w="192" w:type="nil"/>
            </w:tcMar>
            <w:vAlign w:val="center"/>
          </w:tcPr>
          <w:p w14:paraId="1C81EBCE" w14:textId="38B1B3CE"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93 (82</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101)</w:t>
            </w:r>
          </w:p>
        </w:tc>
        <w:tc>
          <w:tcPr>
            <w:tcW w:w="1250" w:type="pct"/>
            <w:tcMar>
              <w:top w:w="192" w:type="nil"/>
              <w:left w:w="96" w:type="nil"/>
              <w:bottom w:w="96" w:type="nil"/>
              <w:right w:w="192" w:type="nil"/>
            </w:tcMar>
            <w:vAlign w:val="center"/>
          </w:tcPr>
          <w:p w14:paraId="3F400924" w14:textId="144BC393"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82 (77</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96)</w:t>
            </w:r>
          </w:p>
        </w:tc>
        <w:tc>
          <w:tcPr>
            <w:tcW w:w="500" w:type="pct"/>
            <w:tcMar>
              <w:top w:w="192" w:type="nil"/>
              <w:left w:w="96" w:type="nil"/>
              <w:bottom w:w="96" w:type="nil"/>
              <w:right w:w="192" w:type="nil"/>
            </w:tcMar>
            <w:vAlign w:val="center"/>
          </w:tcPr>
          <w:p w14:paraId="16AB729D" w14:textId="12A52C35" w:rsidR="006D228E" w:rsidRPr="00F30812" w:rsidRDefault="00782117"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&lt;0.01</w:t>
            </w:r>
          </w:p>
        </w:tc>
      </w:tr>
      <w:tr w:rsidR="00C56DAB" w:rsidRPr="00F30812" w14:paraId="7B1F7683" w14:textId="77777777" w:rsidTr="005D1ACD">
        <w:trPr>
          <w:trHeight w:val="400"/>
        </w:trPr>
        <w:tc>
          <w:tcPr>
            <w:tcW w:w="2000" w:type="pct"/>
            <w:tcMar>
              <w:top w:w="192" w:type="nil"/>
              <w:left w:w="96" w:type="nil"/>
              <w:bottom w:w="96" w:type="nil"/>
              <w:right w:w="192" w:type="nil"/>
            </w:tcMar>
            <w:vAlign w:val="center"/>
          </w:tcPr>
          <w:p w14:paraId="44AF12A4" w14:textId="2BD162CC" w:rsidR="006D228E" w:rsidRPr="00F30812" w:rsidRDefault="006D228E" w:rsidP="009F6A62">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MAP – admission (mmHg, IQR)</w:t>
            </w:r>
          </w:p>
        </w:tc>
        <w:tc>
          <w:tcPr>
            <w:tcW w:w="1250" w:type="pct"/>
            <w:tcMar>
              <w:top w:w="192" w:type="nil"/>
              <w:left w:w="96" w:type="nil"/>
              <w:bottom w:w="96" w:type="nil"/>
              <w:right w:w="192" w:type="nil"/>
            </w:tcMar>
            <w:vAlign w:val="center"/>
          </w:tcPr>
          <w:p w14:paraId="0B6B085B" w14:textId="399A9ACC"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64 (59</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70)</w:t>
            </w:r>
          </w:p>
        </w:tc>
        <w:tc>
          <w:tcPr>
            <w:tcW w:w="1250" w:type="pct"/>
            <w:tcMar>
              <w:top w:w="192" w:type="nil"/>
              <w:left w:w="96" w:type="nil"/>
              <w:bottom w:w="96" w:type="nil"/>
              <w:right w:w="192" w:type="nil"/>
            </w:tcMar>
            <w:vAlign w:val="center"/>
          </w:tcPr>
          <w:p w14:paraId="242C3851" w14:textId="7B314704"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63 (58</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71)</w:t>
            </w:r>
          </w:p>
        </w:tc>
        <w:tc>
          <w:tcPr>
            <w:tcW w:w="500" w:type="pct"/>
            <w:tcMar>
              <w:top w:w="192" w:type="nil"/>
              <w:left w:w="96" w:type="nil"/>
              <w:bottom w:w="96" w:type="nil"/>
              <w:right w:w="192" w:type="nil"/>
            </w:tcMar>
            <w:vAlign w:val="center"/>
          </w:tcPr>
          <w:p w14:paraId="4F794A2D" w14:textId="659DAAD8"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0.8</w:t>
            </w:r>
            <w:r w:rsidR="00782117" w:rsidRPr="00F30812">
              <w:rPr>
                <w:rFonts w:ascii="Times New Roman" w:hAnsi="Times New Roman" w:cs="Times New Roman"/>
                <w:color w:val="FF0000"/>
                <w:kern w:val="0"/>
                <w:sz w:val="16"/>
                <w:szCs w:val="16"/>
              </w:rPr>
              <w:t>2</w:t>
            </w:r>
          </w:p>
        </w:tc>
      </w:tr>
      <w:tr w:rsidR="00C56DAB" w:rsidRPr="00F30812" w14:paraId="5D4CA171" w14:textId="77777777" w:rsidTr="005D1ACD">
        <w:trPr>
          <w:trHeight w:val="400"/>
        </w:trPr>
        <w:tc>
          <w:tcPr>
            <w:tcW w:w="2000" w:type="pct"/>
            <w:tcMar>
              <w:top w:w="192" w:type="nil"/>
              <w:left w:w="96" w:type="nil"/>
              <w:bottom w:w="96" w:type="nil"/>
              <w:right w:w="192" w:type="nil"/>
            </w:tcMar>
            <w:vAlign w:val="center"/>
          </w:tcPr>
          <w:p w14:paraId="01127B73" w14:textId="71BD0D80"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12 h</w:t>
            </w:r>
          </w:p>
        </w:tc>
        <w:tc>
          <w:tcPr>
            <w:tcW w:w="1250" w:type="pct"/>
            <w:tcMar>
              <w:top w:w="192" w:type="nil"/>
              <w:left w:w="96" w:type="nil"/>
              <w:bottom w:w="96" w:type="nil"/>
              <w:right w:w="192" w:type="nil"/>
            </w:tcMar>
            <w:vAlign w:val="center"/>
          </w:tcPr>
          <w:p w14:paraId="3D16A7FF" w14:textId="2C7E6C86"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68 (62</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77)</w:t>
            </w:r>
          </w:p>
        </w:tc>
        <w:tc>
          <w:tcPr>
            <w:tcW w:w="1250" w:type="pct"/>
            <w:tcMar>
              <w:top w:w="192" w:type="nil"/>
              <w:left w:w="96" w:type="nil"/>
              <w:bottom w:w="96" w:type="nil"/>
              <w:right w:w="192" w:type="nil"/>
            </w:tcMar>
            <w:vAlign w:val="center"/>
          </w:tcPr>
          <w:p w14:paraId="2937A47A" w14:textId="09162521"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66 (60</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70)</w:t>
            </w:r>
          </w:p>
        </w:tc>
        <w:tc>
          <w:tcPr>
            <w:tcW w:w="500" w:type="pct"/>
            <w:tcMar>
              <w:top w:w="192" w:type="nil"/>
              <w:left w:w="96" w:type="nil"/>
              <w:bottom w:w="96" w:type="nil"/>
              <w:right w:w="192" w:type="nil"/>
            </w:tcMar>
            <w:vAlign w:val="center"/>
          </w:tcPr>
          <w:p w14:paraId="56AD9C28" w14:textId="6CB01D26"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w:t>
            </w:r>
            <w:r w:rsidR="00782117" w:rsidRPr="00F30812">
              <w:rPr>
                <w:rFonts w:ascii="Times New Roman" w:hAnsi="Times New Roman" w:cs="Times New Roman"/>
                <w:color w:val="FF0000"/>
                <w:kern w:val="0"/>
                <w:sz w:val="16"/>
                <w:szCs w:val="16"/>
              </w:rPr>
              <w:t>16</w:t>
            </w:r>
          </w:p>
        </w:tc>
      </w:tr>
      <w:tr w:rsidR="00C56DAB" w:rsidRPr="00F30812" w14:paraId="40F7ACBA" w14:textId="77777777" w:rsidTr="005D1ACD">
        <w:trPr>
          <w:trHeight w:val="400"/>
        </w:trPr>
        <w:tc>
          <w:tcPr>
            <w:tcW w:w="2000" w:type="pct"/>
            <w:tcMar>
              <w:top w:w="192" w:type="nil"/>
              <w:left w:w="96" w:type="nil"/>
              <w:bottom w:w="96" w:type="nil"/>
              <w:right w:w="192" w:type="nil"/>
            </w:tcMar>
            <w:vAlign w:val="center"/>
          </w:tcPr>
          <w:p w14:paraId="5FDA5001" w14:textId="7CBBDD22"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24 h</w:t>
            </w:r>
          </w:p>
        </w:tc>
        <w:tc>
          <w:tcPr>
            <w:tcW w:w="1250" w:type="pct"/>
            <w:tcMar>
              <w:top w:w="192" w:type="nil"/>
              <w:left w:w="96" w:type="nil"/>
              <w:bottom w:w="96" w:type="nil"/>
              <w:right w:w="192" w:type="nil"/>
            </w:tcMar>
            <w:vAlign w:val="center"/>
          </w:tcPr>
          <w:p w14:paraId="553C1C0A" w14:textId="319B0B4D"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67 (61</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74)</w:t>
            </w:r>
          </w:p>
        </w:tc>
        <w:tc>
          <w:tcPr>
            <w:tcW w:w="1250" w:type="pct"/>
            <w:tcMar>
              <w:top w:w="192" w:type="nil"/>
              <w:left w:w="96" w:type="nil"/>
              <w:bottom w:w="96" w:type="nil"/>
              <w:right w:w="192" w:type="nil"/>
            </w:tcMar>
            <w:vAlign w:val="center"/>
          </w:tcPr>
          <w:p w14:paraId="7E0C9820" w14:textId="240D582D"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65 (57</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72)</w:t>
            </w:r>
          </w:p>
        </w:tc>
        <w:tc>
          <w:tcPr>
            <w:tcW w:w="500" w:type="pct"/>
            <w:tcMar>
              <w:top w:w="192" w:type="nil"/>
              <w:left w:w="96" w:type="nil"/>
              <w:bottom w:w="96" w:type="nil"/>
              <w:right w:w="192" w:type="nil"/>
            </w:tcMar>
            <w:vAlign w:val="center"/>
          </w:tcPr>
          <w:p w14:paraId="4435046D" w14:textId="3B5B1E3C"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w:t>
            </w:r>
            <w:r w:rsidR="00782117" w:rsidRPr="00F30812">
              <w:rPr>
                <w:rFonts w:ascii="Times New Roman" w:hAnsi="Times New Roman" w:cs="Times New Roman"/>
                <w:color w:val="FF0000"/>
                <w:kern w:val="0"/>
                <w:sz w:val="16"/>
                <w:szCs w:val="16"/>
              </w:rPr>
              <w:t>06</w:t>
            </w:r>
          </w:p>
        </w:tc>
      </w:tr>
      <w:tr w:rsidR="00C56DAB" w:rsidRPr="00F30812" w14:paraId="649355FB" w14:textId="77777777" w:rsidTr="005D1ACD">
        <w:trPr>
          <w:trHeight w:val="400"/>
        </w:trPr>
        <w:tc>
          <w:tcPr>
            <w:tcW w:w="2000" w:type="pct"/>
            <w:tcMar>
              <w:top w:w="192" w:type="nil"/>
              <w:left w:w="96" w:type="nil"/>
              <w:bottom w:w="96" w:type="nil"/>
              <w:right w:w="192" w:type="nil"/>
            </w:tcMar>
            <w:vAlign w:val="center"/>
          </w:tcPr>
          <w:p w14:paraId="78AA4152" w14:textId="08C904B0" w:rsidR="006D228E" w:rsidRPr="00F30812" w:rsidRDefault="006D228E" w:rsidP="009F6A62">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CVP – admission (mmHg, IQR)</w:t>
            </w:r>
          </w:p>
        </w:tc>
        <w:tc>
          <w:tcPr>
            <w:tcW w:w="1250" w:type="pct"/>
            <w:tcMar>
              <w:top w:w="192" w:type="nil"/>
              <w:left w:w="96" w:type="nil"/>
              <w:bottom w:w="96" w:type="nil"/>
              <w:right w:w="192" w:type="nil"/>
            </w:tcMar>
            <w:vAlign w:val="center"/>
          </w:tcPr>
          <w:p w14:paraId="3698DA41" w14:textId="2EFC699A"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14 (13</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16)</w:t>
            </w:r>
          </w:p>
        </w:tc>
        <w:tc>
          <w:tcPr>
            <w:tcW w:w="1250" w:type="pct"/>
            <w:tcMar>
              <w:top w:w="192" w:type="nil"/>
              <w:left w:w="96" w:type="nil"/>
              <w:bottom w:w="96" w:type="nil"/>
              <w:right w:w="192" w:type="nil"/>
            </w:tcMar>
            <w:vAlign w:val="center"/>
          </w:tcPr>
          <w:p w14:paraId="20F9C602" w14:textId="246BF5B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14 (13</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16)</w:t>
            </w:r>
          </w:p>
        </w:tc>
        <w:tc>
          <w:tcPr>
            <w:tcW w:w="500" w:type="pct"/>
            <w:tcMar>
              <w:top w:w="192" w:type="nil"/>
              <w:left w:w="96" w:type="nil"/>
              <w:bottom w:w="96" w:type="nil"/>
              <w:right w:w="192" w:type="nil"/>
            </w:tcMar>
            <w:vAlign w:val="center"/>
          </w:tcPr>
          <w:p w14:paraId="292DFEC3" w14:textId="31A3BF23"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w:t>
            </w:r>
            <w:r w:rsidR="00782117" w:rsidRPr="00F30812">
              <w:rPr>
                <w:rFonts w:ascii="Times New Roman" w:hAnsi="Times New Roman" w:cs="Times New Roman"/>
                <w:color w:val="FF0000"/>
                <w:kern w:val="0"/>
                <w:sz w:val="16"/>
                <w:szCs w:val="16"/>
              </w:rPr>
              <w:t>81</w:t>
            </w:r>
          </w:p>
        </w:tc>
      </w:tr>
      <w:tr w:rsidR="00C56DAB" w:rsidRPr="00F30812" w14:paraId="74C76D75" w14:textId="77777777" w:rsidTr="005D1ACD">
        <w:trPr>
          <w:trHeight w:val="400"/>
        </w:trPr>
        <w:tc>
          <w:tcPr>
            <w:tcW w:w="2000" w:type="pct"/>
            <w:tcMar>
              <w:top w:w="192" w:type="nil"/>
              <w:left w:w="96" w:type="nil"/>
              <w:bottom w:w="96" w:type="nil"/>
              <w:right w:w="192" w:type="nil"/>
            </w:tcMar>
            <w:vAlign w:val="center"/>
          </w:tcPr>
          <w:p w14:paraId="0356618B" w14:textId="4E1F6872"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12 h</w:t>
            </w:r>
          </w:p>
        </w:tc>
        <w:tc>
          <w:tcPr>
            <w:tcW w:w="1250" w:type="pct"/>
            <w:tcMar>
              <w:top w:w="192" w:type="nil"/>
              <w:left w:w="96" w:type="nil"/>
              <w:bottom w:w="96" w:type="nil"/>
              <w:right w:w="192" w:type="nil"/>
            </w:tcMar>
            <w:vAlign w:val="center"/>
          </w:tcPr>
          <w:p w14:paraId="23E8BF6E" w14:textId="5CBE2CDE"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12 (10</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13)</w:t>
            </w:r>
          </w:p>
        </w:tc>
        <w:tc>
          <w:tcPr>
            <w:tcW w:w="1250" w:type="pct"/>
            <w:tcMar>
              <w:top w:w="192" w:type="nil"/>
              <w:left w:w="96" w:type="nil"/>
              <w:bottom w:w="96" w:type="nil"/>
              <w:right w:w="192" w:type="nil"/>
            </w:tcMar>
            <w:vAlign w:val="center"/>
          </w:tcPr>
          <w:p w14:paraId="33049FB3" w14:textId="06CC341E"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14 (12</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16)</w:t>
            </w:r>
          </w:p>
        </w:tc>
        <w:tc>
          <w:tcPr>
            <w:tcW w:w="500" w:type="pct"/>
            <w:tcMar>
              <w:top w:w="192" w:type="nil"/>
              <w:left w:w="96" w:type="nil"/>
              <w:bottom w:w="96" w:type="nil"/>
              <w:right w:w="192" w:type="nil"/>
            </w:tcMar>
            <w:vAlign w:val="center"/>
          </w:tcPr>
          <w:p w14:paraId="536F6D78" w14:textId="71E8654C" w:rsidR="00782117" w:rsidRPr="00F30812" w:rsidRDefault="00782117" w:rsidP="00782117">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0.04</w:t>
            </w:r>
          </w:p>
        </w:tc>
      </w:tr>
      <w:tr w:rsidR="00C56DAB" w:rsidRPr="00F30812" w14:paraId="03A3A044" w14:textId="77777777" w:rsidTr="005D1ACD">
        <w:trPr>
          <w:trHeight w:val="400"/>
        </w:trPr>
        <w:tc>
          <w:tcPr>
            <w:tcW w:w="2000" w:type="pct"/>
            <w:tcMar>
              <w:top w:w="192" w:type="nil"/>
              <w:left w:w="96" w:type="nil"/>
              <w:bottom w:w="96" w:type="nil"/>
              <w:right w:w="192" w:type="nil"/>
            </w:tcMar>
            <w:vAlign w:val="center"/>
          </w:tcPr>
          <w:p w14:paraId="21BF0BAE" w14:textId="25F6CA70"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24 h</w:t>
            </w:r>
          </w:p>
        </w:tc>
        <w:tc>
          <w:tcPr>
            <w:tcW w:w="1250" w:type="pct"/>
            <w:tcMar>
              <w:top w:w="192" w:type="nil"/>
              <w:left w:w="96" w:type="nil"/>
              <w:bottom w:w="96" w:type="nil"/>
              <w:right w:w="192" w:type="nil"/>
            </w:tcMar>
            <w:vAlign w:val="center"/>
          </w:tcPr>
          <w:p w14:paraId="392FD486" w14:textId="62F812DA"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12 (10</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14)</w:t>
            </w:r>
          </w:p>
        </w:tc>
        <w:tc>
          <w:tcPr>
            <w:tcW w:w="1250" w:type="pct"/>
            <w:tcMar>
              <w:top w:w="192" w:type="nil"/>
              <w:left w:w="96" w:type="nil"/>
              <w:bottom w:w="96" w:type="nil"/>
              <w:right w:w="192" w:type="nil"/>
            </w:tcMar>
            <w:vAlign w:val="center"/>
          </w:tcPr>
          <w:p w14:paraId="7AF8E900" w14:textId="61F818A0"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14 (12</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17)</w:t>
            </w:r>
          </w:p>
        </w:tc>
        <w:tc>
          <w:tcPr>
            <w:tcW w:w="500" w:type="pct"/>
            <w:tcMar>
              <w:top w:w="192" w:type="nil"/>
              <w:left w:w="96" w:type="nil"/>
              <w:bottom w:w="96" w:type="nil"/>
              <w:right w:w="192" w:type="nil"/>
            </w:tcMar>
            <w:vAlign w:val="center"/>
          </w:tcPr>
          <w:p w14:paraId="3A0F9A6A" w14:textId="7B830EAA"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w:t>
            </w:r>
            <w:r w:rsidR="00782117" w:rsidRPr="00F30812">
              <w:rPr>
                <w:rFonts w:ascii="Times New Roman" w:hAnsi="Times New Roman" w:cs="Times New Roman"/>
                <w:color w:val="FF0000"/>
                <w:kern w:val="0"/>
                <w:sz w:val="16"/>
                <w:szCs w:val="16"/>
              </w:rPr>
              <w:t>19</w:t>
            </w:r>
          </w:p>
        </w:tc>
      </w:tr>
      <w:tr w:rsidR="00C56DAB" w:rsidRPr="00F30812" w14:paraId="5E5296FD" w14:textId="77777777" w:rsidTr="005D1ACD">
        <w:trPr>
          <w:trHeight w:val="400"/>
        </w:trPr>
        <w:tc>
          <w:tcPr>
            <w:tcW w:w="2000" w:type="pct"/>
            <w:tcMar>
              <w:top w:w="192" w:type="nil"/>
              <w:left w:w="96" w:type="nil"/>
              <w:bottom w:w="96" w:type="nil"/>
              <w:right w:w="192" w:type="nil"/>
            </w:tcMar>
            <w:vAlign w:val="center"/>
          </w:tcPr>
          <w:p w14:paraId="3747F651" w14:textId="565C1E01" w:rsidR="006D228E" w:rsidRPr="00F30812" w:rsidRDefault="006D228E" w:rsidP="009F6A62">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Lactate - admission (mmol/L, IQR)</w:t>
            </w:r>
          </w:p>
        </w:tc>
        <w:tc>
          <w:tcPr>
            <w:tcW w:w="1250" w:type="pct"/>
            <w:tcMar>
              <w:top w:w="192" w:type="nil"/>
              <w:left w:w="96" w:type="nil"/>
              <w:bottom w:w="96" w:type="nil"/>
              <w:right w:w="192" w:type="nil"/>
            </w:tcMar>
            <w:vAlign w:val="center"/>
          </w:tcPr>
          <w:p w14:paraId="5EC1624E" w14:textId="05D58D64"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2.36 (1.73</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3.06)</w:t>
            </w:r>
          </w:p>
        </w:tc>
        <w:tc>
          <w:tcPr>
            <w:tcW w:w="1250" w:type="pct"/>
            <w:tcMar>
              <w:top w:w="192" w:type="nil"/>
              <w:left w:w="96" w:type="nil"/>
              <w:bottom w:w="96" w:type="nil"/>
              <w:right w:w="192" w:type="nil"/>
            </w:tcMar>
            <w:vAlign w:val="center"/>
          </w:tcPr>
          <w:p w14:paraId="3BE54538" w14:textId="6C9DF1F1"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3.20 (2.42</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4.36)</w:t>
            </w:r>
          </w:p>
        </w:tc>
        <w:tc>
          <w:tcPr>
            <w:tcW w:w="500" w:type="pct"/>
            <w:tcMar>
              <w:top w:w="192" w:type="nil"/>
              <w:left w:w="96" w:type="nil"/>
              <w:bottom w:w="96" w:type="nil"/>
              <w:right w:w="192" w:type="nil"/>
            </w:tcMar>
            <w:vAlign w:val="center"/>
          </w:tcPr>
          <w:p w14:paraId="659D4AFC" w14:textId="6DD68BE9" w:rsidR="006D228E" w:rsidRPr="00F30812" w:rsidRDefault="00782117"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0.04</w:t>
            </w:r>
          </w:p>
        </w:tc>
      </w:tr>
      <w:tr w:rsidR="00C56DAB" w:rsidRPr="00F30812" w14:paraId="1369CB0F" w14:textId="77777777" w:rsidTr="005D1ACD">
        <w:trPr>
          <w:trHeight w:val="400"/>
        </w:trPr>
        <w:tc>
          <w:tcPr>
            <w:tcW w:w="2000" w:type="pct"/>
            <w:tcMar>
              <w:top w:w="192" w:type="nil"/>
              <w:left w:w="96" w:type="nil"/>
              <w:bottom w:w="96" w:type="nil"/>
              <w:right w:w="192" w:type="nil"/>
            </w:tcMar>
            <w:vAlign w:val="center"/>
          </w:tcPr>
          <w:p w14:paraId="217741E7" w14:textId="07C0E92E"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12 h</w:t>
            </w:r>
          </w:p>
        </w:tc>
        <w:tc>
          <w:tcPr>
            <w:tcW w:w="1250" w:type="pct"/>
            <w:tcMar>
              <w:top w:w="192" w:type="nil"/>
              <w:left w:w="96" w:type="nil"/>
              <w:bottom w:w="96" w:type="nil"/>
              <w:right w:w="192" w:type="nil"/>
            </w:tcMar>
            <w:vAlign w:val="center"/>
          </w:tcPr>
          <w:p w14:paraId="7727F429" w14:textId="0257A8BC"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1.35 (1.13</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1.59)</w:t>
            </w:r>
          </w:p>
        </w:tc>
        <w:tc>
          <w:tcPr>
            <w:tcW w:w="1250" w:type="pct"/>
            <w:tcMar>
              <w:top w:w="192" w:type="nil"/>
              <w:left w:w="96" w:type="nil"/>
              <w:bottom w:w="96" w:type="nil"/>
              <w:right w:w="192" w:type="nil"/>
            </w:tcMar>
            <w:vAlign w:val="center"/>
          </w:tcPr>
          <w:p w14:paraId="52CEC068" w14:textId="77F0E346"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1.68 (1.21</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2.05)</w:t>
            </w:r>
          </w:p>
        </w:tc>
        <w:tc>
          <w:tcPr>
            <w:tcW w:w="500" w:type="pct"/>
            <w:tcMar>
              <w:top w:w="192" w:type="nil"/>
              <w:left w:w="96" w:type="nil"/>
              <w:bottom w:w="96" w:type="nil"/>
              <w:right w:w="192" w:type="nil"/>
            </w:tcMar>
            <w:vAlign w:val="center"/>
          </w:tcPr>
          <w:p w14:paraId="60B824D4" w14:textId="5AC26919"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w:t>
            </w:r>
            <w:r w:rsidR="00782117" w:rsidRPr="00F30812">
              <w:rPr>
                <w:rFonts w:ascii="Times New Roman" w:hAnsi="Times New Roman" w:cs="Times New Roman"/>
                <w:color w:val="FF0000"/>
                <w:kern w:val="0"/>
                <w:sz w:val="16"/>
                <w:szCs w:val="16"/>
              </w:rPr>
              <w:t>27</w:t>
            </w:r>
          </w:p>
        </w:tc>
      </w:tr>
      <w:tr w:rsidR="00C56DAB" w:rsidRPr="00F30812" w14:paraId="7A72A866" w14:textId="77777777" w:rsidTr="005D1ACD">
        <w:trPr>
          <w:trHeight w:val="400"/>
        </w:trPr>
        <w:tc>
          <w:tcPr>
            <w:tcW w:w="2000" w:type="pct"/>
            <w:tcMar>
              <w:top w:w="192" w:type="nil"/>
              <w:left w:w="96" w:type="nil"/>
              <w:bottom w:w="96" w:type="nil"/>
              <w:right w:w="192" w:type="nil"/>
            </w:tcMar>
            <w:vAlign w:val="center"/>
          </w:tcPr>
          <w:p w14:paraId="5C9FC375" w14:textId="0EBE4FEC"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24 h</w:t>
            </w:r>
          </w:p>
        </w:tc>
        <w:tc>
          <w:tcPr>
            <w:tcW w:w="1250" w:type="pct"/>
            <w:tcMar>
              <w:top w:w="192" w:type="nil"/>
              <w:left w:w="96" w:type="nil"/>
              <w:bottom w:w="96" w:type="nil"/>
              <w:right w:w="192" w:type="nil"/>
            </w:tcMar>
            <w:vAlign w:val="center"/>
          </w:tcPr>
          <w:p w14:paraId="781A4481" w14:textId="6F4BF05C"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1.36 (1.13</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1.66)</w:t>
            </w:r>
          </w:p>
        </w:tc>
        <w:tc>
          <w:tcPr>
            <w:tcW w:w="1250" w:type="pct"/>
            <w:tcMar>
              <w:top w:w="192" w:type="nil"/>
              <w:left w:w="96" w:type="nil"/>
              <w:bottom w:w="96" w:type="nil"/>
              <w:right w:w="192" w:type="nil"/>
            </w:tcMar>
            <w:vAlign w:val="center"/>
          </w:tcPr>
          <w:p w14:paraId="22C30360" w14:textId="4F50FAF9"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1.43 (1.17</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1.92)</w:t>
            </w:r>
          </w:p>
        </w:tc>
        <w:tc>
          <w:tcPr>
            <w:tcW w:w="500" w:type="pct"/>
            <w:tcMar>
              <w:top w:w="192" w:type="nil"/>
              <w:left w:w="96" w:type="nil"/>
              <w:bottom w:w="96" w:type="nil"/>
              <w:right w:w="192" w:type="nil"/>
            </w:tcMar>
            <w:vAlign w:val="center"/>
          </w:tcPr>
          <w:p w14:paraId="2E652CC1" w14:textId="6F46BCDF"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w:t>
            </w:r>
            <w:r w:rsidR="00782117" w:rsidRPr="00F30812">
              <w:rPr>
                <w:rFonts w:ascii="Times New Roman" w:hAnsi="Times New Roman" w:cs="Times New Roman"/>
                <w:color w:val="FF0000"/>
                <w:kern w:val="0"/>
                <w:sz w:val="16"/>
                <w:szCs w:val="16"/>
              </w:rPr>
              <w:t>78</w:t>
            </w:r>
          </w:p>
        </w:tc>
      </w:tr>
      <w:tr w:rsidR="00C56DAB" w:rsidRPr="00F30812" w14:paraId="5AF5E500" w14:textId="77777777" w:rsidTr="005D1ACD">
        <w:trPr>
          <w:trHeight w:val="400"/>
        </w:trPr>
        <w:tc>
          <w:tcPr>
            <w:tcW w:w="2000" w:type="pct"/>
            <w:tcMar>
              <w:top w:w="192" w:type="nil"/>
              <w:left w:w="96" w:type="nil"/>
              <w:bottom w:w="96" w:type="nil"/>
              <w:right w:w="192" w:type="nil"/>
            </w:tcMar>
            <w:vAlign w:val="center"/>
          </w:tcPr>
          <w:p w14:paraId="1BB34B6A" w14:textId="64EB3B3C" w:rsidR="006D228E" w:rsidRPr="00F30812" w:rsidRDefault="006D228E" w:rsidP="009F6A62">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 xml:space="preserve">SaO2 </w:t>
            </w:r>
            <w:r w:rsidR="00072ABD"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 xml:space="preserve"> admission</w:t>
            </w:r>
            <w:r w:rsidR="00072ABD" w:rsidRPr="00F30812">
              <w:rPr>
                <w:rFonts w:ascii="Times New Roman" w:hAnsi="Times New Roman" w:cs="Times New Roman"/>
                <w:color w:val="000000" w:themeColor="text1"/>
                <w:kern w:val="0"/>
                <w:sz w:val="16"/>
                <w:szCs w:val="16"/>
              </w:rPr>
              <w:t xml:space="preserve"> (</w:t>
            </w:r>
            <w:r w:rsidR="00A24AF6" w:rsidRPr="00F30812">
              <w:rPr>
                <w:rFonts w:ascii="Times New Roman" w:hAnsi="Times New Roman" w:cs="Times New Roman"/>
                <w:color w:val="000000" w:themeColor="text1"/>
                <w:kern w:val="0"/>
                <w:sz w:val="16"/>
                <w:szCs w:val="16"/>
              </w:rPr>
              <w:t>%</w:t>
            </w:r>
            <w:r w:rsidR="00072ABD" w:rsidRPr="00F30812">
              <w:rPr>
                <w:rFonts w:ascii="Times New Roman" w:hAnsi="Times New Roman" w:cs="Times New Roman"/>
                <w:color w:val="000000" w:themeColor="text1"/>
                <w:kern w:val="0"/>
                <w:sz w:val="16"/>
                <w:szCs w:val="16"/>
              </w:rPr>
              <w:t>, IQR)</w:t>
            </w:r>
          </w:p>
        </w:tc>
        <w:tc>
          <w:tcPr>
            <w:tcW w:w="1250" w:type="pct"/>
            <w:tcMar>
              <w:top w:w="192" w:type="nil"/>
              <w:left w:w="96" w:type="nil"/>
              <w:bottom w:w="96" w:type="nil"/>
              <w:right w:w="192" w:type="nil"/>
            </w:tcMar>
            <w:vAlign w:val="center"/>
          </w:tcPr>
          <w:p w14:paraId="4860ECD0" w14:textId="70B8FE8B"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98.9 (97.9</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99.3)</w:t>
            </w:r>
          </w:p>
        </w:tc>
        <w:tc>
          <w:tcPr>
            <w:tcW w:w="1250" w:type="pct"/>
            <w:tcMar>
              <w:top w:w="192" w:type="nil"/>
              <w:left w:w="96" w:type="nil"/>
              <w:bottom w:w="96" w:type="nil"/>
              <w:right w:w="192" w:type="nil"/>
            </w:tcMar>
            <w:vAlign w:val="center"/>
          </w:tcPr>
          <w:p w14:paraId="4969B018" w14:textId="0409FD68"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98.3 (95.7</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99.3)</w:t>
            </w:r>
          </w:p>
        </w:tc>
        <w:tc>
          <w:tcPr>
            <w:tcW w:w="500" w:type="pct"/>
            <w:tcMar>
              <w:top w:w="192" w:type="nil"/>
              <w:left w:w="96" w:type="nil"/>
              <w:bottom w:w="96" w:type="nil"/>
              <w:right w:w="192" w:type="nil"/>
            </w:tcMar>
            <w:vAlign w:val="center"/>
          </w:tcPr>
          <w:p w14:paraId="76955BF6" w14:textId="07C89A38"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w:t>
            </w:r>
            <w:r w:rsidR="00782117" w:rsidRPr="00F30812">
              <w:rPr>
                <w:rFonts w:ascii="Times New Roman" w:hAnsi="Times New Roman" w:cs="Times New Roman"/>
                <w:color w:val="FF0000"/>
                <w:kern w:val="0"/>
                <w:sz w:val="16"/>
                <w:szCs w:val="16"/>
              </w:rPr>
              <w:t>12</w:t>
            </w:r>
          </w:p>
        </w:tc>
      </w:tr>
      <w:tr w:rsidR="00C56DAB" w:rsidRPr="00F30812" w14:paraId="06E8795C" w14:textId="77777777" w:rsidTr="005D1ACD">
        <w:trPr>
          <w:trHeight w:val="400"/>
        </w:trPr>
        <w:tc>
          <w:tcPr>
            <w:tcW w:w="2000" w:type="pct"/>
            <w:tcMar>
              <w:top w:w="192" w:type="nil"/>
              <w:left w:w="96" w:type="nil"/>
              <w:bottom w:w="96" w:type="nil"/>
              <w:right w:w="192" w:type="nil"/>
            </w:tcMar>
            <w:vAlign w:val="center"/>
          </w:tcPr>
          <w:p w14:paraId="265F1BED" w14:textId="360CCBC7"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12 h</w:t>
            </w:r>
          </w:p>
        </w:tc>
        <w:tc>
          <w:tcPr>
            <w:tcW w:w="1250" w:type="pct"/>
            <w:tcMar>
              <w:top w:w="192" w:type="nil"/>
              <w:left w:w="96" w:type="nil"/>
              <w:bottom w:w="96" w:type="nil"/>
              <w:right w:w="192" w:type="nil"/>
            </w:tcMar>
            <w:vAlign w:val="center"/>
          </w:tcPr>
          <w:p w14:paraId="29BF0E4B" w14:textId="0E4B2945"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98.1 (96.3</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98.8)</w:t>
            </w:r>
          </w:p>
        </w:tc>
        <w:tc>
          <w:tcPr>
            <w:tcW w:w="1250" w:type="pct"/>
            <w:tcMar>
              <w:top w:w="192" w:type="nil"/>
              <w:left w:w="96" w:type="nil"/>
              <w:bottom w:w="96" w:type="nil"/>
              <w:right w:w="192" w:type="nil"/>
            </w:tcMar>
            <w:vAlign w:val="center"/>
          </w:tcPr>
          <w:p w14:paraId="219419C1" w14:textId="747AEF2A"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97.5 (93.3</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97.9)</w:t>
            </w:r>
          </w:p>
        </w:tc>
        <w:tc>
          <w:tcPr>
            <w:tcW w:w="500" w:type="pct"/>
            <w:tcMar>
              <w:top w:w="192" w:type="nil"/>
              <w:left w:w="96" w:type="nil"/>
              <w:bottom w:w="96" w:type="nil"/>
              <w:right w:w="192" w:type="nil"/>
            </w:tcMar>
            <w:vAlign w:val="center"/>
          </w:tcPr>
          <w:p w14:paraId="49ACD808" w14:textId="35D11CB4"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0.0</w:t>
            </w:r>
            <w:r w:rsidR="00782117" w:rsidRPr="00F30812">
              <w:rPr>
                <w:rFonts w:ascii="Times New Roman" w:hAnsi="Times New Roman" w:cs="Times New Roman"/>
                <w:color w:val="FF0000"/>
                <w:kern w:val="0"/>
                <w:sz w:val="16"/>
                <w:szCs w:val="16"/>
              </w:rPr>
              <w:t>6</w:t>
            </w:r>
          </w:p>
        </w:tc>
      </w:tr>
      <w:tr w:rsidR="00C56DAB" w:rsidRPr="00F30812" w14:paraId="4035640D" w14:textId="77777777" w:rsidTr="005D1ACD">
        <w:trPr>
          <w:trHeight w:val="400"/>
        </w:trPr>
        <w:tc>
          <w:tcPr>
            <w:tcW w:w="2000" w:type="pct"/>
            <w:tcMar>
              <w:top w:w="192" w:type="nil"/>
              <w:left w:w="96" w:type="nil"/>
              <w:bottom w:w="96" w:type="nil"/>
              <w:right w:w="192" w:type="nil"/>
            </w:tcMar>
            <w:vAlign w:val="center"/>
          </w:tcPr>
          <w:p w14:paraId="1F8478B8" w14:textId="23F2703B"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24 h</w:t>
            </w:r>
          </w:p>
        </w:tc>
        <w:tc>
          <w:tcPr>
            <w:tcW w:w="1250" w:type="pct"/>
            <w:tcMar>
              <w:top w:w="192" w:type="nil"/>
              <w:left w:w="96" w:type="nil"/>
              <w:bottom w:w="96" w:type="nil"/>
              <w:right w:w="192" w:type="nil"/>
            </w:tcMar>
            <w:vAlign w:val="center"/>
          </w:tcPr>
          <w:p w14:paraId="3817EA75" w14:textId="2B3619D1"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97.4 (95.1</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98.7)</w:t>
            </w:r>
          </w:p>
        </w:tc>
        <w:tc>
          <w:tcPr>
            <w:tcW w:w="1250" w:type="pct"/>
            <w:tcMar>
              <w:top w:w="192" w:type="nil"/>
              <w:left w:w="96" w:type="nil"/>
              <w:bottom w:w="96" w:type="nil"/>
              <w:right w:w="192" w:type="nil"/>
            </w:tcMar>
            <w:vAlign w:val="center"/>
          </w:tcPr>
          <w:p w14:paraId="088A6C84" w14:textId="55892EA2"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96.1 (90.9</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98.3)</w:t>
            </w:r>
          </w:p>
        </w:tc>
        <w:tc>
          <w:tcPr>
            <w:tcW w:w="500" w:type="pct"/>
            <w:tcMar>
              <w:top w:w="192" w:type="nil"/>
              <w:left w:w="96" w:type="nil"/>
              <w:bottom w:w="96" w:type="nil"/>
              <w:right w:w="192" w:type="nil"/>
            </w:tcMar>
            <w:vAlign w:val="center"/>
          </w:tcPr>
          <w:p w14:paraId="4171A78B" w14:textId="3246EE5F"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w:t>
            </w:r>
            <w:r w:rsidR="00782117" w:rsidRPr="00F30812">
              <w:rPr>
                <w:rFonts w:ascii="Times New Roman" w:hAnsi="Times New Roman" w:cs="Times New Roman"/>
                <w:color w:val="FF0000"/>
                <w:kern w:val="0"/>
                <w:sz w:val="16"/>
                <w:szCs w:val="16"/>
              </w:rPr>
              <w:t>18</w:t>
            </w:r>
          </w:p>
        </w:tc>
      </w:tr>
      <w:tr w:rsidR="00C56DAB" w:rsidRPr="00F30812" w14:paraId="7BEE313D" w14:textId="77777777" w:rsidTr="005D1ACD">
        <w:trPr>
          <w:trHeight w:val="400"/>
        </w:trPr>
        <w:tc>
          <w:tcPr>
            <w:tcW w:w="2000" w:type="pct"/>
            <w:tcMar>
              <w:top w:w="192" w:type="nil"/>
              <w:left w:w="96" w:type="nil"/>
              <w:bottom w:w="96" w:type="nil"/>
              <w:right w:w="192" w:type="nil"/>
            </w:tcMar>
            <w:vAlign w:val="center"/>
          </w:tcPr>
          <w:p w14:paraId="5B4C176B" w14:textId="0968FE65" w:rsidR="006D228E" w:rsidRPr="00F30812" w:rsidRDefault="006D228E" w:rsidP="009F6A62">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lastRenderedPageBreak/>
              <w:t xml:space="preserve">Inotropic score </w:t>
            </w:r>
            <w:r w:rsidR="00072ABD"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 xml:space="preserve"> admission</w:t>
            </w:r>
            <w:r w:rsidR="00072ABD" w:rsidRPr="00F30812">
              <w:rPr>
                <w:rFonts w:ascii="Times New Roman" w:hAnsi="Times New Roman" w:cs="Times New Roman"/>
                <w:color w:val="000000" w:themeColor="text1"/>
                <w:kern w:val="0"/>
                <w:sz w:val="16"/>
                <w:szCs w:val="16"/>
              </w:rPr>
              <w:t xml:space="preserve"> (score, IQR)</w:t>
            </w:r>
          </w:p>
        </w:tc>
        <w:tc>
          <w:tcPr>
            <w:tcW w:w="1250" w:type="pct"/>
            <w:tcMar>
              <w:top w:w="192" w:type="nil"/>
              <w:left w:w="96" w:type="nil"/>
              <w:bottom w:w="96" w:type="nil"/>
              <w:right w:w="192" w:type="nil"/>
            </w:tcMar>
            <w:vAlign w:val="center"/>
          </w:tcPr>
          <w:p w14:paraId="112B55C4" w14:textId="0ACED02D"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8 (8</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w:t>
            </w:r>
          </w:p>
        </w:tc>
        <w:tc>
          <w:tcPr>
            <w:tcW w:w="1250" w:type="pct"/>
            <w:tcMar>
              <w:top w:w="192" w:type="nil"/>
              <w:left w:w="96" w:type="nil"/>
              <w:bottom w:w="96" w:type="nil"/>
              <w:right w:w="192" w:type="nil"/>
            </w:tcMar>
            <w:vAlign w:val="center"/>
          </w:tcPr>
          <w:p w14:paraId="4685F746" w14:textId="3B150139"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8 (8</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11)</w:t>
            </w:r>
          </w:p>
        </w:tc>
        <w:tc>
          <w:tcPr>
            <w:tcW w:w="500" w:type="pct"/>
            <w:tcMar>
              <w:top w:w="192" w:type="nil"/>
              <w:left w:w="96" w:type="nil"/>
              <w:bottom w:w="96" w:type="nil"/>
              <w:right w:w="192" w:type="nil"/>
            </w:tcMar>
            <w:vAlign w:val="center"/>
          </w:tcPr>
          <w:p w14:paraId="1C6C25AD" w14:textId="66338934" w:rsidR="006D228E" w:rsidRPr="00F30812" w:rsidRDefault="006D228E"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0.0</w:t>
            </w:r>
            <w:r w:rsidR="00782117" w:rsidRPr="00F30812">
              <w:rPr>
                <w:rFonts w:ascii="Times New Roman" w:hAnsi="Times New Roman" w:cs="Times New Roman"/>
                <w:color w:val="FF0000"/>
                <w:kern w:val="0"/>
                <w:sz w:val="16"/>
                <w:szCs w:val="16"/>
              </w:rPr>
              <w:t>3</w:t>
            </w:r>
          </w:p>
        </w:tc>
      </w:tr>
      <w:tr w:rsidR="00C56DAB" w:rsidRPr="00F30812" w14:paraId="2F5992C0" w14:textId="77777777" w:rsidTr="005D1ACD">
        <w:trPr>
          <w:trHeight w:val="400"/>
        </w:trPr>
        <w:tc>
          <w:tcPr>
            <w:tcW w:w="2000" w:type="pct"/>
            <w:tcMar>
              <w:top w:w="192" w:type="nil"/>
              <w:left w:w="96" w:type="nil"/>
              <w:bottom w:w="96" w:type="nil"/>
              <w:right w:w="192" w:type="nil"/>
            </w:tcMar>
            <w:vAlign w:val="center"/>
          </w:tcPr>
          <w:p w14:paraId="7BE3F7BA" w14:textId="26C8403B"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12 h</w:t>
            </w:r>
          </w:p>
        </w:tc>
        <w:tc>
          <w:tcPr>
            <w:tcW w:w="1250" w:type="pct"/>
            <w:tcMar>
              <w:top w:w="192" w:type="nil"/>
              <w:left w:w="96" w:type="nil"/>
              <w:bottom w:w="96" w:type="nil"/>
              <w:right w:w="192" w:type="nil"/>
            </w:tcMar>
            <w:vAlign w:val="center"/>
          </w:tcPr>
          <w:p w14:paraId="73A3A376" w14:textId="2FDCCE5C"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4 (3</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6)</w:t>
            </w:r>
          </w:p>
        </w:tc>
        <w:tc>
          <w:tcPr>
            <w:tcW w:w="1250" w:type="pct"/>
            <w:tcMar>
              <w:top w:w="192" w:type="nil"/>
              <w:left w:w="96" w:type="nil"/>
              <w:bottom w:w="96" w:type="nil"/>
              <w:right w:w="192" w:type="nil"/>
            </w:tcMar>
            <w:vAlign w:val="center"/>
          </w:tcPr>
          <w:p w14:paraId="67C2E0AC" w14:textId="44E5736B"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6 (4</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w:t>
            </w:r>
          </w:p>
        </w:tc>
        <w:tc>
          <w:tcPr>
            <w:tcW w:w="500" w:type="pct"/>
            <w:tcMar>
              <w:top w:w="192" w:type="nil"/>
              <w:left w:w="96" w:type="nil"/>
              <w:bottom w:w="96" w:type="nil"/>
              <w:right w:w="192" w:type="nil"/>
            </w:tcMar>
            <w:vAlign w:val="center"/>
          </w:tcPr>
          <w:p w14:paraId="3A321B99" w14:textId="62236FCC" w:rsidR="006D228E" w:rsidRPr="00F30812" w:rsidRDefault="00782117"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0.02</w:t>
            </w:r>
          </w:p>
        </w:tc>
      </w:tr>
      <w:tr w:rsidR="00C56DAB" w:rsidRPr="00F30812" w14:paraId="4B98B893" w14:textId="77777777" w:rsidTr="005D1ACD">
        <w:trPr>
          <w:trHeight w:val="400"/>
        </w:trPr>
        <w:tc>
          <w:tcPr>
            <w:tcW w:w="2000" w:type="pct"/>
            <w:tcMar>
              <w:top w:w="192" w:type="nil"/>
              <w:left w:w="96" w:type="nil"/>
              <w:bottom w:w="96" w:type="nil"/>
              <w:right w:w="192" w:type="nil"/>
            </w:tcMar>
            <w:vAlign w:val="center"/>
          </w:tcPr>
          <w:p w14:paraId="1A5FA53F" w14:textId="6B54E522" w:rsidR="006D228E" w:rsidRPr="00F30812" w:rsidRDefault="006D228E">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24 h</w:t>
            </w:r>
          </w:p>
        </w:tc>
        <w:tc>
          <w:tcPr>
            <w:tcW w:w="1250" w:type="pct"/>
            <w:tcMar>
              <w:top w:w="192" w:type="nil"/>
              <w:left w:w="96" w:type="nil"/>
              <w:bottom w:w="96" w:type="nil"/>
              <w:right w:w="192" w:type="nil"/>
            </w:tcMar>
            <w:vAlign w:val="center"/>
          </w:tcPr>
          <w:p w14:paraId="62531F07" w14:textId="31899B1A"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0 (0</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4)</w:t>
            </w:r>
          </w:p>
        </w:tc>
        <w:tc>
          <w:tcPr>
            <w:tcW w:w="1250" w:type="pct"/>
            <w:tcMar>
              <w:top w:w="192" w:type="nil"/>
              <w:left w:w="96" w:type="nil"/>
              <w:bottom w:w="96" w:type="nil"/>
              <w:right w:w="192" w:type="nil"/>
            </w:tcMar>
            <w:vAlign w:val="center"/>
          </w:tcPr>
          <w:p w14:paraId="29DA31C7" w14:textId="070FF603"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6 (4</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9)</w:t>
            </w:r>
          </w:p>
        </w:tc>
        <w:tc>
          <w:tcPr>
            <w:tcW w:w="500" w:type="pct"/>
            <w:tcMar>
              <w:top w:w="192" w:type="nil"/>
              <w:left w:w="96" w:type="nil"/>
              <w:bottom w:w="96" w:type="nil"/>
              <w:right w:w="192" w:type="nil"/>
            </w:tcMar>
            <w:vAlign w:val="center"/>
          </w:tcPr>
          <w:p w14:paraId="32B457CA" w14:textId="767E20D7" w:rsidR="006D228E" w:rsidRPr="00F30812" w:rsidRDefault="00782117" w:rsidP="009F6A62">
            <w:pPr>
              <w:autoSpaceDE w:val="0"/>
              <w:autoSpaceDN w:val="0"/>
              <w:adjustRightInd w:val="0"/>
              <w:spacing w:line="480" w:lineRule="auto"/>
              <w:jc w:val="center"/>
              <w:rPr>
                <w:rFonts w:ascii="Times New Roman" w:hAnsi="Times New Roman" w:cs="Times New Roman"/>
                <w:color w:val="FF0000"/>
                <w:kern w:val="0"/>
                <w:sz w:val="16"/>
                <w:szCs w:val="16"/>
              </w:rPr>
            </w:pPr>
            <w:r w:rsidRPr="00F30812">
              <w:rPr>
                <w:rFonts w:ascii="Times New Roman" w:hAnsi="Times New Roman" w:cs="Times New Roman"/>
                <w:color w:val="FF0000"/>
                <w:kern w:val="0"/>
                <w:sz w:val="16"/>
                <w:szCs w:val="16"/>
              </w:rPr>
              <w:t>0.02</w:t>
            </w:r>
          </w:p>
        </w:tc>
      </w:tr>
      <w:tr w:rsidR="00C56DAB" w:rsidRPr="00F30812" w14:paraId="557677D5" w14:textId="77777777" w:rsidTr="005D1ACD">
        <w:trPr>
          <w:trHeight w:val="400"/>
        </w:trPr>
        <w:tc>
          <w:tcPr>
            <w:tcW w:w="2000" w:type="pct"/>
            <w:tcMar>
              <w:top w:w="192" w:type="nil"/>
              <w:left w:w="96" w:type="nil"/>
              <w:bottom w:w="96" w:type="nil"/>
              <w:right w:w="192" w:type="nil"/>
            </w:tcMar>
            <w:vAlign w:val="center"/>
          </w:tcPr>
          <w:p w14:paraId="3CEDB139" w14:textId="0A5D8219" w:rsidR="006D228E" w:rsidRPr="00F30812" w:rsidRDefault="006D228E" w:rsidP="004C6A3A">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Extra volume 0</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12 h (mL, IQR)</w:t>
            </w:r>
          </w:p>
        </w:tc>
        <w:tc>
          <w:tcPr>
            <w:tcW w:w="1250" w:type="pct"/>
            <w:tcMar>
              <w:top w:w="192" w:type="nil"/>
              <w:left w:w="96" w:type="nil"/>
              <w:bottom w:w="96" w:type="nil"/>
              <w:right w:w="192" w:type="nil"/>
            </w:tcMar>
            <w:vAlign w:val="center"/>
          </w:tcPr>
          <w:p w14:paraId="05B4BF09" w14:textId="4054A49E"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491 (336</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697)</w:t>
            </w:r>
          </w:p>
        </w:tc>
        <w:tc>
          <w:tcPr>
            <w:tcW w:w="1250" w:type="pct"/>
            <w:tcMar>
              <w:top w:w="192" w:type="nil"/>
              <w:left w:w="96" w:type="nil"/>
              <w:bottom w:w="96" w:type="nil"/>
              <w:right w:w="192" w:type="nil"/>
            </w:tcMar>
            <w:vAlign w:val="center"/>
          </w:tcPr>
          <w:p w14:paraId="02118242" w14:textId="0A3C0955"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732 (592</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1058)</w:t>
            </w:r>
          </w:p>
        </w:tc>
        <w:tc>
          <w:tcPr>
            <w:tcW w:w="500" w:type="pct"/>
            <w:tcMar>
              <w:top w:w="192" w:type="nil"/>
              <w:left w:w="96" w:type="nil"/>
              <w:bottom w:w="96" w:type="nil"/>
              <w:right w:w="192" w:type="nil"/>
            </w:tcMar>
            <w:vAlign w:val="center"/>
          </w:tcPr>
          <w:p w14:paraId="74BEC41D"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&lt;0.01</w:t>
            </w:r>
          </w:p>
        </w:tc>
      </w:tr>
      <w:tr w:rsidR="00C56DAB" w:rsidRPr="00F30812" w14:paraId="43001E9A" w14:textId="77777777" w:rsidTr="005D1ACD">
        <w:trPr>
          <w:trHeight w:val="400"/>
        </w:trPr>
        <w:tc>
          <w:tcPr>
            <w:tcW w:w="2000" w:type="pct"/>
            <w:tcMar>
              <w:top w:w="192" w:type="nil"/>
              <w:left w:w="96" w:type="nil"/>
              <w:bottom w:w="96" w:type="nil"/>
              <w:right w:w="192" w:type="nil"/>
            </w:tcMar>
            <w:vAlign w:val="center"/>
          </w:tcPr>
          <w:p w14:paraId="3CE01B7E" w14:textId="3C3EC3BE" w:rsidR="006D228E" w:rsidRPr="00F30812" w:rsidRDefault="00C56DAB" w:rsidP="004C6A3A">
            <w:pPr>
              <w:autoSpaceDE w:val="0"/>
              <w:autoSpaceDN w:val="0"/>
              <w:adjustRightInd w:val="0"/>
              <w:spacing w:line="480" w:lineRule="auto"/>
              <w:ind w:leftChars="200" w:left="480"/>
              <w:rPr>
                <w:rFonts w:ascii="Times New Roman" w:hAnsi="Times New Roman" w:cs="Times New Roman"/>
                <w:color w:val="000000" w:themeColor="text1"/>
                <w:kern w:val="0"/>
                <w:sz w:val="16"/>
                <w:szCs w:val="16"/>
              </w:rPr>
            </w:pPr>
            <w:r w:rsidRPr="00F30812">
              <w:rPr>
                <w:rFonts w:ascii="Times New Roman" w:hAnsi="Times New Roman" w:cs="Times New Roman"/>
                <w:color w:val="FF0000"/>
                <w:kern w:val="0"/>
                <w:sz w:val="16"/>
                <w:szCs w:val="16"/>
              </w:rPr>
              <w:t xml:space="preserve">extra volume </w:t>
            </w:r>
            <w:r w:rsidR="006D228E" w:rsidRPr="00F30812">
              <w:rPr>
                <w:rFonts w:ascii="Times New Roman" w:hAnsi="Times New Roman" w:cs="Times New Roman"/>
                <w:color w:val="FF0000"/>
                <w:kern w:val="0"/>
                <w:sz w:val="16"/>
                <w:szCs w:val="16"/>
              </w:rPr>
              <w:t>12</w:t>
            </w:r>
            <w:r w:rsidR="004C6A3A" w:rsidRPr="00F30812">
              <w:rPr>
                <w:rFonts w:ascii="Times New Roman" w:hAnsi="Times New Roman" w:cs="Times New Roman"/>
                <w:color w:val="FF0000"/>
                <w:kern w:val="0"/>
                <w:sz w:val="16"/>
                <w:szCs w:val="16"/>
              </w:rPr>
              <w:t>–</w:t>
            </w:r>
            <w:r w:rsidR="006D228E" w:rsidRPr="00F30812">
              <w:rPr>
                <w:rFonts w:ascii="Times New Roman" w:hAnsi="Times New Roman" w:cs="Times New Roman"/>
                <w:color w:val="FF0000"/>
                <w:kern w:val="0"/>
                <w:sz w:val="16"/>
                <w:szCs w:val="16"/>
              </w:rPr>
              <w:t>24 h</w:t>
            </w:r>
          </w:p>
        </w:tc>
        <w:tc>
          <w:tcPr>
            <w:tcW w:w="1250" w:type="pct"/>
            <w:tcMar>
              <w:top w:w="192" w:type="nil"/>
              <w:left w:w="96" w:type="nil"/>
              <w:bottom w:w="96" w:type="nil"/>
              <w:right w:w="192" w:type="nil"/>
            </w:tcMar>
            <w:vAlign w:val="center"/>
          </w:tcPr>
          <w:p w14:paraId="7C8B86F0" w14:textId="4EE81CE6"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159 (76</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303)</w:t>
            </w:r>
          </w:p>
        </w:tc>
        <w:tc>
          <w:tcPr>
            <w:tcW w:w="1250" w:type="pct"/>
            <w:tcMar>
              <w:top w:w="192" w:type="nil"/>
              <w:left w:w="96" w:type="nil"/>
              <w:bottom w:w="96" w:type="nil"/>
              <w:right w:w="192" w:type="nil"/>
            </w:tcMar>
            <w:vAlign w:val="center"/>
          </w:tcPr>
          <w:p w14:paraId="0FC4A10C" w14:textId="39A98B55"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386 (159</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665)</w:t>
            </w:r>
          </w:p>
        </w:tc>
        <w:tc>
          <w:tcPr>
            <w:tcW w:w="500" w:type="pct"/>
            <w:tcMar>
              <w:top w:w="192" w:type="nil"/>
              <w:left w:w="96" w:type="nil"/>
              <w:bottom w:w="96" w:type="nil"/>
              <w:right w:w="192" w:type="nil"/>
            </w:tcMar>
            <w:vAlign w:val="center"/>
          </w:tcPr>
          <w:p w14:paraId="05630694"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&lt;0.01</w:t>
            </w:r>
          </w:p>
        </w:tc>
      </w:tr>
      <w:tr w:rsidR="00C56DAB" w:rsidRPr="00F30812" w14:paraId="60300101" w14:textId="77777777" w:rsidTr="005D1ACD">
        <w:trPr>
          <w:trHeight w:val="400"/>
        </w:trPr>
        <w:tc>
          <w:tcPr>
            <w:tcW w:w="2000" w:type="pct"/>
            <w:tcMar>
              <w:top w:w="192" w:type="nil"/>
              <w:left w:w="96" w:type="nil"/>
              <w:bottom w:w="96" w:type="nil"/>
              <w:right w:w="192" w:type="nil"/>
            </w:tcMar>
            <w:vAlign w:val="center"/>
          </w:tcPr>
          <w:p w14:paraId="76A2D4AE" w14:textId="38591A9F" w:rsidR="006D228E" w:rsidRPr="00F30812" w:rsidRDefault="006D228E" w:rsidP="009F6A62">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proofErr w:type="spellStart"/>
            <w:r w:rsidRPr="00F30812">
              <w:rPr>
                <w:rFonts w:ascii="Times New Roman" w:hAnsi="Times New Roman" w:cs="Times New Roman"/>
                <w:color w:val="000000" w:themeColor="text1"/>
                <w:kern w:val="0"/>
                <w:sz w:val="16"/>
                <w:szCs w:val="16"/>
              </w:rPr>
              <w:t>iNO</w:t>
            </w:r>
            <w:proofErr w:type="spellEnd"/>
            <w:r w:rsidRPr="00F30812">
              <w:rPr>
                <w:rFonts w:ascii="Times New Roman" w:hAnsi="Times New Roman" w:cs="Times New Roman"/>
                <w:color w:val="000000" w:themeColor="text1"/>
                <w:kern w:val="0"/>
                <w:sz w:val="16"/>
                <w:szCs w:val="16"/>
              </w:rPr>
              <w:t xml:space="preserve"> (n, %)</w:t>
            </w:r>
          </w:p>
        </w:tc>
        <w:tc>
          <w:tcPr>
            <w:tcW w:w="1250" w:type="pct"/>
            <w:tcMar>
              <w:top w:w="192" w:type="nil"/>
              <w:left w:w="96" w:type="nil"/>
              <w:bottom w:w="96" w:type="nil"/>
              <w:right w:w="192" w:type="nil"/>
            </w:tcMar>
            <w:vAlign w:val="center"/>
          </w:tcPr>
          <w:p w14:paraId="5FC61623"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49 (48%)</w:t>
            </w:r>
          </w:p>
        </w:tc>
        <w:tc>
          <w:tcPr>
            <w:tcW w:w="1250" w:type="pct"/>
            <w:tcMar>
              <w:top w:w="192" w:type="nil"/>
              <w:left w:w="96" w:type="nil"/>
              <w:bottom w:w="96" w:type="nil"/>
              <w:right w:w="192" w:type="nil"/>
            </w:tcMar>
            <w:vAlign w:val="center"/>
          </w:tcPr>
          <w:p w14:paraId="4D4C3187"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17 (81%)</w:t>
            </w:r>
          </w:p>
        </w:tc>
        <w:tc>
          <w:tcPr>
            <w:tcW w:w="500" w:type="pct"/>
            <w:tcMar>
              <w:top w:w="192" w:type="nil"/>
              <w:left w:w="96" w:type="nil"/>
              <w:bottom w:w="96" w:type="nil"/>
              <w:right w:w="192" w:type="nil"/>
            </w:tcMar>
            <w:vAlign w:val="center"/>
          </w:tcPr>
          <w:p w14:paraId="7F14E8B2"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&lt;0.01</w:t>
            </w:r>
          </w:p>
        </w:tc>
      </w:tr>
      <w:tr w:rsidR="00C56DAB" w:rsidRPr="00F30812" w14:paraId="45CFDCE4" w14:textId="77777777" w:rsidTr="005D1ACD">
        <w:trPr>
          <w:trHeight w:val="400"/>
        </w:trPr>
        <w:tc>
          <w:tcPr>
            <w:tcW w:w="2000" w:type="pct"/>
            <w:tcMar>
              <w:top w:w="192" w:type="nil"/>
              <w:left w:w="96" w:type="nil"/>
              <w:bottom w:w="96" w:type="nil"/>
              <w:right w:w="192" w:type="nil"/>
            </w:tcMar>
            <w:vAlign w:val="center"/>
          </w:tcPr>
          <w:p w14:paraId="2CA36572" w14:textId="12AAE486" w:rsidR="006D228E" w:rsidRPr="00F30812" w:rsidRDefault="00072ABD" w:rsidP="009F6A62">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Ventilation</w:t>
            </w:r>
            <w:r w:rsidR="006D228E" w:rsidRPr="00F30812">
              <w:rPr>
                <w:rFonts w:ascii="Times New Roman" w:hAnsi="Times New Roman" w:cs="Times New Roman"/>
                <w:color w:val="000000" w:themeColor="text1"/>
                <w:kern w:val="0"/>
                <w:sz w:val="16"/>
                <w:szCs w:val="16"/>
              </w:rPr>
              <w:t xml:space="preserve"> time (hours, IQR)</w:t>
            </w:r>
          </w:p>
        </w:tc>
        <w:tc>
          <w:tcPr>
            <w:tcW w:w="1250" w:type="pct"/>
            <w:tcMar>
              <w:top w:w="192" w:type="nil"/>
              <w:left w:w="96" w:type="nil"/>
              <w:bottom w:w="96" w:type="nil"/>
              <w:right w:w="192" w:type="nil"/>
            </w:tcMar>
            <w:vAlign w:val="center"/>
          </w:tcPr>
          <w:p w14:paraId="13779757" w14:textId="3853054F"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7.0 (4.8</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12.9)</w:t>
            </w:r>
          </w:p>
        </w:tc>
        <w:tc>
          <w:tcPr>
            <w:tcW w:w="1250" w:type="pct"/>
            <w:tcMar>
              <w:top w:w="192" w:type="nil"/>
              <w:left w:w="96" w:type="nil"/>
              <w:bottom w:w="96" w:type="nil"/>
              <w:right w:w="192" w:type="nil"/>
            </w:tcMar>
            <w:vAlign w:val="center"/>
          </w:tcPr>
          <w:p w14:paraId="6DF59EAC" w14:textId="63FF81D6"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70.0 (42.6</w:t>
            </w:r>
            <w:r w:rsidR="004C6A3A" w:rsidRPr="00F30812">
              <w:rPr>
                <w:rFonts w:ascii="Times New Roman" w:hAnsi="Times New Roman" w:cs="Times New Roman"/>
                <w:color w:val="000000" w:themeColor="text1"/>
                <w:kern w:val="0"/>
                <w:sz w:val="16"/>
                <w:szCs w:val="16"/>
              </w:rPr>
              <w:t>–</w:t>
            </w:r>
            <w:r w:rsidRPr="00F30812">
              <w:rPr>
                <w:rFonts w:ascii="Times New Roman" w:hAnsi="Times New Roman" w:cs="Times New Roman"/>
                <w:color w:val="000000" w:themeColor="text1"/>
                <w:kern w:val="0"/>
                <w:sz w:val="16"/>
                <w:szCs w:val="16"/>
              </w:rPr>
              <w:t>115.4)</w:t>
            </w:r>
          </w:p>
        </w:tc>
        <w:tc>
          <w:tcPr>
            <w:tcW w:w="500" w:type="pct"/>
            <w:tcMar>
              <w:top w:w="192" w:type="nil"/>
              <w:left w:w="96" w:type="nil"/>
              <w:bottom w:w="96" w:type="nil"/>
              <w:right w:w="192" w:type="nil"/>
            </w:tcMar>
            <w:vAlign w:val="center"/>
          </w:tcPr>
          <w:p w14:paraId="02D523ED"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&lt;0.01</w:t>
            </w:r>
          </w:p>
        </w:tc>
      </w:tr>
      <w:tr w:rsidR="00C56DAB" w:rsidRPr="00F30812" w14:paraId="6338476C" w14:textId="77777777" w:rsidTr="005D1ACD">
        <w:trPr>
          <w:trHeight w:val="400"/>
        </w:trPr>
        <w:tc>
          <w:tcPr>
            <w:tcW w:w="2000" w:type="pct"/>
            <w:tcBorders>
              <w:bottom w:val="single" w:sz="4" w:space="0" w:color="auto"/>
            </w:tcBorders>
            <w:tcMar>
              <w:top w:w="192" w:type="nil"/>
              <w:left w:w="96" w:type="nil"/>
              <w:bottom w:w="96" w:type="nil"/>
              <w:right w:w="192" w:type="nil"/>
            </w:tcMar>
            <w:vAlign w:val="center"/>
          </w:tcPr>
          <w:p w14:paraId="5259ED99" w14:textId="2CF36DE1" w:rsidR="006D228E" w:rsidRPr="00F30812" w:rsidRDefault="006D228E" w:rsidP="009F6A62">
            <w:pPr>
              <w:autoSpaceDE w:val="0"/>
              <w:autoSpaceDN w:val="0"/>
              <w:adjustRightInd w:val="0"/>
              <w:spacing w:line="480" w:lineRule="auto"/>
              <w:ind w:leftChars="100" w:left="240"/>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N</w:t>
            </w:r>
            <w:r w:rsidR="00072ABD" w:rsidRPr="00F30812">
              <w:rPr>
                <w:rFonts w:ascii="Times New Roman" w:hAnsi="Times New Roman" w:cs="Times New Roman"/>
                <w:color w:val="000000" w:themeColor="text1"/>
                <w:kern w:val="0"/>
                <w:sz w:val="16"/>
                <w:szCs w:val="16"/>
              </w:rPr>
              <w:t>oninvasive ventilation</w:t>
            </w:r>
            <w:r w:rsidRPr="00F30812">
              <w:rPr>
                <w:rFonts w:ascii="Times New Roman" w:hAnsi="Times New Roman" w:cs="Times New Roman"/>
                <w:color w:val="000000" w:themeColor="text1"/>
                <w:kern w:val="0"/>
                <w:sz w:val="16"/>
                <w:szCs w:val="16"/>
              </w:rPr>
              <w:t xml:space="preserve"> (n, %)</w:t>
            </w:r>
          </w:p>
        </w:tc>
        <w:tc>
          <w:tcPr>
            <w:tcW w:w="1250" w:type="pct"/>
            <w:tcBorders>
              <w:bottom w:val="single" w:sz="4" w:space="0" w:color="auto"/>
            </w:tcBorders>
            <w:tcMar>
              <w:top w:w="192" w:type="nil"/>
              <w:left w:w="96" w:type="nil"/>
              <w:bottom w:w="96" w:type="nil"/>
              <w:right w:w="192" w:type="nil"/>
            </w:tcMar>
            <w:vAlign w:val="center"/>
          </w:tcPr>
          <w:p w14:paraId="5EFCDE19"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10 (10%)</w:t>
            </w:r>
          </w:p>
        </w:tc>
        <w:tc>
          <w:tcPr>
            <w:tcW w:w="1250" w:type="pct"/>
            <w:tcBorders>
              <w:bottom w:val="single" w:sz="4" w:space="0" w:color="auto"/>
            </w:tcBorders>
            <w:tcMar>
              <w:top w:w="192" w:type="nil"/>
              <w:left w:w="96" w:type="nil"/>
              <w:bottom w:w="96" w:type="nil"/>
              <w:right w:w="192" w:type="nil"/>
            </w:tcMar>
            <w:vAlign w:val="center"/>
          </w:tcPr>
          <w:p w14:paraId="25E144EB"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3 (14%)</w:t>
            </w:r>
          </w:p>
        </w:tc>
        <w:tc>
          <w:tcPr>
            <w:tcW w:w="500" w:type="pct"/>
            <w:tcBorders>
              <w:bottom w:val="single" w:sz="4" w:space="0" w:color="auto"/>
            </w:tcBorders>
            <w:tcMar>
              <w:top w:w="192" w:type="nil"/>
              <w:left w:w="96" w:type="nil"/>
              <w:bottom w:w="96" w:type="nil"/>
              <w:right w:w="192" w:type="nil"/>
            </w:tcMar>
            <w:vAlign w:val="center"/>
          </w:tcPr>
          <w:p w14:paraId="4E1DAB0F" w14:textId="77777777" w:rsidR="006D228E" w:rsidRPr="00F30812" w:rsidRDefault="006D228E" w:rsidP="009F6A62">
            <w:pPr>
              <w:autoSpaceDE w:val="0"/>
              <w:autoSpaceDN w:val="0"/>
              <w:adjustRightInd w:val="0"/>
              <w:spacing w:line="480" w:lineRule="auto"/>
              <w:jc w:val="center"/>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0.56</w:t>
            </w:r>
          </w:p>
        </w:tc>
      </w:tr>
    </w:tbl>
    <w:p w14:paraId="0118E66F" w14:textId="07754369" w:rsidR="006D228E" w:rsidRPr="00F30812" w:rsidRDefault="004C6A3A" w:rsidP="006D228E">
      <w:pPr>
        <w:autoSpaceDE w:val="0"/>
        <w:autoSpaceDN w:val="0"/>
        <w:adjustRightInd w:val="0"/>
        <w:spacing w:line="480" w:lineRule="auto"/>
        <w:jc w:val="left"/>
        <w:rPr>
          <w:rFonts w:ascii="Times New Roman" w:hAnsi="Times New Roman" w:cs="Times New Roman"/>
          <w:color w:val="000000" w:themeColor="text1"/>
          <w:kern w:val="0"/>
          <w:sz w:val="16"/>
          <w:szCs w:val="16"/>
        </w:rPr>
      </w:pPr>
      <w:r w:rsidRPr="00F30812">
        <w:rPr>
          <w:rFonts w:ascii="Times New Roman" w:hAnsi="Times New Roman" w:cs="Times New Roman"/>
          <w:color w:val="000000" w:themeColor="text1"/>
          <w:kern w:val="0"/>
          <w:sz w:val="16"/>
          <w:szCs w:val="16"/>
        </w:rPr>
        <w:t xml:space="preserve">CVP: central venous pressure, </w:t>
      </w:r>
      <w:proofErr w:type="spellStart"/>
      <w:r w:rsidRPr="00F30812">
        <w:rPr>
          <w:rFonts w:ascii="Times New Roman" w:hAnsi="Times New Roman" w:cs="Times New Roman"/>
          <w:color w:val="000000" w:themeColor="text1"/>
          <w:kern w:val="0"/>
          <w:sz w:val="16"/>
          <w:szCs w:val="16"/>
        </w:rPr>
        <w:t>iNO</w:t>
      </w:r>
      <w:proofErr w:type="spellEnd"/>
      <w:r w:rsidRPr="00F30812">
        <w:rPr>
          <w:rFonts w:ascii="Times New Roman" w:hAnsi="Times New Roman" w:cs="Times New Roman"/>
          <w:color w:val="000000" w:themeColor="text1"/>
          <w:kern w:val="0"/>
          <w:sz w:val="16"/>
          <w:szCs w:val="16"/>
        </w:rPr>
        <w:t xml:space="preserve">: inhaled nitric oxide, </w:t>
      </w:r>
      <w:r w:rsidR="006D228E" w:rsidRPr="00F30812">
        <w:rPr>
          <w:rFonts w:ascii="Times New Roman" w:eastAsia="ＭＳ 明朝" w:hAnsi="Times New Roman" w:cs="Times New Roman"/>
          <w:color w:val="000000" w:themeColor="text1"/>
          <w:sz w:val="16"/>
          <w:szCs w:val="16"/>
        </w:rPr>
        <w:t xml:space="preserve">IQR: interquartile range, </w:t>
      </w:r>
      <w:r w:rsidR="006D228E" w:rsidRPr="00F30812">
        <w:rPr>
          <w:rFonts w:ascii="Times New Roman" w:hAnsi="Times New Roman" w:cs="Times New Roman"/>
          <w:color w:val="000000" w:themeColor="text1"/>
          <w:kern w:val="0"/>
          <w:sz w:val="16"/>
          <w:szCs w:val="16"/>
        </w:rPr>
        <w:t>MAP: mean arterial pressure</w:t>
      </w:r>
      <w:r w:rsidRPr="00F30812">
        <w:rPr>
          <w:rFonts w:ascii="Times New Roman" w:hAnsi="Times New Roman" w:cs="Times New Roman"/>
          <w:color w:val="000000" w:themeColor="text1"/>
          <w:kern w:val="0"/>
          <w:sz w:val="16"/>
          <w:szCs w:val="16"/>
        </w:rPr>
        <w:t xml:space="preserve">, SAP: systolic arterial pressure, </w:t>
      </w:r>
      <w:r w:rsidR="006D228E" w:rsidRPr="00F30812">
        <w:rPr>
          <w:rFonts w:ascii="Times New Roman" w:hAnsi="Times New Roman" w:cs="Times New Roman"/>
          <w:color w:val="000000" w:themeColor="text1"/>
          <w:kern w:val="0"/>
          <w:sz w:val="16"/>
          <w:szCs w:val="16"/>
        </w:rPr>
        <w:t>Sa</w:t>
      </w:r>
      <w:r w:rsidR="00A24AF6" w:rsidRPr="00F30812">
        <w:rPr>
          <w:rFonts w:ascii="Times New Roman" w:hAnsi="Times New Roman" w:cs="Times New Roman"/>
          <w:color w:val="000000" w:themeColor="text1"/>
          <w:kern w:val="0"/>
          <w:sz w:val="16"/>
          <w:szCs w:val="16"/>
        </w:rPr>
        <w:t>O</w:t>
      </w:r>
      <w:r w:rsidR="006D228E" w:rsidRPr="00F30812">
        <w:rPr>
          <w:rFonts w:ascii="Times New Roman" w:hAnsi="Times New Roman" w:cs="Times New Roman"/>
          <w:color w:val="000000" w:themeColor="text1"/>
          <w:kern w:val="0"/>
          <w:sz w:val="16"/>
          <w:szCs w:val="16"/>
        </w:rPr>
        <w:t xml:space="preserve">2: oxygen saturation </w:t>
      </w:r>
    </w:p>
    <w:p w14:paraId="1B2EEEC0" w14:textId="77777777" w:rsidR="006D228E" w:rsidRPr="004C6A3A" w:rsidRDefault="006D228E">
      <w:pPr>
        <w:rPr>
          <w:rFonts w:ascii="Times New Roman" w:hAnsi="Times New Roman" w:cs="Times New Roman"/>
          <w:color w:val="000000" w:themeColor="text1"/>
        </w:rPr>
      </w:pPr>
    </w:p>
    <w:p w14:paraId="4EF5701A" w14:textId="77777777" w:rsidR="00A83049" w:rsidRPr="004C6A3A" w:rsidRDefault="00A83049">
      <w:pPr>
        <w:rPr>
          <w:rFonts w:ascii="Times New Roman" w:hAnsi="Times New Roman" w:cs="Times New Roman"/>
          <w:color w:val="000000" w:themeColor="text1"/>
        </w:rPr>
      </w:pPr>
    </w:p>
    <w:p w14:paraId="0290FDF3" w14:textId="1C5C9A5E" w:rsidR="00A83049" w:rsidRPr="004C6A3A" w:rsidRDefault="00A83049">
      <w:pPr>
        <w:rPr>
          <w:rFonts w:ascii="Times New Roman" w:hAnsi="Times New Roman" w:cs="Times New Roman"/>
          <w:color w:val="000000" w:themeColor="text1"/>
        </w:rPr>
      </w:pPr>
    </w:p>
    <w:p w14:paraId="279AC345" w14:textId="7741ED9A" w:rsidR="00072ABD" w:rsidRPr="004C6A3A" w:rsidRDefault="00072ABD">
      <w:pPr>
        <w:rPr>
          <w:rFonts w:ascii="Times New Roman" w:hAnsi="Times New Roman" w:cs="Times New Roman"/>
          <w:color w:val="000000" w:themeColor="text1"/>
        </w:rPr>
      </w:pPr>
    </w:p>
    <w:p w14:paraId="37452E59" w14:textId="5D7D0778" w:rsidR="00072ABD" w:rsidRPr="004C6A3A" w:rsidRDefault="00072ABD">
      <w:pPr>
        <w:rPr>
          <w:rFonts w:ascii="Times New Roman" w:hAnsi="Times New Roman" w:cs="Times New Roman"/>
          <w:color w:val="000000" w:themeColor="text1"/>
        </w:rPr>
      </w:pPr>
    </w:p>
    <w:p w14:paraId="20947A0F" w14:textId="7B1B67C3" w:rsidR="00072ABD" w:rsidRPr="004C6A3A" w:rsidRDefault="00072ABD">
      <w:pPr>
        <w:rPr>
          <w:rFonts w:ascii="Times New Roman" w:hAnsi="Times New Roman" w:cs="Times New Roman"/>
          <w:color w:val="000000" w:themeColor="text1"/>
        </w:rPr>
      </w:pPr>
    </w:p>
    <w:p w14:paraId="6568ADA2" w14:textId="7BD9FB30" w:rsidR="00072ABD" w:rsidRPr="004C6A3A" w:rsidRDefault="00072ABD">
      <w:pPr>
        <w:rPr>
          <w:rFonts w:ascii="Times New Roman" w:hAnsi="Times New Roman" w:cs="Times New Roman"/>
          <w:color w:val="000000" w:themeColor="text1"/>
        </w:rPr>
      </w:pPr>
    </w:p>
    <w:p w14:paraId="74864A62" w14:textId="5EE08BCF" w:rsidR="00072ABD" w:rsidRPr="004C6A3A" w:rsidRDefault="00072ABD">
      <w:pPr>
        <w:rPr>
          <w:rFonts w:ascii="Times New Roman" w:hAnsi="Times New Roman" w:cs="Times New Roman"/>
          <w:color w:val="000000" w:themeColor="text1"/>
        </w:rPr>
      </w:pPr>
    </w:p>
    <w:p w14:paraId="676067ED" w14:textId="787FE63B" w:rsidR="00072ABD" w:rsidRPr="004C6A3A" w:rsidRDefault="00072ABD">
      <w:pPr>
        <w:rPr>
          <w:rFonts w:ascii="Times New Roman" w:hAnsi="Times New Roman" w:cs="Times New Roman"/>
          <w:color w:val="000000" w:themeColor="text1"/>
        </w:rPr>
      </w:pPr>
    </w:p>
    <w:p w14:paraId="5DB05E4B" w14:textId="521E3CA3" w:rsidR="00072ABD" w:rsidRPr="004C6A3A" w:rsidRDefault="00072ABD">
      <w:pPr>
        <w:rPr>
          <w:rFonts w:ascii="Times New Roman" w:hAnsi="Times New Roman" w:cs="Times New Roman"/>
          <w:color w:val="000000" w:themeColor="text1"/>
        </w:rPr>
      </w:pPr>
    </w:p>
    <w:p w14:paraId="6D090770" w14:textId="58BBE58D" w:rsidR="00072ABD" w:rsidRPr="004C6A3A" w:rsidRDefault="00072ABD">
      <w:pPr>
        <w:rPr>
          <w:rFonts w:ascii="Times New Roman" w:hAnsi="Times New Roman" w:cs="Times New Roman"/>
          <w:color w:val="000000" w:themeColor="text1"/>
        </w:rPr>
      </w:pPr>
    </w:p>
    <w:p w14:paraId="3B6248E9" w14:textId="4493E1B2" w:rsidR="008A5FFE" w:rsidRPr="004C6A3A" w:rsidRDefault="008A5FFE">
      <w:pPr>
        <w:rPr>
          <w:rFonts w:ascii="Times New Roman" w:hAnsi="Times New Roman" w:cs="Times New Roman"/>
          <w:color w:val="000000" w:themeColor="text1"/>
        </w:rPr>
      </w:pPr>
    </w:p>
    <w:p w14:paraId="78463557" w14:textId="77777777" w:rsidR="008A5FFE" w:rsidRPr="004C6A3A" w:rsidRDefault="008A5FFE">
      <w:pPr>
        <w:rPr>
          <w:rFonts w:ascii="Times New Roman" w:hAnsi="Times New Roman" w:cs="Times New Roman"/>
          <w:color w:val="000000" w:themeColor="text1"/>
        </w:rPr>
      </w:pPr>
    </w:p>
    <w:p w14:paraId="5DD5BBE3" w14:textId="6B95DB50" w:rsidR="00072ABD" w:rsidRPr="004C6A3A" w:rsidRDefault="00072ABD">
      <w:pPr>
        <w:rPr>
          <w:rFonts w:ascii="Times New Roman" w:hAnsi="Times New Roman" w:cs="Times New Roman"/>
          <w:color w:val="000000" w:themeColor="text1"/>
        </w:rPr>
      </w:pPr>
    </w:p>
    <w:p w14:paraId="6F0B82D2" w14:textId="77777777" w:rsidR="00072ABD" w:rsidRPr="004C6A3A" w:rsidRDefault="00072ABD">
      <w:pPr>
        <w:rPr>
          <w:rFonts w:ascii="Times New Roman" w:hAnsi="Times New Roman" w:cs="Times New Roman"/>
          <w:color w:val="000000" w:themeColor="text1"/>
        </w:rPr>
      </w:pPr>
    </w:p>
    <w:p w14:paraId="1F3D8BD5" w14:textId="77777777" w:rsidR="00072ABD" w:rsidRPr="004C6A3A" w:rsidRDefault="00072ABD">
      <w:pPr>
        <w:rPr>
          <w:rFonts w:ascii="Times New Roman" w:hAnsi="Times New Roman" w:cs="Times New Roman"/>
          <w:color w:val="000000" w:themeColor="text1"/>
        </w:rPr>
      </w:pPr>
    </w:p>
    <w:p w14:paraId="1A6D0F14" w14:textId="59BBE11E" w:rsidR="00A83049" w:rsidRPr="004C6A3A" w:rsidRDefault="00A83049">
      <w:pPr>
        <w:rPr>
          <w:rFonts w:ascii="Times New Roman" w:hAnsi="Times New Roman" w:cs="Times New Roman"/>
          <w:color w:val="000000" w:themeColor="text1"/>
        </w:rPr>
      </w:pPr>
      <w:r w:rsidRPr="004C6A3A">
        <w:rPr>
          <w:rFonts w:ascii="Times New Roman" w:hAnsi="Times New Roman" w:cs="Times New Roman"/>
          <w:b/>
          <w:bCs/>
          <w:color w:val="000000" w:themeColor="text1"/>
        </w:rPr>
        <w:lastRenderedPageBreak/>
        <w:t>Supplement</w:t>
      </w:r>
      <w:r w:rsidR="00296519" w:rsidRPr="004C6A3A">
        <w:rPr>
          <w:rFonts w:ascii="Times New Roman" w:hAnsi="Times New Roman" w:cs="Times New Roman"/>
          <w:b/>
          <w:bCs/>
          <w:color w:val="000000" w:themeColor="text1"/>
        </w:rPr>
        <w:t>ary</w:t>
      </w:r>
      <w:r w:rsidRPr="004C6A3A">
        <w:rPr>
          <w:rFonts w:ascii="Times New Roman" w:hAnsi="Times New Roman" w:cs="Times New Roman"/>
          <w:b/>
          <w:bCs/>
          <w:color w:val="000000" w:themeColor="text1"/>
        </w:rPr>
        <w:t xml:space="preserve"> Fig</w:t>
      </w:r>
      <w:r w:rsidR="00296519" w:rsidRPr="004C6A3A">
        <w:rPr>
          <w:rFonts w:ascii="Times New Roman" w:hAnsi="Times New Roman" w:cs="Times New Roman"/>
          <w:b/>
          <w:bCs/>
          <w:color w:val="000000" w:themeColor="text1"/>
        </w:rPr>
        <w:t>ure S</w:t>
      </w:r>
      <w:r w:rsidRPr="004C6A3A">
        <w:rPr>
          <w:rFonts w:ascii="Times New Roman" w:hAnsi="Times New Roman" w:cs="Times New Roman"/>
          <w:b/>
          <w:bCs/>
          <w:color w:val="000000" w:themeColor="text1"/>
        </w:rPr>
        <w:t>1</w:t>
      </w:r>
    </w:p>
    <w:p w14:paraId="1BF34AA2" w14:textId="0278F6A6" w:rsidR="00A83049" w:rsidRPr="004C6A3A" w:rsidRDefault="00A83049">
      <w:pPr>
        <w:rPr>
          <w:rFonts w:ascii="Times New Roman" w:hAnsi="Times New Roman" w:cs="Times New Roman"/>
          <w:color w:val="000000" w:themeColor="text1"/>
        </w:rPr>
      </w:pPr>
      <w:r w:rsidRPr="004C6A3A">
        <w:rPr>
          <w:rFonts w:ascii="Times New Roman" w:hAnsi="Times New Roman" w:cs="Times New Roman"/>
          <w:color w:val="000000" w:themeColor="text1"/>
        </w:rPr>
        <w:t>Distribution of ventilation times</w:t>
      </w:r>
    </w:p>
    <w:p w14:paraId="759AF8D2" w14:textId="5EFE883E" w:rsidR="00A83049" w:rsidRPr="003E2809" w:rsidRDefault="00591215">
      <w:pPr>
        <w:rPr>
          <w:rFonts w:ascii="Times New Roman" w:hAnsi="Times New Roman" w:cs="Times New Roman"/>
        </w:rPr>
      </w:pPr>
      <w:r w:rsidRPr="003E2809">
        <w:rPr>
          <w:rFonts w:ascii="Times New Roman" w:hAnsi="Times New Roman" w:cs="Times New Roman"/>
          <w:noProof/>
          <w:lang w:eastAsia="en-US"/>
        </w:rPr>
        <w:drawing>
          <wp:inline distT="0" distB="0" distL="0" distR="0" wp14:anchorId="65BD9461" wp14:editId="72869D7B">
            <wp:extent cx="4038600" cy="3357871"/>
            <wp:effectExtent l="0" t="0" r="0" b="0"/>
            <wp:docPr id="2" name="図 2" descr="グラフ&#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10;&#10;低い精度で自動的に生成された説明"/>
                    <pic:cNvPicPr/>
                  </pic:nvPicPr>
                  <pic:blipFill rotWithShape="1">
                    <a:blip r:embed="rId4" cstate="print">
                      <a:extLst>
                        <a:ext uri="{28A0092B-C50C-407E-A947-70E740481C1C}">
                          <a14:useLocalDpi xmlns:a14="http://schemas.microsoft.com/office/drawing/2010/main" val="0"/>
                        </a:ext>
                      </a:extLst>
                    </a:blip>
                    <a:srcRect l="16320" t="1953" r="19511" b="3194"/>
                    <a:stretch/>
                  </pic:blipFill>
                  <pic:spPr bwMode="auto">
                    <a:xfrm>
                      <a:off x="0" y="0"/>
                      <a:ext cx="4052209" cy="336918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A83049" w:rsidRPr="003E2809" w:rsidSect="00DE54AD">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2NjQxMjexALIsDJV0lIJTi4sz8/NACsxqAcAkaXcsAAAA"/>
  </w:docVars>
  <w:rsids>
    <w:rsidRoot w:val="00A83049"/>
    <w:rsid w:val="00072ABD"/>
    <w:rsid w:val="00123CD2"/>
    <w:rsid w:val="001452AA"/>
    <w:rsid w:val="00162496"/>
    <w:rsid w:val="00296519"/>
    <w:rsid w:val="002A10CA"/>
    <w:rsid w:val="002A7B9C"/>
    <w:rsid w:val="003E2809"/>
    <w:rsid w:val="003E4299"/>
    <w:rsid w:val="004567A2"/>
    <w:rsid w:val="004C0E0E"/>
    <w:rsid w:val="004C6A3A"/>
    <w:rsid w:val="005609BB"/>
    <w:rsid w:val="00591215"/>
    <w:rsid w:val="005D1ACD"/>
    <w:rsid w:val="005D64CC"/>
    <w:rsid w:val="005E66C9"/>
    <w:rsid w:val="00653463"/>
    <w:rsid w:val="00684248"/>
    <w:rsid w:val="006A7671"/>
    <w:rsid w:val="006D228E"/>
    <w:rsid w:val="00706E77"/>
    <w:rsid w:val="00717BEC"/>
    <w:rsid w:val="007270F4"/>
    <w:rsid w:val="00782117"/>
    <w:rsid w:val="008A5FFE"/>
    <w:rsid w:val="009716AC"/>
    <w:rsid w:val="00A24AF6"/>
    <w:rsid w:val="00A83049"/>
    <w:rsid w:val="00C12719"/>
    <w:rsid w:val="00C56DAB"/>
    <w:rsid w:val="00D2765F"/>
    <w:rsid w:val="00DA25EC"/>
    <w:rsid w:val="00DD15E5"/>
    <w:rsid w:val="00DE54AD"/>
    <w:rsid w:val="00F21589"/>
    <w:rsid w:val="00F30812"/>
    <w:rsid w:val="00F31B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2833772"/>
  <w15:docId w15:val="{A4B938B7-9045-427B-BF64-8AC75034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CD2"/>
    <w:rPr>
      <w:rFonts w:ascii="Segoe UI" w:hAnsi="Segoe UI" w:cs="Segoe UI"/>
      <w:sz w:val="18"/>
      <w:szCs w:val="18"/>
    </w:rPr>
  </w:style>
  <w:style w:type="character" w:customStyle="1" w:styleId="a4">
    <w:name w:val="吹き出し (文字)"/>
    <w:basedOn w:val="a0"/>
    <w:link w:val="a3"/>
    <w:uiPriority w:val="99"/>
    <w:semiHidden/>
    <w:rsid w:val="00123CD2"/>
    <w:rPr>
      <w:rFonts w:ascii="Segoe UI" w:hAnsi="Segoe UI" w:cs="Segoe UI"/>
      <w:sz w:val="18"/>
      <w:szCs w:val="18"/>
    </w:rPr>
  </w:style>
  <w:style w:type="character" w:styleId="a5">
    <w:name w:val="annotation reference"/>
    <w:basedOn w:val="a0"/>
    <w:uiPriority w:val="99"/>
    <w:semiHidden/>
    <w:unhideWhenUsed/>
    <w:rsid w:val="00123CD2"/>
    <w:rPr>
      <w:sz w:val="16"/>
      <w:szCs w:val="16"/>
    </w:rPr>
  </w:style>
  <w:style w:type="paragraph" w:styleId="a6">
    <w:name w:val="annotation text"/>
    <w:basedOn w:val="a"/>
    <w:link w:val="a7"/>
    <w:uiPriority w:val="99"/>
    <w:semiHidden/>
    <w:unhideWhenUsed/>
    <w:rsid w:val="00123CD2"/>
    <w:rPr>
      <w:sz w:val="20"/>
      <w:szCs w:val="20"/>
    </w:rPr>
  </w:style>
  <w:style w:type="character" w:customStyle="1" w:styleId="a7">
    <w:name w:val="コメント文字列 (文字)"/>
    <w:basedOn w:val="a0"/>
    <w:link w:val="a6"/>
    <w:uiPriority w:val="99"/>
    <w:semiHidden/>
    <w:rsid w:val="00123CD2"/>
    <w:rPr>
      <w:sz w:val="20"/>
      <w:szCs w:val="20"/>
    </w:rPr>
  </w:style>
  <w:style w:type="paragraph" w:styleId="a8">
    <w:name w:val="annotation subject"/>
    <w:basedOn w:val="a6"/>
    <w:next w:val="a6"/>
    <w:link w:val="a9"/>
    <w:uiPriority w:val="99"/>
    <w:semiHidden/>
    <w:unhideWhenUsed/>
    <w:rsid w:val="00123CD2"/>
    <w:rPr>
      <w:b/>
      <w:bCs/>
    </w:rPr>
  </w:style>
  <w:style w:type="character" w:customStyle="1" w:styleId="a9">
    <w:name w:val="コメント内容 (文字)"/>
    <w:basedOn w:val="a7"/>
    <w:link w:val="a8"/>
    <w:uiPriority w:val="99"/>
    <w:semiHidden/>
    <w:rsid w:val="00123CD2"/>
    <w:rPr>
      <w:b/>
      <w:bCs/>
      <w:sz w:val="20"/>
      <w:szCs w:val="20"/>
    </w:rPr>
  </w:style>
  <w:style w:type="paragraph" w:styleId="aa">
    <w:name w:val="Revision"/>
    <w:hidden/>
    <w:uiPriority w:val="99"/>
    <w:semiHidden/>
    <w:rsid w:val="003E28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995</Words>
  <Characters>5677</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Tsubura Masahiro</dc:creator>
  <cp:keywords/>
  <dc:description/>
  <cp:lastModifiedBy>Tsubura Masahiro</cp:lastModifiedBy>
  <cp:revision>3</cp:revision>
  <dcterms:created xsi:type="dcterms:W3CDTF">2021-08-01T02:04:00Z</dcterms:created>
  <dcterms:modified xsi:type="dcterms:W3CDTF">2021-08-01T02:12:00Z</dcterms:modified>
</cp:coreProperties>
</file>