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8680E" w:rsidRPr="0028680E" w14:paraId="06C6F2A1" w14:textId="77777777" w:rsidTr="00EA1224">
        <w:trPr>
          <w:trHeight w:val="274"/>
        </w:trPr>
        <w:tc>
          <w:tcPr>
            <w:tcW w:w="4508" w:type="dxa"/>
          </w:tcPr>
          <w:p w14:paraId="58ED2B61" w14:textId="788D0AF7" w:rsidR="0028680E" w:rsidRPr="0028680E" w:rsidRDefault="0028680E" w:rsidP="000E1BAF">
            <w:pPr>
              <w:spacing w:line="480" w:lineRule="auto"/>
              <w:contextualSpacing/>
              <w:jc w:val="right"/>
            </w:pPr>
            <w:r w:rsidRPr="0028680E">
              <w:t>Haemoglobin</w:t>
            </w:r>
          </w:p>
        </w:tc>
        <w:tc>
          <w:tcPr>
            <w:tcW w:w="4508" w:type="dxa"/>
          </w:tcPr>
          <w:p w14:paraId="1DA6102B" w14:textId="6D5EAAC5" w:rsidR="0028680E" w:rsidRPr="0028680E" w:rsidRDefault="0028680E" w:rsidP="000379D3">
            <w:pPr>
              <w:spacing w:line="480" w:lineRule="auto"/>
              <w:contextualSpacing/>
              <w:jc w:val="both"/>
            </w:pPr>
            <w:r w:rsidRPr="0028680E">
              <w:t>10.9 g/dL</w:t>
            </w:r>
            <w:r w:rsidR="00310A1E">
              <w:t xml:space="preserve"> (13.0 – 16.0)</w:t>
            </w:r>
          </w:p>
        </w:tc>
      </w:tr>
      <w:tr w:rsidR="0028680E" w:rsidRPr="0028680E" w14:paraId="2A503666" w14:textId="77777777" w:rsidTr="0028680E">
        <w:tc>
          <w:tcPr>
            <w:tcW w:w="4508" w:type="dxa"/>
          </w:tcPr>
          <w:p w14:paraId="1956B606" w14:textId="4B655842" w:rsidR="0028680E" w:rsidRPr="0028680E" w:rsidRDefault="0028680E" w:rsidP="000E1BAF">
            <w:pPr>
              <w:spacing w:line="480" w:lineRule="auto"/>
              <w:contextualSpacing/>
              <w:jc w:val="right"/>
            </w:pPr>
            <w:r w:rsidRPr="0028680E">
              <w:t>Leucocytes</w:t>
            </w:r>
          </w:p>
        </w:tc>
        <w:tc>
          <w:tcPr>
            <w:tcW w:w="4508" w:type="dxa"/>
          </w:tcPr>
          <w:p w14:paraId="2E91CC1D" w14:textId="2B73338A" w:rsidR="0028680E" w:rsidRPr="0028680E" w:rsidRDefault="0028680E" w:rsidP="000379D3">
            <w:pPr>
              <w:spacing w:line="480" w:lineRule="auto"/>
              <w:contextualSpacing/>
              <w:jc w:val="both"/>
            </w:pPr>
            <w:r w:rsidRPr="0028680E">
              <w:t>8.61 x10</w:t>
            </w:r>
            <w:r w:rsidRPr="0028680E">
              <w:rPr>
                <w:vertAlign w:val="superscript"/>
              </w:rPr>
              <w:t>9</w:t>
            </w:r>
            <w:r w:rsidRPr="0028680E">
              <w:t>/L (</w:t>
            </w:r>
            <w:r w:rsidR="00310A1E">
              <w:t xml:space="preserve">4.5 – 13.0), </w:t>
            </w:r>
            <w:r w:rsidRPr="0028680E">
              <w:t>normal formula</w:t>
            </w:r>
          </w:p>
        </w:tc>
      </w:tr>
      <w:tr w:rsidR="0028680E" w:rsidRPr="0028680E" w14:paraId="60B58297" w14:textId="77777777" w:rsidTr="0028680E">
        <w:tc>
          <w:tcPr>
            <w:tcW w:w="4508" w:type="dxa"/>
          </w:tcPr>
          <w:p w14:paraId="6243B3EE" w14:textId="70BD1B7A" w:rsidR="0028680E" w:rsidRPr="0028680E" w:rsidRDefault="0028680E" w:rsidP="000E1BAF">
            <w:pPr>
              <w:spacing w:line="480" w:lineRule="auto"/>
              <w:contextualSpacing/>
              <w:jc w:val="right"/>
            </w:pPr>
            <w:r w:rsidRPr="0028680E">
              <w:t>Platelets</w:t>
            </w:r>
          </w:p>
        </w:tc>
        <w:tc>
          <w:tcPr>
            <w:tcW w:w="4508" w:type="dxa"/>
          </w:tcPr>
          <w:p w14:paraId="5A5A993C" w14:textId="3D6249DB" w:rsidR="0028680E" w:rsidRPr="0028680E" w:rsidRDefault="0028680E" w:rsidP="000379D3">
            <w:pPr>
              <w:spacing w:line="480" w:lineRule="auto"/>
              <w:contextualSpacing/>
              <w:jc w:val="both"/>
            </w:pPr>
            <w:r w:rsidRPr="0028680E">
              <w:t>235 x10</w:t>
            </w:r>
            <w:r w:rsidRPr="0028680E">
              <w:rPr>
                <w:vertAlign w:val="superscript"/>
              </w:rPr>
              <w:t>9</w:t>
            </w:r>
            <w:r w:rsidRPr="0028680E">
              <w:t>/L</w:t>
            </w:r>
            <w:r w:rsidR="00310A1E">
              <w:t xml:space="preserve"> (150 – 450)</w:t>
            </w:r>
          </w:p>
        </w:tc>
      </w:tr>
      <w:tr w:rsidR="0028680E" w:rsidRPr="0028680E" w14:paraId="6B487E31" w14:textId="77777777" w:rsidTr="0028680E">
        <w:tc>
          <w:tcPr>
            <w:tcW w:w="4508" w:type="dxa"/>
          </w:tcPr>
          <w:p w14:paraId="2E5FB4FF" w14:textId="3862B5ED" w:rsidR="0028680E" w:rsidRPr="0028680E" w:rsidRDefault="0028680E" w:rsidP="000E1BAF">
            <w:pPr>
              <w:spacing w:line="480" w:lineRule="auto"/>
              <w:contextualSpacing/>
              <w:jc w:val="right"/>
            </w:pPr>
            <w:r w:rsidRPr="0028680E">
              <w:t>Erythrocyte sedimentation rate</w:t>
            </w:r>
          </w:p>
        </w:tc>
        <w:tc>
          <w:tcPr>
            <w:tcW w:w="4508" w:type="dxa"/>
          </w:tcPr>
          <w:p w14:paraId="28AF61D2" w14:textId="187E1200" w:rsidR="0028680E" w:rsidRPr="0028680E" w:rsidRDefault="0028680E" w:rsidP="000379D3">
            <w:pPr>
              <w:spacing w:line="480" w:lineRule="auto"/>
              <w:contextualSpacing/>
              <w:jc w:val="both"/>
            </w:pPr>
            <w:r w:rsidRPr="0028680E">
              <w:t>101 mm/h</w:t>
            </w:r>
            <w:r w:rsidR="00310A1E">
              <w:t xml:space="preserve"> (&lt;11)</w:t>
            </w:r>
          </w:p>
        </w:tc>
      </w:tr>
      <w:tr w:rsidR="0028680E" w:rsidRPr="0028680E" w14:paraId="393E016C" w14:textId="77777777" w:rsidTr="0028680E">
        <w:tc>
          <w:tcPr>
            <w:tcW w:w="4508" w:type="dxa"/>
          </w:tcPr>
          <w:p w14:paraId="571E13E3" w14:textId="41DD673F" w:rsidR="0028680E" w:rsidRPr="0028680E" w:rsidRDefault="0028680E" w:rsidP="000E1BAF">
            <w:pPr>
              <w:spacing w:line="480" w:lineRule="auto"/>
              <w:contextualSpacing/>
              <w:jc w:val="right"/>
            </w:pPr>
            <w:r w:rsidRPr="0028680E">
              <w:t>Fibrinogen</w:t>
            </w:r>
          </w:p>
        </w:tc>
        <w:tc>
          <w:tcPr>
            <w:tcW w:w="4508" w:type="dxa"/>
          </w:tcPr>
          <w:p w14:paraId="37EDCF7F" w14:textId="6A60CFEC" w:rsidR="0028680E" w:rsidRPr="0028680E" w:rsidRDefault="0028680E" w:rsidP="000379D3">
            <w:pPr>
              <w:spacing w:line="480" w:lineRule="auto"/>
              <w:contextualSpacing/>
              <w:jc w:val="both"/>
            </w:pPr>
            <w:r w:rsidRPr="0028680E">
              <w:t>5.9 g/L</w:t>
            </w:r>
            <w:r w:rsidR="00310A1E">
              <w:t xml:space="preserve"> (1.54 – 4.88)</w:t>
            </w:r>
          </w:p>
        </w:tc>
      </w:tr>
      <w:tr w:rsidR="0028680E" w:rsidRPr="0028680E" w14:paraId="1A072F90" w14:textId="77777777" w:rsidTr="0028680E">
        <w:tc>
          <w:tcPr>
            <w:tcW w:w="4508" w:type="dxa"/>
          </w:tcPr>
          <w:p w14:paraId="1AC94E40" w14:textId="37EFB7C7" w:rsidR="0028680E" w:rsidRPr="0028680E" w:rsidRDefault="0028680E" w:rsidP="000E1BAF">
            <w:pPr>
              <w:spacing w:line="480" w:lineRule="auto"/>
              <w:contextualSpacing/>
              <w:jc w:val="right"/>
            </w:pPr>
            <w:r w:rsidRPr="0028680E">
              <w:t>C reactive protein</w:t>
            </w:r>
          </w:p>
        </w:tc>
        <w:tc>
          <w:tcPr>
            <w:tcW w:w="4508" w:type="dxa"/>
          </w:tcPr>
          <w:p w14:paraId="37CBA1B3" w14:textId="5FA6E2DD" w:rsidR="0028680E" w:rsidRPr="0028680E" w:rsidRDefault="0028680E" w:rsidP="000379D3">
            <w:pPr>
              <w:spacing w:line="480" w:lineRule="auto"/>
              <w:contextualSpacing/>
              <w:jc w:val="both"/>
            </w:pPr>
            <w:r w:rsidRPr="0028680E">
              <w:t>146.2 mg/L</w:t>
            </w:r>
            <w:r w:rsidR="00310A1E">
              <w:t xml:space="preserve"> (&lt;5.0)</w:t>
            </w:r>
          </w:p>
        </w:tc>
      </w:tr>
      <w:tr w:rsidR="0028680E" w:rsidRPr="0028680E" w14:paraId="55A84C58" w14:textId="77777777" w:rsidTr="0028680E">
        <w:tc>
          <w:tcPr>
            <w:tcW w:w="4508" w:type="dxa"/>
          </w:tcPr>
          <w:p w14:paraId="20B8717E" w14:textId="3DEFC097" w:rsidR="0028680E" w:rsidRPr="0028680E" w:rsidRDefault="0028680E" w:rsidP="000E1BAF">
            <w:pPr>
              <w:spacing w:line="480" w:lineRule="auto"/>
              <w:contextualSpacing/>
              <w:jc w:val="right"/>
            </w:pPr>
            <w:r w:rsidRPr="0028680E">
              <w:t>Procalcitonin</w:t>
            </w:r>
          </w:p>
        </w:tc>
        <w:tc>
          <w:tcPr>
            <w:tcW w:w="4508" w:type="dxa"/>
          </w:tcPr>
          <w:p w14:paraId="5EE6C1DE" w14:textId="4F92B597" w:rsidR="0028680E" w:rsidRPr="0028680E" w:rsidRDefault="00045B47" w:rsidP="000379D3">
            <w:pPr>
              <w:spacing w:line="480" w:lineRule="auto"/>
              <w:contextualSpacing/>
              <w:jc w:val="both"/>
            </w:pPr>
            <w:r>
              <w:t>0.23 ng/mL</w:t>
            </w:r>
            <w:r w:rsidR="00310A1E">
              <w:t xml:space="preserve"> (&lt;0.06; if &gt;2.00 high risk of sepsis)</w:t>
            </w:r>
          </w:p>
        </w:tc>
      </w:tr>
      <w:tr w:rsidR="00310A1E" w:rsidRPr="0028680E" w14:paraId="446EC1EB" w14:textId="77777777" w:rsidTr="0028680E">
        <w:tc>
          <w:tcPr>
            <w:tcW w:w="4508" w:type="dxa"/>
          </w:tcPr>
          <w:p w14:paraId="301FBB78" w14:textId="320B69B9" w:rsidR="00310A1E" w:rsidRPr="0028680E" w:rsidRDefault="00310A1E" w:rsidP="00310A1E">
            <w:pPr>
              <w:spacing w:line="480" w:lineRule="auto"/>
              <w:contextualSpacing/>
              <w:jc w:val="right"/>
            </w:pPr>
            <w:r>
              <w:t>High sensitivity Troponin I (admission)</w:t>
            </w:r>
          </w:p>
        </w:tc>
        <w:tc>
          <w:tcPr>
            <w:tcW w:w="4508" w:type="dxa"/>
          </w:tcPr>
          <w:p w14:paraId="4C67C7F4" w14:textId="403CB02B" w:rsidR="00310A1E" w:rsidRDefault="00310A1E" w:rsidP="00310A1E">
            <w:pPr>
              <w:spacing w:line="480" w:lineRule="auto"/>
              <w:contextualSpacing/>
              <w:jc w:val="both"/>
            </w:pPr>
            <w:r>
              <w:t>7620pg/mL (&lt;34)</w:t>
            </w:r>
          </w:p>
        </w:tc>
      </w:tr>
      <w:tr w:rsidR="00310A1E" w:rsidRPr="0028680E" w14:paraId="0A0C8C9B" w14:textId="77777777" w:rsidTr="0028680E">
        <w:tc>
          <w:tcPr>
            <w:tcW w:w="4508" w:type="dxa"/>
          </w:tcPr>
          <w:p w14:paraId="3945BADE" w14:textId="7AE3AC81" w:rsidR="00310A1E" w:rsidRPr="0028680E" w:rsidRDefault="00310A1E" w:rsidP="00310A1E">
            <w:pPr>
              <w:spacing w:line="480" w:lineRule="auto"/>
              <w:contextualSpacing/>
              <w:jc w:val="right"/>
            </w:pPr>
            <w:r>
              <w:t>BNP (admission)</w:t>
            </w:r>
          </w:p>
        </w:tc>
        <w:tc>
          <w:tcPr>
            <w:tcW w:w="4508" w:type="dxa"/>
          </w:tcPr>
          <w:p w14:paraId="431EA77F" w14:textId="7AE8D4BA" w:rsidR="00310A1E" w:rsidRDefault="00310A1E" w:rsidP="00310A1E">
            <w:pPr>
              <w:spacing w:line="480" w:lineRule="auto"/>
              <w:contextualSpacing/>
              <w:jc w:val="both"/>
            </w:pPr>
            <w:r>
              <w:t>1903pg/mL (&lt;100)</w:t>
            </w:r>
          </w:p>
        </w:tc>
      </w:tr>
      <w:tr w:rsidR="00310A1E" w:rsidRPr="0028680E" w14:paraId="46761394" w14:textId="77777777" w:rsidTr="0028680E">
        <w:tc>
          <w:tcPr>
            <w:tcW w:w="4508" w:type="dxa"/>
          </w:tcPr>
          <w:p w14:paraId="3A1533FB" w14:textId="41D7C444" w:rsidR="00310A1E" w:rsidRDefault="00310A1E" w:rsidP="00310A1E">
            <w:pPr>
              <w:spacing w:line="480" w:lineRule="auto"/>
              <w:contextualSpacing/>
              <w:jc w:val="right"/>
            </w:pPr>
            <w:r>
              <w:t>Myoglobin</w:t>
            </w:r>
          </w:p>
        </w:tc>
        <w:tc>
          <w:tcPr>
            <w:tcW w:w="4508" w:type="dxa"/>
          </w:tcPr>
          <w:p w14:paraId="5A77F16F" w14:textId="4B13A14E" w:rsidR="00310A1E" w:rsidRDefault="00310A1E" w:rsidP="00310A1E">
            <w:pPr>
              <w:spacing w:line="480" w:lineRule="auto"/>
              <w:contextualSpacing/>
              <w:jc w:val="both"/>
            </w:pPr>
            <w:r>
              <w:t>44.6 ng/mL</w:t>
            </w:r>
            <w:r w:rsidR="00D10946">
              <w:t xml:space="preserve"> (&lt;155)</w:t>
            </w:r>
          </w:p>
        </w:tc>
      </w:tr>
      <w:tr w:rsidR="00310A1E" w:rsidRPr="0028680E" w14:paraId="3E384A3E" w14:textId="77777777" w:rsidTr="0028680E">
        <w:tc>
          <w:tcPr>
            <w:tcW w:w="4508" w:type="dxa"/>
          </w:tcPr>
          <w:p w14:paraId="4989B4A5" w14:textId="783138CC" w:rsidR="00310A1E" w:rsidRPr="0028680E" w:rsidRDefault="00310A1E" w:rsidP="00310A1E">
            <w:pPr>
              <w:spacing w:line="480" w:lineRule="auto"/>
              <w:contextualSpacing/>
              <w:jc w:val="right"/>
            </w:pPr>
            <w:r>
              <w:t>Serum amyloid A</w:t>
            </w:r>
          </w:p>
        </w:tc>
        <w:tc>
          <w:tcPr>
            <w:tcW w:w="4508" w:type="dxa"/>
          </w:tcPr>
          <w:p w14:paraId="42E3F4EF" w14:textId="4D853268" w:rsidR="00310A1E" w:rsidRDefault="00310A1E" w:rsidP="00310A1E">
            <w:pPr>
              <w:spacing w:line="480" w:lineRule="auto"/>
              <w:contextualSpacing/>
              <w:jc w:val="both"/>
            </w:pPr>
            <w:r>
              <w:t>111 mg/L</w:t>
            </w:r>
            <w:r w:rsidR="00D10946">
              <w:t xml:space="preserve"> (&lt;6)</w:t>
            </w:r>
          </w:p>
        </w:tc>
      </w:tr>
      <w:tr w:rsidR="00310A1E" w:rsidRPr="0028680E" w14:paraId="0DE0F4DA" w14:textId="77777777" w:rsidTr="0028680E">
        <w:tc>
          <w:tcPr>
            <w:tcW w:w="4508" w:type="dxa"/>
          </w:tcPr>
          <w:p w14:paraId="26E34EA4" w14:textId="405E2EE4" w:rsidR="00310A1E" w:rsidRPr="0028680E" w:rsidRDefault="00310A1E" w:rsidP="00310A1E">
            <w:pPr>
              <w:spacing w:line="480" w:lineRule="auto"/>
              <w:contextualSpacing/>
              <w:jc w:val="right"/>
            </w:pPr>
            <w:r>
              <w:t>Protein electrophoresis</w:t>
            </w:r>
          </w:p>
        </w:tc>
        <w:tc>
          <w:tcPr>
            <w:tcW w:w="4508" w:type="dxa"/>
          </w:tcPr>
          <w:p w14:paraId="794CAEF5" w14:textId="51F17054" w:rsidR="00310A1E" w:rsidRDefault="00310A1E" w:rsidP="00310A1E">
            <w:pPr>
              <w:spacing w:line="480" w:lineRule="auto"/>
              <w:contextualSpacing/>
              <w:jc w:val="both"/>
            </w:pPr>
            <w:r>
              <w:t>Albumin 29 g/L</w:t>
            </w:r>
            <w:r w:rsidR="00D10946">
              <w:t xml:space="preserve"> (36 – 55)</w:t>
            </w:r>
            <w:r>
              <w:t>, alfa 1 and alfa 2 peaks</w:t>
            </w:r>
          </w:p>
        </w:tc>
      </w:tr>
      <w:tr w:rsidR="00310A1E" w:rsidRPr="0028680E" w14:paraId="3B098AAA" w14:textId="77777777" w:rsidTr="0028680E">
        <w:tc>
          <w:tcPr>
            <w:tcW w:w="4508" w:type="dxa"/>
          </w:tcPr>
          <w:p w14:paraId="3485BEFC" w14:textId="2F21CCE6" w:rsidR="00310A1E" w:rsidRPr="0028680E" w:rsidRDefault="00310A1E" w:rsidP="00310A1E">
            <w:pPr>
              <w:spacing w:line="480" w:lineRule="auto"/>
              <w:contextualSpacing/>
              <w:jc w:val="right"/>
            </w:pPr>
            <w:r w:rsidRPr="0028680E">
              <w:t>Creatin kinase</w:t>
            </w:r>
          </w:p>
        </w:tc>
        <w:tc>
          <w:tcPr>
            <w:tcW w:w="4508" w:type="dxa"/>
          </w:tcPr>
          <w:p w14:paraId="09FC9C6C" w14:textId="25DC25E7" w:rsidR="00310A1E" w:rsidRPr="0028680E" w:rsidRDefault="00310A1E" w:rsidP="00310A1E">
            <w:pPr>
              <w:spacing w:line="480" w:lineRule="auto"/>
              <w:contextualSpacing/>
              <w:jc w:val="both"/>
            </w:pPr>
            <w:r w:rsidRPr="0028680E">
              <w:t>220 U/L</w:t>
            </w:r>
            <w:r w:rsidR="00D10946">
              <w:t xml:space="preserve"> (30 – 200)</w:t>
            </w:r>
          </w:p>
        </w:tc>
      </w:tr>
      <w:tr w:rsidR="00310A1E" w:rsidRPr="0028680E" w14:paraId="58C7F82B" w14:textId="77777777" w:rsidTr="0028680E">
        <w:tc>
          <w:tcPr>
            <w:tcW w:w="4508" w:type="dxa"/>
          </w:tcPr>
          <w:p w14:paraId="7FB11A73" w14:textId="4D65C748" w:rsidR="00310A1E" w:rsidRPr="0028680E" w:rsidRDefault="00310A1E" w:rsidP="00310A1E">
            <w:pPr>
              <w:spacing w:line="480" w:lineRule="auto"/>
              <w:contextualSpacing/>
              <w:jc w:val="right"/>
            </w:pPr>
            <w:r>
              <w:t>Anti CMV antibodies</w:t>
            </w:r>
          </w:p>
        </w:tc>
        <w:tc>
          <w:tcPr>
            <w:tcW w:w="4508" w:type="dxa"/>
          </w:tcPr>
          <w:p w14:paraId="4850A49D" w14:textId="776114F0" w:rsidR="00310A1E" w:rsidRPr="0028680E" w:rsidRDefault="00310A1E" w:rsidP="00310A1E">
            <w:pPr>
              <w:spacing w:line="480" w:lineRule="auto"/>
              <w:contextualSpacing/>
              <w:jc w:val="both"/>
            </w:pPr>
            <w:r>
              <w:t>IgG positive, IgM negative</w:t>
            </w:r>
          </w:p>
        </w:tc>
      </w:tr>
      <w:tr w:rsidR="00310A1E" w:rsidRPr="0028680E" w14:paraId="5858AD0E" w14:textId="77777777" w:rsidTr="0028680E">
        <w:tc>
          <w:tcPr>
            <w:tcW w:w="4508" w:type="dxa"/>
          </w:tcPr>
          <w:p w14:paraId="14E497E7" w14:textId="7C12B6F1" w:rsidR="00310A1E" w:rsidRDefault="00310A1E" w:rsidP="00310A1E">
            <w:pPr>
              <w:spacing w:line="480" w:lineRule="auto"/>
              <w:contextualSpacing/>
              <w:jc w:val="right"/>
            </w:pPr>
            <w:r>
              <w:t>CMV PCR (blood)</w:t>
            </w:r>
          </w:p>
        </w:tc>
        <w:tc>
          <w:tcPr>
            <w:tcW w:w="4508" w:type="dxa"/>
          </w:tcPr>
          <w:p w14:paraId="20A440DA" w14:textId="557B806E" w:rsidR="00310A1E" w:rsidRDefault="00310A1E" w:rsidP="00310A1E">
            <w:pPr>
              <w:spacing w:line="480" w:lineRule="auto"/>
              <w:contextualSpacing/>
              <w:jc w:val="both"/>
            </w:pPr>
            <w:r>
              <w:t>Negative</w:t>
            </w:r>
          </w:p>
        </w:tc>
      </w:tr>
      <w:tr w:rsidR="00310A1E" w:rsidRPr="0028680E" w14:paraId="0FDEC377" w14:textId="77777777" w:rsidTr="0028680E">
        <w:tc>
          <w:tcPr>
            <w:tcW w:w="4508" w:type="dxa"/>
          </w:tcPr>
          <w:p w14:paraId="48B6F82D" w14:textId="4F70F2C3" w:rsidR="00310A1E" w:rsidRDefault="00310A1E" w:rsidP="00310A1E">
            <w:pPr>
              <w:spacing w:line="480" w:lineRule="auto"/>
              <w:contextualSpacing/>
              <w:jc w:val="right"/>
            </w:pPr>
            <w:r>
              <w:t>Anti-EBV antibodies</w:t>
            </w:r>
          </w:p>
        </w:tc>
        <w:tc>
          <w:tcPr>
            <w:tcW w:w="4508" w:type="dxa"/>
          </w:tcPr>
          <w:p w14:paraId="2E5BB941" w14:textId="76706A69" w:rsidR="00310A1E" w:rsidRDefault="00310A1E" w:rsidP="00310A1E">
            <w:pPr>
              <w:spacing w:line="480" w:lineRule="auto"/>
              <w:contextualSpacing/>
              <w:jc w:val="both"/>
            </w:pPr>
            <w:r>
              <w:t>VCA IgG positive, VCA IgM negative, EA IgG negative, EBNA IgG positive</w:t>
            </w:r>
          </w:p>
        </w:tc>
      </w:tr>
      <w:tr w:rsidR="00310A1E" w:rsidRPr="0028680E" w14:paraId="680E7C19" w14:textId="77777777" w:rsidTr="0028680E">
        <w:tc>
          <w:tcPr>
            <w:tcW w:w="4508" w:type="dxa"/>
          </w:tcPr>
          <w:p w14:paraId="245DE952" w14:textId="730C280E" w:rsidR="00310A1E" w:rsidRDefault="00310A1E" w:rsidP="00310A1E">
            <w:pPr>
              <w:spacing w:line="480" w:lineRule="auto"/>
              <w:contextualSpacing/>
              <w:jc w:val="right"/>
            </w:pPr>
            <w:r>
              <w:t>EBV PCR (blood)</w:t>
            </w:r>
          </w:p>
        </w:tc>
        <w:tc>
          <w:tcPr>
            <w:tcW w:w="4508" w:type="dxa"/>
          </w:tcPr>
          <w:p w14:paraId="41CCC781" w14:textId="6FE06A40" w:rsidR="00310A1E" w:rsidRDefault="00310A1E" w:rsidP="00310A1E">
            <w:pPr>
              <w:spacing w:line="480" w:lineRule="auto"/>
              <w:contextualSpacing/>
              <w:jc w:val="both"/>
            </w:pPr>
            <w:r>
              <w:t>Negative</w:t>
            </w:r>
          </w:p>
        </w:tc>
      </w:tr>
      <w:tr w:rsidR="00310A1E" w:rsidRPr="0028680E" w14:paraId="5C2666D0" w14:textId="77777777" w:rsidTr="0028680E">
        <w:tc>
          <w:tcPr>
            <w:tcW w:w="4508" w:type="dxa"/>
          </w:tcPr>
          <w:p w14:paraId="394D73CB" w14:textId="2FF3ADEF" w:rsidR="00310A1E" w:rsidRDefault="00310A1E" w:rsidP="00310A1E">
            <w:pPr>
              <w:spacing w:line="480" w:lineRule="auto"/>
              <w:contextualSpacing/>
              <w:jc w:val="right"/>
            </w:pPr>
            <w:r>
              <w:t>Anti-Parvovirus B19 antibodies</w:t>
            </w:r>
          </w:p>
        </w:tc>
        <w:tc>
          <w:tcPr>
            <w:tcW w:w="4508" w:type="dxa"/>
          </w:tcPr>
          <w:p w14:paraId="6B5FFAD3" w14:textId="412F29C7" w:rsidR="00310A1E" w:rsidRDefault="00310A1E" w:rsidP="00310A1E">
            <w:pPr>
              <w:spacing w:line="480" w:lineRule="auto"/>
              <w:contextualSpacing/>
              <w:jc w:val="both"/>
            </w:pPr>
            <w:r>
              <w:t>Negative</w:t>
            </w:r>
          </w:p>
        </w:tc>
      </w:tr>
      <w:tr w:rsidR="00310A1E" w:rsidRPr="0028680E" w14:paraId="5F459FA8" w14:textId="77777777" w:rsidTr="0028680E">
        <w:tc>
          <w:tcPr>
            <w:tcW w:w="4508" w:type="dxa"/>
          </w:tcPr>
          <w:p w14:paraId="43740A56" w14:textId="4EDD80DB" w:rsidR="00310A1E" w:rsidRDefault="00310A1E" w:rsidP="00310A1E">
            <w:pPr>
              <w:spacing w:line="480" w:lineRule="auto"/>
              <w:contextualSpacing/>
              <w:jc w:val="right"/>
            </w:pPr>
            <w:r>
              <w:t>Parvovirus B19 PCR (blood)</w:t>
            </w:r>
          </w:p>
        </w:tc>
        <w:tc>
          <w:tcPr>
            <w:tcW w:w="4508" w:type="dxa"/>
          </w:tcPr>
          <w:p w14:paraId="55BD6E84" w14:textId="59B78330" w:rsidR="00310A1E" w:rsidRDefault="00310A1E" w:rsidP="00310A1E">
            <w:pPr>
              <w:spacing w:line="480" w:lineRule="auto"/>
              <w:contextualSpacing/>
              <w:jc w:val="both"/>
            </w:pPr>
            <w:r>
              <w:t>Negative</w:t>
            </w:r>
          </w:p>
        </w:tc>
      </w:tr>
      <w:tr w:rsidR="00310A1E" w:rsidRPr="0028680E" w14:paraId="2F26F9AC" w14:textId="77777777" w:rsidTr="0028680E">
        <w:tc>
          <w:tcPr>
            <w:tcW w:w="4508" w:type="dxa"/>
          </w:tcPr>
          <w:p w14:paraId="4E40D4EF" w14:textId="677B02FE" w:rsidR="00310A1E" w:rsidRDefault="00310A1E" w:rsidP="00310A1E">
            <w:pPr>
              <w:spacing w:line="480" w:lineRule="auto"/>
              <w:contextualSpacing/>
              <w:jc w:val="right"/>
            </w:pPr>
            <w:r>
              <w:t>Anti-</w:t>
            </w:r>
            <w:r w:rsidRPr="0028680E">
              <w:rPr>
                <w:i/>
                <w:iCs/>
              </w:rPr>
              <w:t>Mycoplasma pneumoniae</w:t>
            </w:r>
            <w:r>
              <w:t xml:space="preserve"> antibodies</w:t>
            </w:r>
          </w:p>
        </w:tc>
        <w:tc>
          <w:tcPr>
            <w:tcW w:w="4508" w:type="dxa"/>
          </w:tcPr>
          <w:p w14:paraId="2835B329" w14:textId="5521F766" w:rsidR="00310A1E" w:rsidRDefault="00310A1E" w:rsidP="00310A1E">
            <w:pPr>
              <w:spacing w:line="480" w:lineRule="auto"/>
              <w:contextualSpacing/>
              <w:jc w:val="both"/>
            </w:pPr>
            <w:r>
              <w:t>Negative</w:t>
            </w:r>
          </w:p>
        </w:tc>
      </w:tr>
      <w:tr w:rsidR="00310A1E" w:rsidRPr="0028680E" w14:paraId="2DFBDF42" w14:textId="77777777" w:rsidTr="0028680E">
        <w:tc>
          <w:tcPr>
            <w:tcW w:w="4508" w:type="dxa"/>
          </w:tcPr>
          <w:p w14:paraId="1B87CC7C" w14:textId="00559BEC" w:rsidR="00310A1E" w:rsidRDefault="00310A1E" w:rsidP="00310A1E">
            <w:pPr>
              <w:spacing w:line="480" w:lineRule="auto"/>
              <w:contextualSpacing/>
              <w:jc w:val="right"/>
            </w:pPr>
            <w:r>
              <w:t>Anti-Adenovirus antibodies</w:t>
            </w:r>
          </w:p>
        </w:tc>
        <w:tc>
          <w:tcPr>
            <w:tcW w:w="4508" w:type="dxa"/>
          </w:tcPr>
          <w:p w14:paraId="43BC6858" w14:textId="03810711" w:rsidR="00310A1E" w:rsidRDefault="00310A1E" w:rsidP="00310A1E">
            <w:pPr>
              <w:spacing w:line="480" w:lineRule="auto"/>
              <w:contextualSpacing/>
              <w:jc w:val="both"/>
            </w:pPr>
            <w:r>
              <w:t>IgG positive, IgM negative</w:t>
            </w:r>
          </w:p>
        </w:tc>
      </w:tr>
      <w:tr w:rsidR="00310A1E" w:rsidRPr="0028680E" w14:paraId="03EFF047" w14:textId="77777777" w:rsidTr="0028680E">
        <w:tc>
          <w:tcPr>
            <w:tcW w:w="4508" w:type="dxa"/>
          </w:tcPr>
          <w:p w14:paraId="25C49B37" w14:textId="0C421AA6" w:rsidR="00310A1E" w:rsidRDefault="00310A1E" w:rsidP="00310A1E">
            <w:pPr>
              <w:spacing w:line="480" w:lineRule="auto"/>
              <w:contextualSpacing/>
              <w:jc w:val="right"/>
            </w:pPr>
            <w:r>
              <w:t>Adenovirus antigen in stool</w:t>
            </w:r>
          </w:p>
        </w:tc>
        <w:tc>
          <w:tcPr>
            <w:tcW w:w="4508" w:type="dxa"/>
          </w:tcPr>
          <w:p w14:paraId="028358BD" w14:textId="4566126A" w:rsidR="00310A1E" w:rsidRDefault="00310A1E" w:rsidP="00310A1E">
            <w:pPr>
              <w:spacing w:line="480" w:lineRule="auto"/>
              <w:contextualSpacing/>
              <w:jc w:val="both"/>
            </w:pPr>
            <w:r>
              <w:t>Negative</w:t>
            </w:r>
          </w:p>
        </w:tc>
      </w:tr>
      <w:tr w:rsidR="00310A1E" w:rsidRPr="0028680E" w14:paraId="2B9AA0F0" w14:textId="77777777" w:rsidTr="0028680E">
        <w:tc>
          <w:tcPr>
            <w:tcW w:w="4508" w:type="dxa"/>
          </w:tcPr>
          <w:p w14:paraId="05DADE02" w14:textId="3AC0969A" w:rsidR="00310A1E" w:rsidRDefault="00310A1E" w:rsidP="00310A1E">
            <w:pPr>
              <w:spacing w:line="480" w:lineRule="auto"/>
              <w:contextualSpacing/>
              <w:jc w:val="right"/>
            </w:pPr>
            <w:r>
              <w:t>Anti-Influenza antibodies</w:t>
            </w:r>
          </w:p>
        </w:tc>
        <w:tc>
          <w:tcPr>
            <w:tcW w:w="4508" w:type="dxa"/>
          </w:tcPr>
          <w:p w14:paraId="3883993E" w14:textId="07F8D66B" w:rsidR="00310A1E" w:rsidRDefault="00310A1E" w:rsidP="00310A1E">
            <w:pPr>
              <w:spacing w:line="480" w:lineRule="auto"/>
              <w:contextualSpacing/>
              <w:jc w:val="both"/>
            </w:pPr>
            <w:r>
              <w:t>IgG positive, IgM negative</w:t>
            </w:r>
          </w:p>
        </w:tc>
      </w:tr>
      <w:tr w:rsidR="00310A1E" w:rsidRPr="0028680E" w14:paraId="22A5C5AB" w14:textId="77777777" w:rsidTr="0028680E">
        <w:tc>
          <w:tcPr>
            <w:tcW w:w="4508" w:type="dxa"/>
          </w:tcPr>
          <w:p w14:paraId="5E248B35" w14:textId="248FB48B" w:rsidR="00310A1E" w:rsidRDefault="00310A1E" w:rsidP="00310A1E">
            <w:pPr>
              <w:spacing w:line="480" w:lineRule="auto"/>
              <w:contextualSpacing/>
              <w:jc w:val="right"/>
            </w:pPr>
            <w:r>
              <w:t>Anti-streptolysin O antibodies</w:t>
            </w:r>
          </w:p>
        </w:tc>
        <w:tc>
          <w:tcPr>
            <w:tcW w:w="4508" w:type="dxa"/>
          </w:tcPr>
          <w:p w14:paraId="3AFD4DFD" w14:textId="48908111" w:rsidR="00310A1E" w:rsidRDefault="00310A1E" w:rsidP="00310A1E">
            <w:pPr>
              <w:spacing w:line="480" w:lineRule="auto"/>
              <w:contextualSpacing/>
              <w:jc w:val="both"/>
            </w:pPr>
            <w:r>
              <w:t>Negative</w:t>
            </w:r>
          </w:p>
        </w:tc>
      </w:tr>
      <w:tr w:rsidR="00310A1E" w:rsidRPr="0028680E" w14:paraId="37DC53F0" w14:textId="77777777" w:rsidTr="0028680E">
        <w:tc>
          <w:tcPr>
            <w:tcW w:w="4508" w:type="dxa"/>
          </w:tcPr>
          <w:p w14:paraId="177A25FD" w14:textId="0054A433" w:rsidR="00310A1E" w:rsidRDefault="00310A1E" w:rsidP="00310A1E">
            <w:pPr>
              <w:spacing w:line="480" w:lineRule="auto"/>
              <w:contextualSpacing/>
              <w:jc w:val="right"/>
            </w:pPr>
            <w:r>
              <w:lastRenderedPageBreak/>
              <w:t>Anti-DNase B antibody</w:t>
            </w:r>
          </w:p>
        </w:tc>
        <w:tc>
          <w:tcPr>
            <w:tcW w:w="4508" w:type="dxa"/>
          </w:tcPr>
          <w:p w14:paraId="44101401" w14:textId="421F3E2E" w:rsidR="00310A1E" w:rsidRDefault="00310A1E" w:rsidP="00310A1E">
            <w:pPr>
              <w:spacing w:line="480" w:lineRule="auto"/>
              <w:contextualSpacing/>
              <w:jc w:val="both"/>
            </w:pPr>
            <w:r>
              <w:t>259 U/mL</w:t>
            </w:r>
            <w:r w:rsidR="00D10946">
              <w:t xml:space="preserve"> (0 – 200)</w:t>
            </w:r>
          </w:p>
        </w:tc>
      </w:tr>
      <w:tr w:rsidR="00310A1E" w:rsidRPr="0028680E" w14:paraId="56B89117" w14:textId="77777777" w:rsidTr="0028680E">
        <w:tc>
          <w:tcPr>
            <w:tcW w:w="4508" w:type="dxa"/>
          </w:tcPr>
          <w:p w14:paraId="0C771BE5" w14:textId="54C23588" w:rsidR="00310A1E" w:rsidRDefault="00310A1E" w:rsidP="00310A1E">
            <w:pPr>
              <w:spacing w:line="480" w:lineRule="auto"/>
              <w:contextualSpacing/>
              <w:jc w:val="right"/>
            </w:pPr>
            <w:r>
              <w:t xml:space="preserve">Anti-hepatitis C virus antibodies </w:t>
            </w:r>
          </w:p>
        </w:tc>
        <w:tc>
          <w:tcPr>
            <w:tcW w:w="4508" w:type="dxa"/>
          </w:tcPr>
          <w:p w14:paraId="5075EAAB" w14:textId="02176946" w:rsidR="00310A1E" w:rsidRDefault="00310A1E" w:rsidP="00310A1E">
            <w:pPr>
              <w:spacing w:line="480" w:lineRule="auto"/>
              <w:contextualSpacing/>
              <w:jc w:val="both"/>
            </w:pPr>
            <w:r>
              <w:t>Negative</w:t>
            </w:r>
          </w:p>
        </w:tc>
      </w:tr>
      <w:tr w:rsidR="00310A1E" w:rsidRPr="0028680E" w14:paraId="62961CEE" w14:textId="77777777" w:rsidTr="0028680E">
        <w:tc>
          <w:tcPr>
            <w:tcW w:w="4508" w:type="dxa"/>
          </w:tcPr>
          <w:p w14:paraId="460AE1E5" w14:textId="377E9B5C" w:rsidR="00310A1E" w:rsidRDefault="00310A1E" w:rsidP="00310A1E">
            <w:pPr>
              <w:spacing w:line="480" w:lineRule="auto"/>
              <w:contextualSpacing/>
              <w:jc w:val="right"/>
            </w:pPr>
            <w:r>
              <w:t>Anti-HIV 1 and 2 antibodies</w:t>
            </w:r>
          </w:p>
        </w:tc>
        <w:tc>
          <w:tcPr>
            <w:tcW w:w="4508" w:type="dxa"/>
          </w:tcPr>
          <w:p w14:paraId="2A88F119" w14:textId="5CF06A84" w:rsidR="00310A1E" w:rsidRDefault="00310A1E" w:rsidP="00310A1E">
            <w:pPr>
              <w:spacing w:line="480" w:lineRule="auto"/>
              <w:contextualSpacing/>
              <w:jc w:val="both"/>
            </w:pPr>
            <w:r>
              <w:t>Negative</w:t>
            </w:r>
          </w:p>
        </w:tc>
      </w:tr>
      <w:tr w:rsidR="00310A1E" w:rsidRPr="0028680E" w14:paraId="579F7140" w14:textId="77777777" w:rsidTr="0028680E">
        <w:tc>
          <w:tcPr>
            <w:tcW w:w="4508" w:type="dxa"/>
          </w:tcPr>
          <w:p w14:paraId="31C9DFDF" w14:textId="7C828C9B" w:rsidR="00310A1E" w:rsidRDefault="00310A1E" w:rsidP="00310A1E">
            <w:pPr>
              <w:spacing w:line="480" w:lineRule="auto"/>
              <w:contextualSpacing/>
              <w:jc w:val="right"/>
            </w:pPr>
            <w:r>
              <w:t>VDRL antibodies</w:t>
            </w:r>
          </w:p>
        </w:tc>
        <w:tc>
          <w:tcPr>
            <w:tcW w:w="4508" w:type="dxa"/>
          </w:tcPr>
          <w:p w14:paraId="289E2FE0" w14:textId="610980D6" w:rsidR="00310A1E" w:rsidRDefault="00310A1E" w:rsidP="00310A1E">
            <w:pPr>
              <w:spacing w:line="480" w:lineRule="auto"/>
              <w:contextualSpacing/>
              <w:jc w:val="both"/>
            </w:pPr>
            <w:r>
              <w:t>Negative</w:t>
            </w:r>
          </w:p>
        </w:tc>
      </w:tr>
      <w:tr w:rsidR="00310A1E" w:rsidRPr="0028680E" w14:paraId="75229942" w14:textId="77777777" w:rsidTr="0028680E">
        <w:tc>
          <w:tcPr>
            <w:tcW w:w="4508" w:type="dxa"/>
          </w:tcPr>
          <w:p w14:paraId="69EB7003" w14:textId="430C0261" w:rsidR="00310A1E" w:rsidRPr="00BF1D84" w:rsidRDefault="00310A1E" w:rsidP="00310A1E">
            <w:pPr>
              <w:spacing w:line="480" w:lineRule="auto"/>
              <w:contextualSpacing/>
              <w:jc w:val="right"/>
            </w:pPr>
            <w:r>
              <w:t>Anti-</w:t>
            </w:r>
            <w:r>
              <w:rPr>
                <w:i/>
                <w:iCs/>
              </w:rPr>
              <w:t>Toxoplasma gondii</w:t>
            </w:r>
            <w:r>
              <w:t xml:space="preserve"> antibodies</w:t>
            </w:r>
          </w:p>
        </w:tc>
        <w:tc>
          <w:tcPr>
            <w:tcW w:w="4508" w:type="dxa"/>
          </w:tcPr>
          <w:p w14:paraId="0835058D" w14:textId="21C66C0D" w:rsidR="00310A1E" w:rsidRDefault="00310A1E" w:rsidP="00310A1E">
            <w:pPr>
              <w:spacing w:line="480" w:lineRule="auto"/>
              <w:contextualSpacing/>
              <w:jc w:val="both"/>
            </w:pPr>
            <w:r>
              <w:t>Negative</w:t>
            </w:r>
          </w:p>
        </w:tc>
      </w:tr>
      <w:tr w:rsidR="00310A1E" w:rsidRPr="0028680E" w14:paraId="2CEF1AE7" w14:textId="77777777" w:rsidTr="0028680E">
        <w:tc>
          <w:tcPr>
            <w:tcW w:w="4508" w:type="dxa"/>
          </w:tcPr>
          <w:p w14:paraId="6BCF4829" w14:textId="57071035" w:rsidR="00310A1E" w:rsidRDefault="00310A1E" w:rsidP="00310A1E">
            <w:pPr>
              <w:spacing w:line="480" w:lineRule="auto"/>
              <w:contextualSpacing/>
              <w:jc w:val="right"/>
            </w:pPr>
            <w:r>
              <w:t>Bengal rose reaction</w:t>
            </w:r>
          </w:p>
        </w:tc>
        <w:tc>
          <w:tcPr>
            <w:tcW w:w="4508" w:type="dxa"/>
          </w:tcPr>
          <w:p w14:paraId="0A104336" w14:textId="52504154" w:rsidR="00310A1E" w:rsidRDefault="00310A1E" w:rsidP="00310A1E">
            <w:pPr>
              <w:spacing w:line="480" w:lineRule="auto"/>
              <w:contextualSpacing/>
              <w:jc w:val="both"/>
            </w:pPr>
            <w:r>
              <w:t>Negative</w:t>
            </w:r>
          </w:p>
        </w:tc>
      </w:tr>
      <w:tr w:rsidR="00310A1E" w:rsidRPr="0028680E" w14:paraId="382DD9BD" w14:textId="77777777" w:rsidTr="0028680E">
        <w:tc>
          <w:tcPr>
            <w:tcW w:w="4508" w:type="dxa"/>
          </w:tcPr>
          <w:p w14:paraId="3E9F37B8" w14:textId="128E6AF5" w:rsidR="00310A1E" w:rsidRDefault="00310A1E" w:rsidP="00310A1E">
            <w:pPr>
              <w:spacing w:line="480" w:lineRule="auto"/>
              <w:contextualSpacing/>
              <w:jc w:val="right"/>
            </w:pPr>
            <w:r>
              <w:t>Rickettsia serologies</w:t>
            </w:r>
          </w:p>
        </w:tc>
        <w:tc>
          <w:tcPr>
            <w:tcW w:w="4508" w:type="dxa"/>
          </w:tcPr>
          <w:p w14:paraId="7D2965A8" w14:textId="0AB4A7AD" w:rsidR="00310A1E" w:rsidRDefault="00310A1E" w:rsidP="00310A1E">
            <w:pPr>
              <w:spacing w:line="480" w:lineRule="auto"/>
              <w:contextualSpacing/>
              <w:jc w:val="both"/>
            </w:pPr>
            <w:r>
              <w:t>Negative</w:t>
            </w:r>
          </w:p>
        </w:tc>
      </w:tr>
      <w:tr w:rsidR="00310A1E" w:rsidRPr="0028680E" w14:paraId="6E74978E" w14:textId="77777777" w:rsidTr="0028680E">
        <w:tc>
          <w:tcPr>
            <w:tcW w:w="4508" w:type="dxa"/>
          </w:tcPr>
          <w:p w14:paraId="578BD499" w14:textId="58A66DDF" w:rsidR="00310A1E" w:rsidRDefault="00310A1E" w:rsidP="00310A1E">
            <w:pPr>
              <w:spacing w:line="480" w:lineRule="auto"/>
              <w:contextualSpacing/>
              <w:jc w:val="right"/>
            </w:pPr>
            <w:r>
              <w:t>Rickettsia PCR</w:t>
            </w:r>
          </w:p>
        </w:tc>
        <w:tc>
          <w:tcPr>
            <w:tcW w:w="4508" w:type="dxa"/>
          </w:tcPr>
          <w:p w14:paraId="2A67E2CD" w14:textId="02F19D37" w:rsidR="00310A1E" w:rsidRDefault="00310A1E" w:rsidP="00310A1E">
            <w:pPr>
              <w:spacing w:line="480" w:lineRule="auto"/>
              <w:contextualSpacing/>
              <w:jc w:val="both"/>
            </w:pPr>
            <w:r>
              <w:t>Negative</w:t>
            </w:r>
          </w:p>
        </w:tc>
      </w:tr>
      <w:tr w:rsidR="00310A1E" w:rsidRPr="0028680E" w14:paraId="6C939CA4" w14:textId="77777777" w:rsidTr="0028680E">
        <w:tc>
          <w:tcPr>
            <w:tcW w:w="4508" w:type="dxa"/>
          </w:tcPr>
          <w:p w14:paraId="7ADA392B" w14:textId="1AAE1433" w:rsidR="00310A1E" w:rsidRPr="000E1BAF" w:rsidRDefault="00310A1E" w:rsidP="00310A1E">
            <w:pPr>
              <w:spacing w:line="480" w:lineRule="auto"/>
              <w:contextualSpacing/>
              <w:jc w:val="right"/>
            </w:pPr>
            <w:r>
              <w:t>Anti-</w:t>
            </w:r>
            <w:r>
              <w:rPr>
                <w:i/>
                <w:iCs/>
              </w:rPr>
              <w:t xml:space="preserve">Coxiella </w:t>
            </w:r>
            <w:proofErr w:type="spellStart"/>
            <w:r>
              <w:rPr>
                <w:i/>
                <w:iCs/>
              </w:rPr>
              <w:t>burnetii</w:t>
            </w:r>
            <w:proofErr w:type="spellEnd"/>
            <w:r>
              <w:t xml:space="preserve"> antibodies</w:t>
            </w:r>
          </w:p>
        </w:tc>
        <w:tc>
          <w:tcPr>
            <w:tcW w:w="4508" w:type="dxa"/>
          </w:tcPr>
          <w:p w14:paraId="20D027CD" w14:textId="515FAE07" w:rsidR="00310A1E" w:rsidRDefault="00310A1E" w:rsidP="00310A1E">
            <w:pPr>
              <w:spacing w:line="480" w:lineRule="auto"/>
              <w:contextualSpacing/>
              <w:jc w:val="both"/>
            </w:pPr>
            <w:r>
              <w:t>Negative</w:t>
            </w:r>
          </w:p>
        </w:tc>
      </w:tr>
      <w:tr w:rsidR="00310A1E" w:rsidRPr="0028680E" w14:paraId="642C9387" w14:textId="77777777" w:rsidTr="0028680E">
        <w:tc>
          <w:tcPr>
            <w:tcW w:w="4508" w:type="dxa"/>
          </w:tcPr>
          <w:p w14:paraId="7087DF85" w14:textId="6B8E0D3E" w:rsidR="00310A1E" w:rsidRPr="000E1BAF" w:rsidRDefault="00310A1E" w:rsidP="00310A1E">
            <w:pPr>
              <w:spacing w:line="480" w:lineRule="auto"/>
              <w:contextualSpacing/>
              <w:jc w:val="right"/>
            </w:pPr>
            <w:r>
              <w:t>Anti-</w:t>
            </w:r>
            <w:r>
              <w:rPr>
                <w:i/>
                <w:iCs/>
              </w:rPr>
              <w:t>Borrelia burgdorferi</w:t>
            </w:r>
            <w:r>
              <w:t xml:space="preserve"> antibodies</w:t>
            </w:r>
          </w:p>
        </w:tc>
        <w:tc>
          <w:tcPr>
            <w:tcW w:w="4508" w:type="dxa"/>
          </w:tcPr>
          <w:p w14:paraId="2796EDC6" w14:textId="5333EB88" w:rsidR="00310A1E" w:rsidRDefault="00310A1E" w:rsidP="00310A1E">
            <w:pPr>
              <w:spacing w:line="480" w:lineRule="auto"/>
              <w:contextualSpacing/>
              <w:jc w:val="both"/>
            </w:pPr>
            <w:r>
              <w:t>Negative</w:t>
            </w:r>
          </w:p>
        </w:tc>
      </w:tr>
      <w:tr w:rsidR="00310A1E" w:rsidRPr="0028680E" w14:paraId="502442E1" w14:textId="77777777" w:rsidTr="0028680E">
        <w:tc>
          <w:tcPr>
            <w:tcW w:w="4508" w:type="dxa"/>
          </w:tcPr>
          <w:p w14:paraId="5EC877BE" w14:textId="0FC1D094" w:rsidR="00310A1E" w:rsidRDefault="00310A1E" w:rsidP="00310A1E">
            <w:pPr>
              <w:spacing w:line="480" w:lineRule="auto"/>
              <w:contextualSpacing/>
              <w:jc w:val="right"/>
            </w:pPr>
            <w:r>
              <w:t>Respiratory secretions PCR</w:t>
            </w:r>
          </w:p>
        </w:tc>
        <w:tc>
          <w:tcPr>
            <w:tcW w:w="4508" w:type="dxa"/>
          </w:tcPr>
          <w:p w14:paraId="4BA69162" w14:textId="196B8553" w:rsidR="00310A1E" w:rsidRDefault="00310A1E" w:rsidP="00310A1E">
            <w:pPr>
              <w:spacing w:line="480" w:lineRule="auto"/>
              <w:contextualSpacing/>
              <w:jc w:val="both"/>
            </w:pPr>
            <w:r>
              <w:t xml:space="preserve">Negative (for Adenovirus, Bocavirus, Coronavirus 43, Coronavirus 63, Coronavirus 229, Enterovirus, Influenza A and B, Metapneumovirus, </w:t>
            </w:r>
            <w:proofErr w:type="spellStart"/>
            <w:r>
              <w:t>Parechovirus</w:t>
            </w:r>
            <w:proofErr w:type="spellEnd"/>
            <w:r>
              <w:t xml:space="preserve">, Parainfluenza 1-4, Rhinovirus, RSV, and </w:t>
            </w:r>
            <w:r>
              <w:rPr>
                <w:i/>
                <w:iCs/>
              </w:rPr>
              <w:t>Mycoplasma pneumoniae</w:t>
            </w:r>
            <w:r>
              <w:t>)</w:t>
            </w:r>
          </w:p>
        </w:tc>
      </w:tr>
      <w:tr w:rsidR="00310A1E" w:rsidRPr="0028680E" w14:paraId="13F29521" w14:textId="77777777" w:rsidTr="0028680E">
        <w:tc>
          <w:tcPr>
            <w:tcW w:w="4508" w:type="dxa"/>
          </w:tcPr>
          <w:p w14:paraId="244C26A4" w14:textId="4CE68689" w:rsidR="00310A1E" w:rsidRDefault="00310A1E" w:rsidP="00310A1E">
            <w:pPr>
              <w:spacing w:line="480" w:lineRule="auto"/>
              <w:contextualSpacing/>
              <w:jc w:val="right"/>
            </w:pPr>
            <w:r>
              <w:t>Blood cultures (2)</w:t>
            </w:r>
          </w:p>
        </w:tc>
        <w:tc>
          <w:tcPr>
            <w:tcW w:w="4508" w:type="dxa"/>
          </w:tcPr>
          <w:p w14:paraId="1873222B" w14:textId="42C41740" w:rsidR="00310A1E" w:rsidRDefault="00310A1E" w:rsidP="00310A1E">
            <w:pPr>
              <w:spacing w:line="480" w:lineRule="auto"/>
              <w:contextualSpacing/>
              <w:jc w:val="both"/>
            </w:pPr>
            <w:r>
              <w:t>Negative</w:t>
            </w:r>
          </w:p>
        </w:tc>
      </w:tr>
      <w:tr w:rsidR="00310A1E" w:rsidRPr="00F87207" w14:paraId="7D206B20" w14:textId="77777777" w:rsidTr="0028680E">
        <w:tc>
          <w:tcPr>
            <w:tcW w:w="4508" w:type="dxa"/>
          </w:tcPr>
          <w:p w14:paraId="50A02422" w14:textId="10CF61D6" w:rsidR="00310A1E" w:rsidRPr="00F87207" w:rsidRDefault="00310A1E" w:rsidP="00310A1E">
            <w:pPr>
              <w:spacing w:line="480" w:lineRule="auto"/>
              <w:contextualSpacing/>
              <w:jc w:val="right"/>
              <w:rPr>
                <w:b/>
                <w:bCs/>
              </w:rPr>
            </w:pPr>
            <w:r w:rsidRPr="00F87207">
              <w:rPr>
                <w:b/>
                <w:bCs/>
                <w:i/>
                <w:iCs/>
              </w:rPr>
              <w:t>Leptospira</w:t>
            </w:r>
            <w:r w:rsidRPr="00F87207">
              <w:rPr>
                <w:b/>
                <w:bCs/>
              </w:rPr>
              <w:t xml:space="preserve"> tests</w:t>
            </w:r>
            <w:r>
              <w:rPr>
                <w:b/>
                <w:bCs/>
              </w:rPr>
              <w:t xml:space="preserve"> (urine)</w:t>
            </w:r>
          </w:p>
        </w:tc>
        <w:tc>
          <w:tcPr>
            <w:tcW w:w="4508" w:type="dxa"/>
          </w:tcPr>
          <w:p w14:paraId="2A96FACE" w14:textId="62FC9568" w:rsidR="00310A1E" w:rsidRPr="00F87207" w:rsidRDefault="00310A1E" w:rsidP="00310A1E">
            <w:pPr>
              <w:spacing w:line="480" w:lineRule="auto"/>
              <w:contextualSpacing/>
              <w:jc w:val="both"/>
              <w:rPr>
                <w:b/>
                <w:bCs/>
              </w:rPr>
            </w:pPr>
            <w:r w:rsidRPr="00F87207">
              <w:rPr>
                <w:b/>
                <w:bCs/>
              </w:rPr>
              <w:t>Positive direct observation</w:t>
            </w:r>
            <w:r>
              <w:rPr>
                <w:b/>
                <w:bCs/>
              </w:rPr>
              <w:t xml:space="preserve"> on dark field microscopy</w:t>
            </w:r>
            <w:r w:rsidRPr="00F87207">
              <w:rPr>
                <w:b/>
                <w:bCs/>
              </w:rPr>
              <w:t>, inconclusive serology, negative PCR</w:t>
            </w:r>
          </w:p>
        </w:tc>
      </w:tr>
      <w:tr w:rsidR="00310A1E" w:rsidRPr="0028680E" w14:paraId="28D5C09F" w14:textId="77777777" w:rsidTr="0028680E">
        <w:tc>
          <w:tcPr>
            <w:tcW w:w="4508" w:type="dxa"/>
          </w:tcPr>
          <w:p w14:paraId="5A012C2A" w14:textId="2CB1CCDB" w:rsidR="00310A1E" w:rsidRPr="00F87207" w:rsidRDefault="00310A1E" w:rsidP="00310A1E">
            <w:pPr>
              <w:spacing w:line="480" w:lineRule="auto"/>
              <w:contextualSpacing/>
              <w:jc w:val="right"/>
            </w:pPr>
            <w:r>
              <w:t>Viral tests on endomyocardial biopsy</w:t>
            </w:r>
          </w:p>
        </w:tc>
        <w:tc>
          <w:tcPr>
            <w:tcW w:w="4508" w:type="dxa"/>
          </w:tcPr>
          <w:p w14:paraId="7A083B3E" w14:textId="7F41D8A6" w:rsidR="00310A1E" w:rsidRDefault="00310A1E" w:rsidP="00310A1E">
            <w:pPr>
              <w:spacing w:line="480" w:lineRule="auto"/>
              <w:contextualSpacing/>
              <w:jc w:val="both"/>
            </w:pPr>
            <w:r>
              <w:t>Negative (for Enterovirus, Adenovirus, CMV and EBV)</w:t>
            </w:r>
          </w:p>
        </w:tc>
      </w:tr>
      <w:tr w:rsidR="00310A1E" w:rsidRPr="0028680E" w14:paraId="40A93D06" w14:textId="77777777" w:rsidTr="0028680E">
        <w:tc>
          <w:tcPr>
            <w:tcW w:w="4508" w:type="dxa"/>
          </w:tcPr>
          <w:p w14:paraId="7CB7CE5C" w14:textId="4350B2EB" w:rsidR="00310A1E" w:rsidRDefault="00310A1E" w:rsidP="00310A1E">
            <w:pPr>
              <w:spacing w:line="480" w:lineRule="auto"/>
              <w:contextualSpacing/>
              <w:jc w:val="right"/>
            </w:pPr>
            <w:r>
              <w:t>Bacterial DNA PCR on endomyocardial biopsy</w:t>
            </w:r>
          </w:p>
        </w:tc>
        <w:tc>
          <w:tcPr>
            <w:tcW w:w="4508" w:type="dxa"/>
          </w:tcPr>
          <w:p w14:paraId="3274A9F7" w14:textId="3067BFA9" w:rsidR="00310A1E" w:rsidRPr="00F87207" w:rsidRDefault="00310A1E" w:rsidP="00310A1E">
            <w:pPr>
              <w:spacing w:line="480" w:lineRule="auto"/>
              <w:contextualSpacing/>
              <w:jc w:val="both"/>
            </w:pPr>
            <w:r>
              <w:t xml:space="preserve">Contaminated (negative for </w:t>
            </w:r>
            <w:r>
              <w:rPr>
                <w:i/>
                <w:iCs/>
              </w:rPr>
              <w:t>Leptospira</w:t>
            </w:r>
            <w:r>
              <w:t>)</w:t>
            </w:r>
          </w:p>
        </w:tc>
      </w:tr>
      <w:tr w:rsidR="00310A1E" w:rsidRPr="0028680E" w14:paraId="0E7BC6F6" w14:textId="77777777" w:rsidTr="0028680E">
        <w:tc>
          <w:tcPr>
            <w:tcW w:w="4508" w:type="dxa"/>
          </w:tcPr>
          <w:p w14:paraId="61379255" w14:textId="12DF06C6" w:rsidR="00310A1E" w:rsidRDefault="00310A1E" w:rsidP="00310A1E">
            <w:pPr>
              <w:spacing w:line="480" w:lineRule="auto"/>
              <w:contextualSpacing/>
              <w:jc w:val="right"/>
            </w:pPr>
            <w:r w:rsidRPr="003679A4">
              <w:t>IGRA (</w:t>
            </w:r>
            <w:proofErr w:type="spellStart"/>
            <w:r w:rsidRPr="003679A4">
              <w:t>Quantiferon</w:t>
            </w:r>
            <w:proofErr w:type="spellEnd"/>
            <w:r w:rsidRPr="003679A4">
              <w:t>-test)</w:t>
            </w:r>
          </w:p>
        </w:tc>
        <w:tc>
          <w:tcPr>
            <w:tcW w:w="4508" w:type="dxa"/>
          </w:tcPr>
          <w:p w14:paraId="2BF5C463" w14:textId="3BC04462" w:rsidR="00310A1E" w:rsidRDefault="00310A1E" w:rsidP="00310A1E">
            <w:pPr>
              <w:spacing w:line="480" w:lineRule="auto"/>
              <w:contextualSpacing/>
              <w:jc w:val="both"/>
            </w:pPr>
            <w:r>
              <w:t>Negative</w:t>
            </w:r>
          </w:p>
        </w:tc>
      </w:tr>
      <w:tr w:rsidR="00310A1E" w:rsidRPr="0028680E" w14:paraId="6F4CD50C" w14:textId="77777777" w:rsidTr="0028680E">
        <w:tc>
          <w:tcPr>
            <w:tcW w:w="4508" w:type="dxa"/>
          </w:tcPr>
          <w:p w14:paraId="3CA00411" w14:textId="47F7848A" w:rsidR="00310A1E" w:rsidRDefault="00310A1E" w:rsidP="00310A1E">
            <w:pPr>
              <w:spacing w:line="480" w:lineRule="auto"/>
              <w:contextualSpacing/>
              <w:jc w:val="right"/>
            </w:pPr>
            <w:r>
              <w:lastRenderedPageBreak/>
              <w:t>Anti-nuclear antibodies (ANA)</w:t>
            </w:r>
          </w:p>
        </w:tc>
        <w:tc>
          <w:tcPr>
            <w:tcW w:w="4508" w:type="dxa"/>
          </w:tcPr>
          <w:p w14:paraId="61C8CC27" w14:textId="1F81007E" w:rsidR="00310A1E" w:rsidRDefault="00310A1E" w:rsidP="00310A1E">
            <w:pPr>
              <w:spacing w:line="480" w:lineRule="auto"/>
              <w:contextualSpacing/>
              <w:jc w:val="both"/>
            </w:pPr>
            <w:r>
              <w:t>1:80 (negative for ENA, anti Jo1, anti scl70, anti-centromere))</w:t>
            </w:r>
          </w:p>
        </w:tc>
      </w:tr>
      <w:tr w:rsidR="00310A1E" w:rsidRPr="0028680E" w14:paraId="643E7A44" w14:textId="77777777" w:rsidTr="0028680E">
        <w:tc>
          <w:tcPr>
            <w:tcW w:w="4508" w:type="dxa"/>
          </w:tcPr>
          <w:p w14:paraId="538FB524" w14:textId="1FFC438B" w:rsidR="00310A1E" w:rsidRDefault="00310A1E" w:rsidP="00310A1E">
            <w:pPr>
              <w:spacing w:line="480" w:lineRule="auto"/>
              <w:contextualSpacing/>
              <w:jc w:val="right"/>
            </w:pPr>
            <w:r>
              <w:t>Anti dsDNA antibodies</w:t>
            </w:r>
          </w:p>
        </w:tc>
        <w:tc>
          <w:tcPr>
            <w:tcW w:w="4508" w:type="dxa"/>
          </w:tcPr>
          <w:p w14:paraId="4B24F7AD" w14:textId="313AE731" w:rsidR="00310A1E" w:rsidRDefault="00310A1E" w:rsidP="00310A1E">
            <w:pPr>
              <w:spacing w:line="480" w:lineRule="auto"/>
              <w:contextualSpacing/>
              <w:jc w:val="both"/>
            </w:pPr>
            <w:r>
              <w:t>Negative</w:t>
            </w:r>
          </w:p>
        </w:tc>
      </w:tr>
      <w:tr w:rsidR="00310A1E" w:rsidRPr="0028680E" w14:paraId="2C474432" w14:textId="77777777" w:rsidTr="0028680E">
        <w:tc>
          <w:tcPr>
            <w:tcW w:w="4508" w:type="dxa"/>
          </w:tcPr>
          <w:p w14:paraId="3CA8A974" w14:textId="18E56AFE" w:rsidR="00310A1E" w:rsidRDefault="00310A1E" w:rsidP="00310A1E">
            <w:pPr>
              <w:spacing w:line="480" w:lineRule="auto"/>
              <w:contextualSpacing/>
              <w:jc w:val="right"/>
            </w:pPr>
            <w:r>
              <w:t>Anti-Beta2 GP1 antibodies</w:t>
            </w:r>
          </w:p>
        </w:tc>
        <w:tc>
          <w:tcPr>
            <w:tcW w:w="4508" w:type="dxa"/>
          </w:tcPr>
          <w:p w14:paraId="2D79949E" w14:textId="00204E80" w:rsidR="00310A1E" w:rsidRDefault="00310A1E" w:rsidP="00310A1E">
            <w:pPr>
              <w:spacing w:line="480" w:lineRule="auto"/>
              <w:contextualSpacing/>
              <w:jc w:val="both"/>
            </w:pPr>
            <w:r>
              <w:t>Negative</w:t>
            </w:r>
          </w:p>
        </w:tc>
      </w:tr>
      <w:tr w:rsidR="00310A1E" w:rsidRPr="0028680E" w14:paraId="0DB4DB6B" w14:textId="77777777" w:rsidTr="0028680E">
        <w:tc>
          <w:tcPr>
            <w:tcW w:w="4508" w:type="dxa"/>
          </w:tcPr>
          <w:p w14:paraId="490BEEC8" w14:textId="77871DEC" w:rsidR="00310A1E" w:rsidRDefault="00310A1E" w:rsidP="00310A1E">
            <w:pPr>
              <w:spacing w:line="480" w:lineRule="auto"/>
              <w:contextualSpacing/>
              <w:jc w:val="right"/>
            </w:pPr>
            <w:r>
              <w:t>Anti-cardiolipin antibodies</w:t>
            </w:r>
          </w:p>
        </w:tc>
        <w:tc>
          <w:tcPr>
            <w:tcW w:w="4508" w:type="dxa"/>
          </w:tcPr>
          <w:p w14:paraId="69D439A8" w14:textId="022EB680" w:rsidR="00310A1E" w:rsidRDefault="00310A1E" w:rsidP="00310A1E">
            <w:pPr>
              <w:spacing w:line="480" w:lineRule="auto"/>
              <w:contextualSpacing/>
              <w:jc w:val="both"/>
            </w:pPr>
            <w:r>
              <w:t>Negative</w:t>
            </w:r>
          </w:p>
        </w:tc>
      </w:tr>
      <w:tr w:rsidR="00310A1E" w:rsidRPr="0028680E" w14:paraId="73324BDC" w14:textId="77777777" w:rsidTr="0028680E">
        <w:tc>
          <w:tcPr>
            <w:tcW w:w="4508" w:type="dxa"/>
          </w:tcPr>
          <w:p w14:paraId="3459438B" w14:textId="7025238F" w:rsidR="00310A1E" w:rsidRDefault="00310A1E" w:rsidP="00310A1E">
            <w:pPr>
              <w:spacing w:line="480" w:lineRule="auto"/>
              <w:contextualSpacing/>
              <w:jc w:val="right"/>
            </w:pPr>
            <w:r>
              <w:t>Anti-neutrophil cytoplasmic antibodies</w:t>
            </w:r>
          </w:p>
        </w:tc>
        <w:tc>
          <w:tcPr>
            <w:tcW w:w="4508" w:type="dxa"/>
          </w:tcPr>
          <w:p w14:paraId="5F8101E3" w14:textId="2F6F0EF0" w:rsidR="00310A1E" w:rsidRDefault="00310A1E" w:rsidP="00310A1E">
            <w:pPr>
              <w:spacing w:line="480" w:lineRule="auto"/>
              <w:contextualSpacing/>
              <w:jc w:val="both"/>
            </w:pPr>
            <w:r>
              <w:t>Negative</w:t>
            </w:r>
          </w:p>
        </w:tc>
      </w:tr>
      <w:tr w:rsidR="00310A1E" w:rsidRPr="00F87207" w14:paraId="10690543" w14:textId="77777777" w:rsidTr="0028680E">
        <w:tc>
          <w:tcPr>
            <w:tcW w:w="4508" w:type="dxa"/>
          </w:tcPr>
          <w:p w14:paraId="127DAC5E" w14:textId="493C0F72" w:rsidR="00310A1E" w:rsidRPr="00F87207" w:rsidRDefault="00310A1E" w:rsidP="00310A1E">
            <w:pPr>
              <w:spacing w:line="480" w:lineRule="auto"/>
              <w:contextualSpacing/>
              <w:jc w:val="right"/>
              <w:rPr>
                <w:b/>
                <w:bCs/>
              </w:rPr>
            </w:pPr>
            <w:r w:rsidRPr="00F87207">
              <w:rPr>
                <w:b/>
                <w:bCs/>
              </w:rPr>
              <w:t>Anti-cardiac antibodies</w:t>
            </w:r>
          </w:p>
        </w:tc>
        <w:tc>
          <w:tcPr>
            <w:tcW w:w="4508" w:type="dxa"/>
          </w:tcPr>
          <w:p w14:paraId="7A4A5342" w14:textId="2A15B276" w:rsidR="00310A1E" w:rsidRPr="00F87207" w:rsidRDefault="00310A1E" w:rsidP="00310A1E">
            <w:pPr>
              <w:spacing w:line="480" w:lineRule="auto"/>
              <w:contextualSpacing/>
              <w:jc w:val="both"/>
              <w:rPr>
                <w:b/>
                <w:bCs/>
              </w:rPr>
            </w:pPr>
            <w:r w:rsidRPr="00F87207">
              <w:rPr>
                <w:b/>
                <w:bCs/>
              </w:rPr>
              <w:t>Positive</w:t>
            </w:r>
          </w:p>
        </w:tc>
      </w:tr>
      <w:tr w:rsidR="00310A1E" w:rsidRPr="0028680E" w14:paraId="48E70298" w14:textId="77777777" w:rsidTr="0028680E">
        <w:tc>
          <w:tcPr>
            <w:tcW w:w="4508" w:type="dxa"/>
          </w:tcPr>
          <w:p w14:paraId="5AA77046" w14:textId="1DB0D3EA" w:rsidR="00310A1E" w:rsidRDefault="00310A1E" w:rsidP="00310A1E">
            <w:pPr>
              <w:spacing w:line="480" w:lineRule="auto"/>
              <w:contextualSpacing/>
              <w:jc w:val="right"/>
            </w:pPr>
            <w:r>
              <w:t>Complement system study</w:t>
            </w:r>
          </w:p>
        </w:tc>
        <w:tc>
          <w:tcPr>
            <w:tcW w:w="4508" w:type="dxa"/>
          </w:tcPr>
          <w:p w14:paraId="648B23BD" w14:textId="51B37118" w:rsidR="00310A1E" w:rsidRDefault="00310A1E" w:rsidP="00310A1E">
            <w:pPr>
              <w:spacing w:line="480" w:lineRule="auto"/>
              <w:contextualSpacing/>
              <w:jc w:val="both"/>
            </w:pPr>
            <w:r>
              <w:t>Normal</w:t>
            </w:r>
          </w:p>
        </w:tc>
      </w:tr>
      <w:tr w:rsidR="00310A1E" w:rsidRPr="0028680E" w14:paraId="76BC28E4" w14:textId="77777777" w:rsidTr="0028680E">
        <w:tc>
          <w:tcPr>
            <w:tcW w:w="4508" w:type="dxa"/>
          </w:tcPr>
          <w:p w14:paraId="0F16C091" w14:textId="127ED0F3" w:rsidR="00310A1E" w:rsidRDefault="00310A1E" w:rsidP="00310A1E">
            <w:pPr>
              <w:spacing w:line="480" w:lineRule="auto"/>
              <w:contextualSpacing/>
              <w:jc w:val="right"/>
            </w:pPr>
            <w:r>
              <w:t>Angiotensin converting enzyme</w:t>
            </w:r>
          </w:p>
        </w:tc>
        <w:tc>
          <w:tcPr>
            <w:tcW w:w="4508" w:type="dxa"/>
          </w:tcPr>
          <w:p w14:paraId="76E628E7" w14:textId="0A740EB8" w:rsidR="00310A1E" w:rsidRDefault="00310A1E" w:rsidP="00310A1E">
            <w:pPr>
              <w:spacing w:line="480" w:lineRule="auto"/>
              <w:contextualSpacing/>
              <w:jc w:val="both"/>
            </w:pPr>
            <w:r>
              <w:t>18 U/L</w:t>
            </w:r>
            <w:r w:rsidR="00D10946">
              <w:t xml:space="preserve"> (29 – 112)</w:t>
            </w:r>
          </w:p>
        </w:tc>
      </w:tr>
      <w:tr w:rsidR="00310A1E" w:rsidRPr="0028680E" w14:paraId="53359288" w14:textId="77777777" w:rsidTr="0028680E">
        <w:tc>
          <w:tcPr>
            <w:tcW w:w="4508" w:type="dxa"/>
          </w:tcPr>
          <w:p w14:paraId="565A2901" w14:textId="295BB8BF" w:rsidR="00310A1E" w:rsidRDefault="00310A1E" w:rsidP="00310A1E">
            <w:pPr>
              <w:spacing w:line="480" w:lineRule="auto"/>
              <w:contextualSpacing/>
              <w:jc w:val="right"/>
            </w:pPr>
            <w:r w:rsidRPr="008F1304">
              <w:t>Adenosine deaminase</w:t>
            </w:r>
          </w:p>
        </w:tc>
        <w:tc>
          <w:tcPr>
            <w:tcW w:w="4508" w:type="dxa"/>
          </w:tcPr>
          <w:p w14:paraId="5BE3F4DC" w14:textId="1008A475" w:rsidR="00310A1E" w:rsidRDefault="00310A1E" w:rsidP="00310A1E">
            <w:pPr>
              <w:spacing w:line="480" w:lineRule="auto"/>
              <w:contextualSpacing/>
              <w:jc w:val="both"/>
            </w:pPr>
            <w:r>
              <w:t>11 U/L</w:t>
            </w:r>
            <w:r w:rsidR="00D10946">
              <w:t xml:space="preserve"> (&lt;16)</w:t>
            </w:r>
          </w:p>
        </w:tc>
      </w:tr>
      <w:tr w:rsidR="00310A1E" w:rsidRPr="0028680E" w14:paraId="381CEFB9" w14:textId="77777777" w:rsidTr="0028680E">
        <w:tc>
          <w:tcPr>
            <w:tcW w:w="4508" w:type="dxa"/>
          </w:tcPr>
          <w:p w14:paraId="1AFC852F" w14:textId="058A7C22" w:rsidR="00310A1E" w:rsidRDefault="00310A1E" w:rsidP="00310A1E">
            <w:pPr>
              <w:spacing w:line="480" w:lineRule="auto"/>
              <w:contextualSpacing/>
              <w:jc w:val="right"/>
            </w:pPr>
            <w:r>
              <w:t>Pleural effusion</w:t>
            </w:r>
          </w:p>
        </w:tc>
        <w:tc>
          <w:tcPr>
            <w:tcW w:w="4508" w:type="dxa"/>
          </w:tcPr>
          <w:p w14:paraId="648E09DA" w14:textId="2F745007" w:rsidR="00310A1E" w:rsidRDefault="00310A1E" w:rsidP="00310A1E">
            <w:pPr>
              <w:spacing w:line="480" w:lineRule="auto"/>
              <w:contextualSpacing/>
              <w:jc w:val="both"/>
            </w:pPr>
            <w:r>
              <w:t>Transudate</w:t>
            </w:r>
          </w:p>
        </w:tc>
      </w:tr>
      <w:tr w:rsidR="00310A1E" w:rsidRPr="0028680E" w14:paraId="3CD5AA09" w14:textId="77777777" w:rsidTr="0028680E">
        <w:tc>
          <w:tcPr>
            <w:tcW w:w="4508" w:type="dxa"/>
          </w:tcPr>
          <w:p w14:paraId="0C3CFF2E" w14:textId="6251FD1E" w:rsidR="00310A1E" w:rsidRDefault="00310A1E" w:rsidP="00310A1E">
            <w:pPr>
              <w:spacing w:line="480" w:lineRule="auto"/>
              <w:contextualSpacing/>
              <w:jc w:val="right"/>
            </w:pPr>
            <w:r>
              <w:t>Abdominal ultrasonography</w:t>
            </w:r>
          </w:p>
        </w:tc>
        <w:tc>
          <w:tcPr>
            <w:tcW w:w="4508" w:type="dxa"/>
          </w:tcPr>
          <w:p w14:paraId="1B162D54" w14:textId="5C88AAAB" w:rsidR="00310A1E" w:rsidRDefault="00310A1E" w:rsidP="00310A1E">
            <w:pPr>
              <w:spacing w:line="480" w:lineRule="auto"/>
              <w:contextualSpacing/>
              <w:jc w:val="both"/>
            </w:pPr>
            <w:r>
              <w:t>Mild splenomegaly, otherwise normal</w:t>
            </w:r>
          </w:p>
        </w:tc>
      </w:tr>
      <w:tr w:rsidR="00310A1E" w:rsidRPr="0028680E" w14:paraId="534A40E0" w14:textId="77777777" w:rsidTr="0028680E">
        <w:tc>
          <w:tcPr>
            <w:tcW w:w="4508" w:type="dxa"/>
          </w:tcPr>
          <w:p w14:paraId="705A0746" w14:textId="4CAB856B" w:rsidR="00310A1E" w:rsidRDefault="00310A1E" w:rsidP="00310A1E">
            <w:pPr>
              <w:spacing w:line="480" w:lineRule="auto"/>
              <w:contextualSpacing/>
              <w:jc w:val="right"/>
            </w:pPr>
            <w:r>
              <w:t>Thyroid function (in ICU)</w:t>
            </w:r>
          </w:p>
        </w:tc>
        <w:tc>
          <w:tcPr>
            <w:tcW w:w="4508" w:type="dxa"/>
          </w:tcPr>
          <w:p w14:paraId="48D5F5FA" w14:textId="74669D1A" w:rsidR="00310A1E" w:rsidRDefault="00310A1E" w:rsidP="00310A1E">
            <w:pPr>
              <w:spacing w:line="480" w:lineRule="auto"/>
              <w:contextualSpacing/>
              <w:jc w:val="both"/>
            </w:pPr>
            <w:r>
              <w:t xml:space="preserve">TSH 0.07 </w:t>
            </w:r>
            <w:proofErr w:type="spellStart"/>
            <w:r>
              <w:t>uUI</w:t>
            </w:r>
            <w:proofErr w:type="spellEnd"/>
            <w:r>
              <w:t>/mL</w:t>
            </w:r>
            <w:r w:rsidR="00D10946">
              <w:t xml:space="preserve"> (0.47 – 3.41)</w:t>
            </w:r>
            <w:r>
              <w:t>, FT4 0.59 ng/dL</w:t>
            </w:r>
            <w:r w:rsidR="00D10946">
              <w:t xml:space="preserve"> (0.89 – 1.37)</w:t>
            </w:r>
          </w:p>
        </w:tc>
      </w:tr>
      <w:tr w:rsidR="00310A1E" w:rsidRPr="0028680E" w14:paraId="600BCFEE" w14:textId="77777777" w:rsidTr="0028680E">
        <w:tc>
          <w:tcPr>
            <w:tcW w:w="4508" w:type="dxa"/>
          </w:tcPr>
          <w:p w14:paraId="73773803" w14:textId="3AA21A88" w:rsidR="00310A1E" w:rsidRDefault="00310A1E" w:rsidP="00310A1E">
            <w:pPr>
              <w:spacing w:line="480" w:lineRule="auto"/>
              <w:contextualSpacing/>
              <w:jc w:val="right"/>
            </w:pPr>
            <w:r>
              <w:t>Anti-Thyroid antibodies</w:t>
            </w:r>
          </w:p>
        </w:tc>
        <w:tc>
          <w:tcPr>
            <w:tcW w:w="4508" w:type="dxa"/>
          </w:tcPr>
          <w:p w14:paraId="3FACB796" w14:textId="61A3C4CD" w:rsidR="00310A1E" w:rsidRDefault="00310A1E" w:rsidP="00310A1E">
            <w:pPr>
              <w:spacing w:line="480" w:lineRule="auto"/>
              <w:contextualSpacing/>
              <w:jc w:val="both"/>
            </w:pPr>
            <w:r>
              <w:t>Negative</w:t>
            </w:r>
          </w:p>
        </w:tc>
      </w:tr>
    </w:tbl>
    <w:p w14:paraId="7A30EC0A" w14:textId="5554BB9E" w:rsidR="00BE3C86" w:rsidRDefault="00EA1224" w:rsidP="000379D3">
      <w:pPr>
        <w:spacing w:after="0" w:line="480" w:lineRule="auto"/>
        <w:contextualSpacing/>
        <w:jc w:val="both"/>
      </w:pPr>
      <w:bookmarkStart w:id="0" w:name="_Hlk79349481"/>
      <w:r>
        <w:t xml:space="preserve">Supplementary </w:t>
      </w:r>
      <w:r w:rsidR="00BE3C86">
        <w:t>Table</w:t>
      </w:r>
      <w:bookmarkEnd w:id="0"/>
      <w:r w:rsidR="00BE3C86">
        <w:t>: Laboratory investigation</w:t>
      </w:r>
    </w:p>
    <w:sectPr w:rsidR="00BE3C86" w:rsidSect="00E826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A8533" w14:textId="77777777" w:rsidR="00A260C1" w:rsidRDefault="00A260C1" w:rsidP="00332A9A">
      <w:pPr>
        <w:spacing w:after="0" w:line="240" w:lineRule="auto"/>
      </w:pPr>
      <w:r>
        <w:separator/>
      </w:r>
    </w:p>
  </w:endnote>
  <w:endnote w:type="continuationSeparator" w:id="0">
    <w:p w14:paraId="6AEC1ED8" w14:textId="77777777" w:rsidR="00A260C1" w:rsidRDefault="00A260C1" w:rsidP="0033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238ED" w14:textId="77777777" w:rsidR="00A260C1" w:rsidRDefault="00A260C1" w:rsidP="00332A9A">
      <w:pPr>
        <w:spacing w:after="0" w:line="240" w:lineRule="auto"/>
      </w:pPr>
      <w:r>
        <w:separator/>
      </w:r>
    </w:p>
  </w:footnote>
  <w:footnote w:type="continuationSeparator" w:id="0">
    <w:p w14:paraId="1CB6E0E2" w14:textId="77777777" w:rsidR="00A260C1" w:rsidRDefault="00A260C1" w:rsidP="0033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76378"/>
    <w:multiLevelType w:val="hybridMultilevel"/>
    <w:tmpl w:val="77322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w:rsids>
    <w:rsidRoot w:val="00A66AB6"/>
    <w:rsid w:val="000213D4"/>
    <w:rsid w:val="00023893"/>
    <w:rsid w:val="00023A55"/>
    <w:rsid w:val="000379D3"/>
    <w:rsid w:val="00037C76"/>
    <w:rsid w:val="00040524"/>
    <w:rsid w:val="0004083A"/>
    <w:rsid w:val="000415B6"/>
    <w:rsid w:val="00044BE4"/>
    <w:rsid w:val="000450CD"/>
    <w:rsid w:val="00045B47"/>
    <w:rsid w:val="00060636"/>
    <w:rsid w:val="000678DB"/>
    <w:rsid w:val="00071A92"/>
    <w:rsid w:val="00072AAC"/>
    <w:rsid w:val="000A3975"/>
    <w:rsid w:val="000B166F"/>
    <w:rsid w:val="000B3DD6"/>
    <w:rsid w:val="000B48C4"/>
    <w:rsid w:val="000B7245"/>
    <w:rsid w:val="000D2039"/>
    <w:rsid w:val="000D37E8"/>
    <w:rsid w:val="000D5BA5"/>
    <w:rsid w:val="000D6CC2"/>
    <w:rsid w:val="000E1BAF"/>
    <w:rsid w:val="000E3A29"/>
    <w:rsid w:val="000E3CC3"/>
    <w:rsid w:val="000F0218"/>
    <w:rsid w:val="000F4C62"/>
    <w:rsid w:val="000F6ADA"/>
    <w:rsid w:val="001043DB"/>
    <w:rsid w:val="0010512D"/>
    <w:rsid w:val="001053B2"/>
    <w:rsid w:val="00114878"/>
    <w:rsid w:val="00121E30"/>
    <w:rsid w:val="00130961"/>
    <w:rsid w:val="001473FF"/>
    <w:rsid w:val="00162237"/>
    <w:rsid w:val="00165E79"/>
    <w:rsid w:val="00173AA9"/>
    <w:rsid w:val="0018328A"/>
    <w:rsid w:val="0018458F"/>
    <w:rsid w:val="00191BC6"/>
    <w:rsid w:val="00191F05"/>
    <w:rsid w:val="00193A32"/>
    <w:rsid w:val="001A1E54"/>
    <w:rsid w:val="001B7861"/>
    <w:rsid w:val="001C08BE"/>
    <w:rsid w:val="001C1C44"/>
    <w:rsid w:val="001C4AD1"/>
    <w:rsid w:val="001C6A87"/>
    <w:rsid w:val="001C6AC5"/>
    <w:rsid w:val="001D0D77"/>
    <w:rsid w:val="001E0464"/>
    <w:rsid w:val="001E0776"/>
    <w:rsid w:val="001F0786"/>
    <w:rsid w:val="00201F09"/>
    <w:rsid w:val="00203D18"/>
    <w:rsid w:val="00210C00"/>
    <w:rsid w:val="00223CA4"/>
    <w:rsid w:val="00226930"/>
    <w:rsid w:val="00226CEE"/>
    <w:rsid w:val="00230158"/>
    <w:rsid w:val="00234B9E"/>
    <w:rsid w:val="00246E45"/>
    <w:rsid w:val="002505EA"/>
    <w:rsid w:val="00253DE7"/>
    <w:rsid w:val="00276BD3"/>
    <w:rsid w:val="0028680E"/>
    <w:rsid w:val="00291566"/>
    <w:rsid w:val="002940DA"/>
    <w:rsid w:val="002953E8"/>
    <w:rsid w:val="002A35FA"/>
    <w:rsid w:val="002A7E44"/>
    <w:rsid w:val="002B1F9E"/>
    <w:rsid w:val="002B5A25"/>
    <w:rsid w:val="002C2E0F"/>
    <w:rsid w:val="002C3E44"/>
    <w:rsid w:val="002D7058"/>
    <w:rsid w:val="002E46EC"/>
    <w:rsid w:val="002E6473"/>
    <w:rsid w:val="002E7FC7"/>
    <w:rsid w:val="002F6F5B"/>
    <w:rsid w:val="002F78F7"/>
    <w:rsid w:val="00310A1E"/>
    <w:rsid w:val="0031398E"/>
    <w:rsid w:val="003243CC"/>
    <w:rsid w:val="00330BFB"/>
    <w:rsid w:val="00331FA1"/>
    <w:rsid w:val="00332A9A"/>
    <w:rsid w:val="00337141"/>
    <w:rsid w:val="00346B10"/>
    <w:rsid w:val="0035012E"/>
    <w:rsid w:val="00357F88"/>
    <w:rsid w:val="003679A4"/>
    <w:rsid w:val="003765FB"/>
    <w:rsid w:val="0038540B"/>
    <w:rsid w:val="0039350A"/>
    <w:rsid w:val="00393CE3"/>
    <w:rsid w:val="00397F21"/>
    <w:rsid w:val="003A321C"/>
    <w:rsid w:val="003A5C68"/>
    <w:rsid w:val="003A7C6F"/>
    <w:rsid w:val="003C33CF"/>
    <w:rsid w:val="003C4293"/>
    <w:rsid w:val="003C74DA"/>
    <w:rsid w:val="003D0CE7"/>
    <w:rsid w:val="003D40E3"/>
    <w:rsid w:val="003D52CB"/>
    <w:rsid w:val="003E030E"/>
    <w:rsid w:val="003E3FBA"/>
    <w:rsid w:val="003F7F46"/>
    <w:rsid w:val="004029AE"/>
    <w:rsid w:val="00406F77"/>
    <w:rsid w:val="004211B6"/>
    <w:rsid w:val="0043431E"/>
    <w:rsid w:val="00436FBC"/>
    <w:rsid w:val="00437051"/>
    <w:rsid w:val="004407CC"/>
    <w:rsid w:val="00440AD7"/>
    <w:rsid w:val="004432CC"/>
    <w:rsid w:val="0045251E"/>
    <w:rsid w:val="004552C1"/>
    <w:rsid w:val="00456342"/>
    <w:rsid w:val="00463BA9"/>
    <w:rsid w:val="00464242"/>
    <w:rsid w:val="00467249"/>
    <w:rsid w:val="00483767"/>
    <w:rsid w:val="00487351"/>
    <w:rsid w:val="00490F02"/>
    <w:rsid w:val="0049143C"/>
    <w:rsid w:val="00495EE3"/>
    <w:rsid w:val="004A1EAB"/>
    <w:rsid w:val="004A2140"/>
    <w:rsid w:val="004B30C9"/>
    <w:rsid w:val="004B5FFE"/>
    <w:rsid w:val="004C32F0"/>
    <w:rsid w:val="004C3FE6"/>
    <w:rsid w:val="004C43D9"/>
    <w:rsid w:val="004D4F1B"/>
    <w:rsid w:val="004E141D"/>
    <w:rsid w:val="004E17C3"/>
    <w:rsid w:val="004E70A7"/>
    <w:rsid w:val="004F520F"/>
    <w:rsid w:val="004F6121"/>
    <w:rsid w:val="00501EC9"/>
    <w:rsid w:val="005034F5"/>
    <w:rsid w:val="00504C2B"/>
    <w:rsid w:val="00513023"/>
    <w:rsid w:val="00515217"/>
    <w:rsid w:val="005173A9"/>
    <w:rsid w:val="00526E0F"/>
    <w:rsid w:val="00530AEC"/>
    <w:rsid w:val="00533CF9"/>
    <w:rsid w:val="005361B1"/>
    <w:rsid w:val="00541D75"/>
    <w:rsid w:val="00544304"/>
    <w:rsid w:val="005578CE"/>
    <w:rsid w:val="00562832"/>
    <w:rsid w:val="005664DB"/>
    <w:rsid w:val="0057184E"/>
    <w:rsid w:val="00571F42"/>
    <w:rsid w:val="00576DF7"/>
    <w:rsid w:val="005800EE"/>
    <w:rsid w:val="00585BDD"/>
    <w:rsid w:val="005A551C"/>
    <w:rsid w:val="005B1BCE"/>
    <w:rsid w:val="005B1E3F"/>
    <w:rsid w:val="005B5CCD"/>
    <w:rsid w:val="005C072A"/>
    <w:rsid w:val="005C1ACE"/>
    <w:rsid w:val="005E12B2"/>
    <w:rsid w:val="005E6613"/>
    <w:rsid w:val="005E6BB8"/>
    <w:rsid w:val="005E6C1D"/>
    <w:rsid w:val="005E7B72"/>
    <w:rsid w:val="005F2F14"/>
    <w:rsid w:val="005F6580"/>
    <w:rsid w:val="00604E10"/>
    <w:rsid w:val="00615B92"/>
    <w:rsid w:val="00622AFA"/>
    <w:rsid w:val="006255B2"/>
    <w:rsid w:val="00627AAA"/>
    <w:rsid w:val="006327A3"/>
    <w:rsid w:val="00633E39"/>
    <w:rsid w:val="00636149"/>
    <w:rsid w:val="00643C92"/>
    <w:rsid w:val="00663432"/>
    <w:rsid w:val="00691117"/>
    <w:rsid w:val="006A5DEF"/>
    <w:rsid w:val="006C4BEA"/>
    <w:rsid w:val="006D31C2"/>
    <w:rsid w:val="006D63EC"/>
    <w:rsid w:val="006D7C4C"/>
    <w:rsid w:val="006E3A66"/>
    <w:rsid w:val="006F01AB"/>
    <w:rsid w:val="006F7847"/>
    <w:rsid w:val="00704355"/>
    <w:rsid w:val="0070442A"/>
    <w:rsid w:val="00707F2D"/>
    <w:rsid w:val="00716204"/>
    <w:rsid w:val="007256DF"/>
    <w:rsid w:val="00726536"/>
    <w:rsid w:val="00731F57"/>
    <w:rsid w:val="007374BE"/>
    <w:rsid w:val="00740C60"/>
    <w:rsid w:val="0074681F"/>
    <w:rsid w:val="007512FD"/>
    <w:rsid w:val="007538A5"/>
    <w:rsid w:val="007548B9"/>
    <w:rsid w:val="007549E7"/>
    <w:rsid w:val="0075706F"/>
    <w:rsid w:val="00757310"/>
    <w:rsid w:val="00762ABE"/>
    <w:rsid w:val="00765B83"/>
    <w:rsid w:val="007670BB"/>
    <w:rsid w:val="00774861"/>
    <w:rsid w:val="0079234F"/>
    <w:rsid w:val="007934E4"/>
    <w:rsid w:val="00795C41"/>
    <w:rsid w:val="00797310"/>
    <w:rsid w:val="007A234A"/>
    <w:rsid w:val="007B0174"/>
    <w:rsid w:val="007B39EE"/>
    <w:rsid w:val="007B6555"/>
    <w:rsid w:val="007E0601"/>
    <w:rsid w:val="007E1594"/>
    <w:rsid w:val="007E1BB3"/>
    <w:rsid w:val="007E5C60"/>
    <w:rsid w:val="007F03D4"/>
    <w:rsid w:val="007F15C8"/>
    <w:rsid w:val="007F256F"/>
    <w:rsid w:val="00800BA1"/>
    <w:rsid w:val="00813FD5"/>
    <w:rsid w:val="00814499"/>
    <w:rsid w:val="00816BF6"/>
    <w:rsid w:val="008238B3"/>
    <w:rsid w:val="00844A56"/>
    <w:rsid w:val="00873E23"/>
    <w:rsid w:val="00875E16"/>
    <w:rsid w:val="00876C0F"/>
    <w:rsid w:val="00882AB8"/>
    <w:rsid w:val="0089589D"/>
    <w:rsid w:val="00897738"/>
    <w:rsid w:val="008A03FE"/>
    <w:rsid w:val="008C029E"/>
    <w:rsid w:val="008C0E59"/>
    <w:rsid w:val="008C224D"/>
    <w:rsid w:val="008C66D6"/>
    <w:rsid w:val="008D020B"/>
    <w:rsid w:val="008D1DFF"/>
    <w:rsid w:val="008D74D6"/>
    <w:rsid w:val="008D7BAC"/>
    <w:rsid w:val="008F1304"/>
    <w:rsid w:val="008F1BBA"/>
    <w:rsid w:val="008F2213"/>
    <w:rsid w:val="008F2C6E"/>
    <w:rsid w:val="008F384C"/>
    <w:rsid w:val="008F6E3F"/>
    <w:rsid w:val="009024FA"/>
    <w:rsid w:val="0091531E"/>
    <w:rsid w:val="009161EE"/>
    <w:rsid w:val="009215B8"/>
    <w:rsid w:val="00922713"/>
    <w:rsid w:val="00924118"/>
    <w:rsid w:val="009418C3"/>
    <w:rsid w:val="00941AAE"/>
    <w:rsid w:val="00946374"/>
    <w:rsid w:val="0095443D"/>
    <w:rsid w:val="00961979"/>
    <w:rsid w:val="00981BAF"/>
    <w:rsid w:val="009833DD"/>
    <w:rsid w:val="0098351B"/>
    <w:rsid w:val="0099566F"/>
    <w:rsid w:val="009B2E06"/>
    <w:rsid w:val="009C0A48"/>
    <w:rsid w:val="009C7A70"/>
    <w:rsid w:val="009D15E4"/>
    <w:rsid w:val="009D6B4A"/>
    <w:rsid w:val="009E19F8"/>
    <w:rsid w:val="009E3DC0"/>
    <w:rsid w:val="009F0087"/>
    <w:rsid w:val="00A11679"/>
    <w:rsid w:val="00A14152"/>
    <w:rsid w:val="00A15178"/>
    <w:rsid w:val="00A17799"/>
    <w:rsid w:val="00A23859"/>
    <w:rsid w:val="00A260C1"/>
    <w:rsid w:val="00A3188C"/>
    <w:rsid w:val="00A36A9E"/>
    <w:rsid w:val="00A373A6"/>
    <w:rsid w:val="00A4509F"/>
    <w:rsid w:val="00A46006"/>
    <w:rsid w:val="00A51DA3"/>
    <w:rsid w:val="00A638B3"/>
    <w:rsid w:val="00A64D2B"/>
    <w:rsid w:val="00A66AB6"/>
    <w:rsid w:val="00A76746"/>
    <w:rsid w:val="00A809CD"/>
    <w:rsid w:val="00A80E29"/>
    <w:rsid w:val="00A90F9A"/>
    <w:rsid w:val="00A965BA"/>
    <w:rsid w:val="00A96746"/>
    <w:rsid w:val="00A96F6E"/>
    <w:rsid w:val="00AA34EB"/>
    <w:rsid w:val="00AB146F"/>
    <w:rsid w:val="00AB5FC8"/>
    <w:rsid w:val="00AC7098"/>
    <w:rsid w:val="00AD5E98"/>
    <w:rsid w:val="00AE69D3"/>
    <w:rsid w:val="00AF4BDA"/>
    <w:rsid w:val="00AF6212"/>
    <w:rsid w:val="00B00AA5"/>
    <w:rsid w:val="00B01578"/>
    <w:rsid w:val="00B110F9"/>
    <w:rsid w:val="00B14CD3"/>
    <w:rsid w:val="00B16B26"/>
    <w:rsid w:val="00B23601"/>
    <w:rsid w:val="00B36C26"/>
    <w:rsid w:val="00B44F2F"/>
    <w:rsid w:val="00B6186F"/>
    <w:rsid w:val="00B61CAF"/>
    <w:rsid w:val="00B649A0"/>
    <w:rsid w:val="00B677A6"/>
    <w:rsid w:val="00B679D0"/>
    <w:rsid w:val="00B71AD0"/>
    <w:rsid w:val="00B72EB5"/>
    <w:rsid w:val="00B73D63"/>
    <w:rsid w:val="00B76940"/>
    <w:rsid w:val="00B825EA"/>
    <w:rsid w:val="00B842BE"/>
    <w:rsid w:val="00B86E73"/>
    <w:rsid w:val="00B93C3C"/>
    <w:rsid w:val="00BA11E3"/>
    <w:rsid w:val="00BB0252"/>
    <w:rsid w:val="00BB03CD"/>
    <w:rsid w:val="00BB2639"/>
    <w:rsid w:val="00BB76D3"/>
    <w:rsid w:val="00BD3A7B"/>
    <w:rsid w:val="00BE3C86"/>
    <w:rsid w:val="00BF0E65"/>
    <w:rsid w:val="00BF0E97"/>
    <w:rsid w:val="00BF1D84"/>
    <w:rsid w:val="00C03C6E"/>
    <w:rsid w:val="00C0719E"/>
    <w:rsid w:val="00C12CEC"/>
    <w:rsid w:val="00C41020"/>
    <w:rsid w:val="00C419DF"/>
    <w:rsid w:val="00C47878"/>
    <w:rsid w:val="00C740E9"/>
    <w:rsid w:val="00C822C1"/>
    <w:rsid w:val="00C84BF9"/>
    <w:rsid w:val="00C9549E"/>
    <w:rsid w:val="00C978CE"/>
    <w:rsid w:val="00CA5FE0"/>
    <w:rsid w:val="00CA7599"/>
    <w:rsid w:val="00CC46ED"/>
    <w:rsid w:val="00CC5BB6"/>
    <w:rsid w:val="00CD6621"/>
    <w:rsid w:val="00CF0620"/>
    <w:rsid w:val="00CF1405"/>
    <w:rsid w:val="00CF2AAC"/>
    <w:rsid w:val="00CF7AE4"/>
    <w:rsid w:val="00D0217E"/>
    <w:rsid w:val="00D10946"/>
    <w:rsid w:val="00D11422"/>
    <w:rsid w:val="00D11F57"/>
    <w:rsid w:val="00D149BA"/>
    <w:rsid w:val="00D225C4"/>
    <w:rsid w:val="00D23E85"/>
    <w:rsid w:val="00D2521E"/>
    <w:rsid w:val="00D33D54"/>
    <w:rsid w:val="00D34F8C"/>
    <w:rsid w:val="00D43FE3"/>
    <w:rsid w:val="00D50899"/>
    <w:rsid w:val="00D603DF"/>
    <w:rsid w:val="00D608D1"/>
    <w:rsid w:val="00D65339"/>
    <w:rsid w:val="00D65643"/>
    <w:rsid w:val="00D65EBB"/>
    <w:rsid w:val="00D80022"/>
    <w:rsid w:val="00D858B2"/>
    <w:rsid w:val="00DA1D49"/>
    <w:rsid w:val="00DA1E99"/>
    <w:rsid w:val="00DB1644"/>
    <w:rsid w:val="00DB2271"/>
    <w:rsid w:val="00DC2E1D"/>
    <w:rsid w:val="00DD20D1"/>
    <w:rsid w:val="00DD21C2"/>
    <w:rsid w:val="00DE092C"/>
    <w:rsid w:val="00DE3B00"/>
    <w:rsid w:val="00DE4258"/>
    <w:rsid w:val="00DF03D4"/>
    <w:rsid w:val="00DF190C"/>
    <w:rsid w:val="00DF2C94"/>
    <w:rsid w:val="00DF3935"/>
    <w:rsid w:val="00DF3D3B"/>
    <w:rsid w:val="00E07F4A"/>
    <w:rsid w:val="00E23D90"/>
    <w:rsid w:val="00E23FD4"/>
    <w:rsid w:val="00E31E65"/>
    <w:rsid w:val="00E44773"/>
    <w:rsid w:val="00E52E74"/>
    <w:rsid w:val="00E602CE"/>
    <w:rsid w:val="00E60C0B"/>
    <w:rsid w:val="00E773D5"/>
    <w:rsid w:val="00E813F4"/>
    <w:rsid w:val="00E82635"/>
    <w:rsid w:val="00EA1224"/>
    <w:rsid w:val="00EA2F5B"/>
    <w:rsid w:val="00EA6435"/>
    <w:rsid w:val="00EB3A91"/>
    <w:rsid w:val="00EB77C8"/>
    <w:rsid w:val="00ED4883"/>
    <w:rsid w:val="00EE3766"/>
    <w:rsid w:val="00EE4CFE"/>
    <w:rsid w:val="00EE4EBA"/>
    <w:rsid w:val="00F14DC6"/>
    <w:rsid w:val="00F24D3F"/>
    <w:rsid w:val="00F25610"/>
    <w:rsid w:val="00F349E5"/>
    <w:rsid w:val="00F34BF5"/>
    <w:rsid w:val="00F40C62"/>
    <w:rsid w:val="00F41DF7"/>
    <w:rsid w:val="00F46CAE"/>
    <w:rsid w:val="00F678A1"/>
    <w:rsid w:val="00F70A77"/>
    <w:rsid w:val="00F74600"/>
    <w:rsid w:val="00F76BAC"/>
    <w:rsid w:val="00F87207"/>
    <w:rsid w:val="00F91EF7"/>
    <w:rsid w:val="00F95524"/>
    <w:rsid w:val="00FA2E59"/>
    <w:rsid w:val="00FA42AA"/>
    <w:rsid w:val="00FA4349"/>
    <w:rsid w:val="00FB2495"/>
    <w:rsid w:val="00FB24F5"/>
    <w:rsid w:val="00FB52F0"/>
    <w:rsid w:val="00FB62E5"/>
    <w:rsid w:val="00FC57D3"/>
    <w:rsid w:val="00FD1781"/>
    <w:rsid w:val="00FF0012"/>
    <w:rsid w:val="00FF2E41"/>
    <w:rsid w:val="00FF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188B8A"/>
  <w15:chartTrackingRefBased/>
  <w15:docId w15:val="{EAD0629B-3E00-4963-8F7D-20DB2012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arter"/>
    <w:rsid w:val="00981BAF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arter">
    <w:name w:val="EndNote Bibliography Title Caráter"/>
    <w:basedOn w:val="Tipodeletrapredefinidodopargrafo"/>
    <w:link w:val="EndNoteBibliographyTitle"/>
    <w:rsid w:val="00981BAF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arter"/>
    <w:rsid w:val="00981BAF"/>
    <w:pPr>
      <w:spacing w:line="240" w:lineRule="auto"/>
      <w:jc w:val="both"/>
    </w:pPr>
    <w:rPr>
      <w:rFonts w:ascii="Calibri" w:hAnsi="Calibri" w:cs="Calibri"/>
      <w:noProof/>
      <w:lang w:val="en-US"/>
    </w:rPr>
  </w:style>
  <w:style w:type="character" w:customStyle="1" w:styleId="EndNoteBibliographyCarter">
    <w:name w:val="EndNote Bibliography Caráter"/>
    <w:basedOn w:val="Tipodeletrapredefinidodopargrafo"/>
    <w:link w:val="EndNoteBibliography"/>
    <w:rsid w:val="00981BAF"/>
    <w:rPr>
      <w:rFonts w:ascii="Calibri" w:hAnsi="Calibri" w:cs="Calibri"/>
      <w:noProof/>
      <w:lang w:val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A76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76746"/>
    <w:rPr>
      <w:rFonts w:ascii="Segoe UI" w:hAnsi="Segoe UI" w:cs="Segoe UI"/>
      <w:sz w:val="18"/>
      <w:szCs w:val="18"/>
    </w:rPr>
  </w:style>
  <w:style w:type="character" w:styleId="Nmerodelinha">
    <w:name w:val="line number"/>
    <w:basedOn w:val="Tipodeletrapredefinidodopargrafo"/>
    <w:uiPriority w:val="99"/>
    <w:semiHidden/>
    <w:unhideWhenUsed/>
    <w:rsid w:val="000379D3"/>
  </w:style>
  <w:style w:type="character" w:styleId="Hiperligao">
    <w:name w:val="Hyperlink"/>
    <w:basedOn w:val="Tipodeletrapredefinidodopargrafo"/>
    <w:uiPriority w:val="99"/>
    <w:unhideWhenUsed/>
    <w:rsid w:val="00C47878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47878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B6555"/>
    <w:pPr>
      <w:ind w:left="720"/>
      <w:contextualSpacing/>
    </w:pPr>
  </w:style>
  <w:style w:type="table" w:styleId="TabelacomGrelha">
    <w:name w:val="Table Grid"/>
    <w:basedOn w:val="Tabelanormal"/>
    <w:uiPriority w:val="39"/>
    <w:rsid w:val="00286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332A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32A9A"/>
  </w:style>
  <w:style w:type="paragraph" w:styleId="Rodap">
    <w:name w:val="footer"/>
    <w:basedOn w:val="Normal"/>
    <w:link w:val="RodapCarter"/>
    <w:uiPriority w:val="99"/>
    <w:unhideWhenUsed/>
    <w:rsid w:val="00332A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32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AC0AC-C6D9-419A-BF92-467146A4E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Lourenço</dc:creator>
  <cp:keywords/>
  <dc:description/>
  <cp:lastModifiedBy>Guilherme Lourenço</cp:lastModifiedBy>
  <cp:revision>5</cp:revision>
  <dcterms:created xsi:type="dcterms:W3CDTF">2021-08-08T19:39:00Z</dcterms:created>
  <dcterms:modified xsi:type="dcterms:W3CDTF">2021-08-08T20:13:00Z</dcterms:modified>
</cp:coreProperties>
</file>