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CA5E5" w14:textId="30E2D2ED" w:rsidR="00C656C3" w:rsidRDefault="00C656C3" w:rsidP="00C656C3">
      <w:pPr>
        <w:jc w:val="both"/>
        <w:rPr>
          <w:sz w:val="13"/>
          <w:szCs w:val="13"/>
        </w:rPr>
      </w:pPr>
      <w:r>
        <w:rPr>
          <w:b/>
        </w:rPr>
        <w:t>Supplementa</w:t>
      </w:r>
      <w:r w:rsidR="00E96DA1">
        <w:rPr>
          <w:b/>
        </w:rPr>
        <w:t xml:space="preserve">ry Table </w:t>
      </w:r>
      <w:r w:rsidR="009B33AD">
        <w:rPr>
          <w:b/>
        </w:rPr>
        <w:t>7</w:t>
      </w:r>
      <w:r w:rsidRPr="00836922">
        <w:rPr>
          <w:b/>
        </w:rPr>
        <w:t xml:space="preserve">. Associations with Oral Feeding </w:t>
      </w:r>
      <w:r>
        <w:rPr>
          <w:b/>
        </w:rPr>
        <w:t>as an Independent Variable</w:t>
      </w:r>
    </w:p>
    <w:p w14:paraId="41E05CC4" w14:textId="3185E866" w:rsidR="00643371" w:rsidRDefault="002B4499"/>
    <w:tbl>
      <w:tblPr>
        <w:tblStyle w:val="GridTable6Colorful"/>
        <w:tblW w:w="0" w:type="auto"/>
        <w:tblLook w:val="04A0" w:firstRow="1" w:lastRow="0" w:firstColumn="1" w:lastColumn="0" w:noHBand="0" w:noVBand="1"/>
      </w:tblPr>
      <w:tblGrid>
        <w:gridCol w:w="1435"/>
        <w:gridCol w:w="1592"/>
        <w:gridCol w:w="1674"/>
      </w:tblGrid>
      <w:tr w:rsidR="00C656C3" w:rsidRPr="00570D30" w14:paraId="56DAB7E4" w14:textId="77777777" w:rsidTr="007D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gridSpan w:val="3"/>
            <w:tcBorders>
              <w:top w:val="nil"/>
              <w:left w:val="nil"/>
              <w:bottom w:val="single" w:sz="4" w:space="0" w:color="auto"/>
              <w:right w:val="nil"/>
            </w:tcBorders>
          </w:tcPr>
          <w:p w14:paraId="77D8E51E" w14:textId="2AE1B477" w:rsidR="00C656C3" w:rsidRPr="00570D30" w:rsidRDefault="00210EA7" w:rsidP="007D15ED">
            <w:pPr>
              <w:rPr>
                <w:sz w:val="16"/>
                <w:szCs w:val="16"/>
              </w:rPr>
            </w:pPr>
            <w:r>
              <w:rPr>
                <w:sz w:val="16"/>
                <w:szCs w:val="16"/>
              </w:rPr>
              <w:t xml:space="preserve">Table 1. </w:t>
            </w:r>
            <w:r w:rsidR="00C656C3" w:rsidRPr="00CB758D">
              <w:rPr>
                <w:sz w:val="16"/>
                <w:szCs w:val="16"/>
              </w:rPr>
              <w:t>Preoperative Dependent Variable</w:t>
            </w:r>
            <w:r w:rsidR="00C656C3">
              <w:rPr>
                <w:sz w:val="16"/>
                <w:szCs w:val="16"/>
              </w:rPr>
              <w:t>s</w:t>
            </w:r>
          </w:p>
        </w:tc>
      </w:tr>
      <w:tr w:rsidR="00C656C3" w:rsidRPr="00D6170D" w14:paraId="3A9C5881"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auto"/>
              <w:right w:val="single" w:sz="4" w:space="0" w:color="auto"/>
            </w:tcBorders>
            <w:shd w:val="clear" w:color="auto" w:fill="D9D9D9" w:themeFill="background1" w:themeFillShade="D9"/>
          </w:tcPr>
          <w:p w14:paraId="1FCD99BF" w14:textId="77777777" w:rsidR="00C656C3" w:rsidRPr="00D6170D" w:rsidRDefault="00C656C3" w:rsidP="007D15ED">
            <w:pPr>
              <w:jc w:val="center"/>
              <w:rPr>
                <w:sz w:val="16"/>
                <w:szCs w:val="16"/>
              </w:rPr>
            </w:pPr>
            <w:r w:rsidRPr="00D6170D">
              <w:rPr>
                <w:sz w:val="16"/>
                <w:szCs w:val="16"/>
              </w:rPr>
              <w:t>Study</w:t>
            </w:r>
          </w:p>
        </w:tc>
        <w:tc>
          <w:tcPr>
            <w:tcW w:w="1592" w:type="dxa"/>
            <w:tcBorders>
              <w:top w:val="single" w:sz="4" w:space="0" w:color="auto"/>
              <w:left w:val="single" w:sz="4" w:space="0" w:color="auto"/>
              <w:right w:val="single" w:sz="4" w:space="0" w:color="auto"/>
            </w:tcBorders>
            <w:shd w:val="clear" w:color="auto" w:fill="D9D9D9" w:themeFill="background1" w:themeFillShade="D9"/>
          </w:tcPr>
          <w:p w14:paraId="2D8FE7CA"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High </w:t>
            </w:r>
            <w:r>
              <w:rPr>
                <w:b/>
                <w:bCs/>
                <w:sz w:val="16"/>
                <w:szCs w:val="16"/>
              </w:rPr>
              <w:t>F</w:t>
            </w:r>
            <w:r w:rsidRPr="00D6170D">
              <w:rPr>
                <w:b/>
                <w:bCs/>
                <w:sz w:val="16"/>
                <w:szCs w:val="16"/>
              </w:rPr>
              <w:t xml:space="preserve">requency </w:t>
            </w:r>
            <w:r>
              <w:rPr>
                <w:b/>
                <w:bCs/>
                <w:sz w:val="16"/>
                <w:szCs w:val="16"/>
              </w:rPr>
              <w:t>H</w:t>
            </w:r>
            <w:r w:rsidRPr="00D6170D">
              <w:rPr>
                <w:b/>
                <w:bCs/>
                <w:sz w:val="16"/>
                <w:szCs w:val="16"/>
              </w:rPr>
              <w:t xml:space="preserve">eart </w:t>
            </w:r>
            <w:r>
              <w:rPr>
                <w:b/>
                <w:bCs/>
                <w:sz w:val="16"/>
                <w:szCs w:val="16"/>
              </w:rPr>
              <w:t>R</w:t>
            </w:r>
            <w:r w:rsidRPr="00D6170D">
              <w:rPr>
                <w:b/>
                <w:bCs/>
                <w:sz w:val="16"/>
                <w:szCs w:val="16"/>
              </w:rPr>
              <w:t xml:space="preserve">ate </w:t>
            </w:r>
            <w:r>
              <w:rPr>
                <w:b/>
                <w:bCs/>
                <w:sz w:val="16"/>
                <w:szCs w:val="16"/>
              </w:rPr>
              <w:t>V</w:t>
            </w:r>
            <w:r w:rsidRPr="00D6170D">
              <w:rPr>
                <w:b/>
                <w:bCs/>
                <w:sz w:val="16"/>
                <w:szCs w:val="16"/>
              </w:rPr>
              <w:t>ariability</w:t>
            </w:r>
          </w:p>
        </w:tc>
        <w:tc>
          <w:tcPr>
            <w:tcW w:w="1648" w:type="dxa"/>
            <w:tcBorders>
              <w:top w:val="single" w:sz="4" w:space="0" w:color="auto"/>
              <w:left w:val="single" w:sz="4" w:space="0" w:color="auto"/>
            </w:tcBorders>
            <w:shd w:val="clear" w:color="auto" w:fill="D9D9D9" w:themeFill="background1" w:themeFillShade="D9"/>
          </w:tcPr>
          <w:p w14:paraId="04BBFB17"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Parent/</w:t>
            </w:r>
            <w:r>
              <w:rPr>
                <w:b/>
                <w:bCs/>
                <w:sz w:val="16"/>
                <w:szCs w:val="16"/>
              </w:rPr>
              <w:t>I</w:t>
            </w:r>
            <w:r w:rsidRPr="00D6170D">
              <w:rPr>
                <w:b/>
                <w:bCs/>
                <w:sz w:val="16"/>
                <w:szCs w:val="16"/>
              </w:rPr>
              <w:t>nfant/</w:t>
            </w:r>
            <w:r>
              <w:rPr>
                <w:b/>
                <w:bCs/>
                <w:sz w:val="16"/>
                <w:szCs w:val="16"/>
              </w:rPr>
              <w:t>D</w:t>
            </w:r>
            <w:r w:rsidRPr="00D6170D">
              <w:rPr>
                <w:b/>
                <w:bCs/>
                <w:sz w:val="16"/>
                <w:szCs w:val="16"/>
              </w:rPr>
              <w:t xml:space="preserve">yadic </w:t>
            </w:r>
            <w:r>
              <w:rPr>
                <w:b/>
                <w:bCs/>
                <w:sz w:val="16"/>
                <w:szCs w:val="16"/>
              </w:rPr>
              <w:t>S</w:t>
            </w:r>
            <w:r w:rsidRPr="00D6170D">
              <w:rPr>
                <w:b/>
                <w:bCs/>
                <w:sz w:val="16"/>
                <w:szCs w:val="16"/>
              </w:rPr>
              <w:t>ubscales</w:t>
            </w:r>
          </w:p>
        </w:tc>
      </w:tr>
      <w:tr w:rsidR="00C656C3" w14:paraId="22007CAD" w14:textId="77777777" w:rsidTr="007D15ED">
        <w:tc>
          <w:tcPr>
            <w:cnfStyle w:val="001000000000" w:firstRow="0" w:lastRow="0" w:firstColumn="1" w:lastColumn="0" w:oddVBand="0" w:evenVBand="0" w:oddHBand="0" w:evenHBand="0" w:firstRowFirstColumn="0" w:firstRowLastColumn="0" w:lastRowFirstColumn="0" w:lastRowLastColumn="0"/>
            <w:tcW w:w="1435" w:type="dxa"/>
          </w:tcPr>
          <w:p w14:paraId="1AFC1AB7" w14:textId="77777777" w:rsidR="00C656C3" w:rsidRPr="00570D30" w:rsidRDefault="00C656C3" w:rsidP="007D15ED">
            <w:pPr>
              <w:jc w:val="center"/>
              <w:rPr>
                <w:b w:val="0"/>
                <w:bCs w:val="0"/>
                <w:color w:val="000000"/>
                <w:sz w:val="16"/>
                <w:szCs w:val="16"/>
              </w:rPr>
            </w:pPr>
            <w:r w:rsidRPr="00570D30">
              <w:rPr>
                <w:b w:val="0"/>
                <w:bCs w:val="0"/>
                <w:color w:val="000000"/>
                <w:sz w:val="16"/>
                <w:szCs w:val="16"/>
              </w:rPr>
              <w:t>Averin et al. (2012)</w:t>
            </w:r>
          </w:p>
        </w:tc>
        <w:tc>
          <w:tcPr>
            <w:tcW w:w="1592" w:type="dxa"/>
          </w:tcPr>
          <w:p w14:paraId="5499ADC1"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648" w:type="dxa"/>
          </w:tcPr>
          <w:p w14:paraId="26ABA5B3" w14:textId="77777777" w:rsidR="00C656C3" w:rsidRDefault="00C656C3" w:rsidP="007D15ED">
            <w:pPr>
              <w:cnfStyle w:val="000000000000" w:firstRow="0" w:lastRow="0" w:firstColumn="0" w:lastColumn="0" w:oddVBand="0" w:evenVBand="0" w:oddHBand="0" w:evenHBand="0" w:firstRowFirstColumn="0" w:firstRowLastColumn="0" w:lastRowFirstColumn="0" w:lastRowLastColumn="0"/>
              <w:rPr>
                <w:sz w:val="16"/>
                <w:szCs w:val="16"/>
              </w:rPr>
            </w:pPr>
          </w:p>
        </w:tc>
      </w:tr>
      <w:tr w:rsidR="00C656C3" w14:paraId="24C4D27A"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shd w:val="clear" w:color="auto" w:fill="F2F2F2" w:themeFill="background1" w:themeFillShade="F2"/>
          </w:tcPr>
          <w:p w14:paraId="07BBB89E" w14:textId="77777777" w:rsidR="00C656C3" w:rsidRPr="00570D30" w:rsidRDefault="00C656C3" w:rsidP="007D15ED">
            <w:pPr>
              <w:jc w:val="center"/>
              <w:rPr>
                <w:b w:val="0"/>
                <w:bCs w:val="0"/>
                <w:color w:val="000000"/>
                <w:sz w:val="16"/>
                <w:szCs w:val="16"/>
              </w:rPr>
            </w:pPr>
            <w:r w:rsidRPr="00570D30">
              <w:rPr>
                <w:b w:val="0"/>
                <w:bCs w:val="0"/>
                <w:color w:val="000000"/>
                <w:sz w:val="16"/>
                <w:szCs w:val="16"/>
              </w:rPr>
              <w:t>Dewan et al. (2012)</w:t>
            </w:r>
          </w:p>
        </w:tc>
        <w:tc>
          <w:tcPr>
            <w:tcW w:w="1592" w:type="dxa"/>
            <w:shd w:val="clear" w:color="auto" w:fill="F2F2F2" w:themeFill="background1" w:themeFillShade="F2"/>
          </w:tcPr>
          <w:p w14:paraId="47A6289D"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48" w:type="dxa"/>
            <w:shd w:val="clear" w:color="auto" w:fill="F2F2F2" w:themeFill="background1" w:themeFillShade="F2"/>
          </w:tcPr>
          <w:p w14:paraId="4C70F71C" w14:textId="77777777" w:rsidR="00C656C3" w:rsidRDefault="00C656C3" w:rsidP="007D15ED">
            <w:pPr>
              <w:cnfStyle w:val="000000100000" w:firstRow="0" w:lastRow="0" w:firstColumn="0" w:lastColumn="0" w:oddVBand="0" w:evenVBand="0" w:oddHBand="1" w:evenHBand="0" w:firstRowFirstColumn="0" w:firstRowLastColumn="0" w:lastRowFirstColumn="0" w:lastRowLastColumn="0"/>
              <w:rPr>
                <w:sz w:val="16"/>
                <w:szCs w:val="16"/>
              </w:rPr>
            </w:pPr>
          </w:p>
        </w:tc>
      </w:tr>
      <w:tr w:rsidR="00C656C3" w:rsidRPr="00E93208" w14:paraId="710DB4AD" w14:textId="77777777" w:rsidTr="007D15ED">
        <w:tc>
          <w:tcPr>
            <w:cnfStyle w:val="001000000000" w:firstRow="0" w:lastRow="0" w:firstColumn="1" w:lastColumn="0" w:oddVBand="0" w:evenVBand="0" w:oddHBand="0" w:evenHBand="0" w:firstRowFirstColumn="0" w:firstRowLastColumn="0" w:lastRowFirstColumn="0" w:lastRowLastColumn="0"/>
            <w:tcW w:w="1435" w:type="dxa"/>
          </w:tcPr>
          <w:p w14:paraId="2DCB5BFA" w14:textId="320F1D09" w:rsidR="00C656C3" w:rsidRPr="00570D30" w:rsidRDefault="00C656C3" w:rsidP="007D15ED">
            <w:pPr>
              <w:jc w:val="center"/>
              <w:rPr>
                <w:b w:val="0"/>
                <w:bCs w:val="0"/>
                <w:sz w:val="16"/>
                <w:szCs w:val="16"/>
              </w:rPr>
            </w:pPr>
            <w:r w:rsidRPr="00570D30">
              <w:rPr>
                <w:b w:val="0"/>
                <w:bCs w:val="0"/>
                <w:color w:val="000000"/>
                <w:sz w:val="16"/>
                <w:szCs w:val="16"/>
              </w:rPr>
              <w:t xml:space="preserve">Harrison </w:t>
            </w:r>
            <w:r w:rsidR="00202990">
              <w:rPr>
                <w:b w:val="0"/>
                <w:bCs w:val="0"/>
                <w:color w:val="000000"/>
                <w:sz w:val="16"/>
                <w:szCs w:val="16"/>
              </w:rPr>
              <w:t>&amp; Ferree</w:t>
            </w:r>
            <w:r w:rsidRPr="00570D30">
              <w:rPr>
                <w:b w:val="0"/>
                <w:bCs w:val="0"/>
                <w:color w:val="000000"/>
                <w:sz w:val="16"/>
                <w:szCs w:val="16"/>
              </w:rPr>
              <w:t xml:space="preserve"> (2014)</w:t>
            </w:r>
          </w:p>
        </w:tc>
        <w:tc>
          <w:tcPr>
            <w:tcW w:w="1592" w:type="dxa"/>
            <w:vAlign w:val="center"/>
          </w:tcPr>
          <w:p w14:paraId="6D944E80" w14:textId="77777777" w:rsidR="00C656C3" w:rsidRPr="00E93208"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NS</w:t>
            </w:r>
          </w:p>
        </w:tc>
        <w:tc>
          <w:tcPr>
            <w:tcW w:w="1648" w:type="dxa"/>
            <w:vAlign w:val="center"/>
          </w:tcPr>
          <w:p w14:paraId="6D9465AE" w14:textId="77777777" w:rsidR="00C656C3" w:rsidRPr="00E93208"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NS</w:t>
            </w:r>
          </w:p>
        </w:tc>
      </w:tr>
      <w:tr w:rsidR="00C656C3" w14:paraId="2A7A5DD8"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shd w:val="clear" w:color="auto" w:fill="F2F2F2" w:themeFill="background1" w:themeFillShade="F2"/>
          </w:tcPr>
          <w:p w14:paraId="35D9436A" w14:textId="77777777" w:rsidR="00C656C3" w:rsidRPr="00570D30" w:rsidRDefault="00C656C3" w:rsidP="007D15ED">
            <w:pPr>
              <w:jc w:val="center"/>
              <w:rPr>
                <w:b w:val="0"/>
                <w:bCs w:val="0"/>
                <w:color w:val="000000"/>
                <w:sz w:val="16"/>
                <w:szCs w:val="16"/>
              </w:rPr>
            </w:pPr>
            <w:r w:rsidRPr="00570D30">
              <w:rPr>
                <w:b w:val="0"/>
                <w:bCs w:val="0"/>
                <w:color w:val="000000"/>
                <w:sz w:val="16"/>
                <w:szCs w:val="16"/>
              </w:rPr>
              <w:t>Jeffries et al. (2006)</w:t>
            </w:r>
          </w:p>
        </w:tc>
        <w:tc>
          <w:tcPr>
            <w:tcW w:w="1592" w:type="dxa"/>
            <w:shd w:val="clear" w:color="auto" w:fill="F2F2F2" w:themeFill="background1" w:themeFillShade="F2"/>
          </w:tcPr>
          <w:p w14:paraId="6AFC0901"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648" w:type="dxa"/>
            <w:shd w:val="clear" w:color="auto" w:fill="F2F2F2" w:themeFill="background1" w:themeFillShade="F2"/>
          </w:tcPr>
          <w:p w14:paraId="61F260D9" w14:textId="77777777" w:rsidR="00C656C3" w:rsidRDefault="00C656C3" w:rsidP="007D15ED">
            <w:pPr>
              <w:cnfStyle w:val="000000100000" w:firstRow="0" w:lastRow="0" w:firstColumn="0" w:lastColumn="0" w:oddVBand="0" w:evenVBand="0" w:oddHBand="1" w:evenHBand="0" w:firstRowFirstColumn="0" w:firstRowLastColumn="0" w:lastRowFirstColumn="0" w:lastRowLastColumn="0"/>
              <w:rPr>
                <w:sz w:val="16"/>
                <w:szCs w:val="16"/>
              </w:rPr>
            </w:pPr>
          </w:p>
        </w:tc>
      </w:tr>
      <w:tr w:rsidR="00C656C3" w:rsidRPr="00E93208" w14:paraId="0E36A6A0" w14:textId="77777777" w:rsidTr="007D15ED">
        <w:tc>
          <w:tcPr>
            <w:cnfStyle w:val="001000000000" w:firstRow="0" w:lastRow="0" w:firstColumn="1" w:lastColumn="0" w:oddVBand="0" w:evenVBand="0" w:oddHBand="0" w:evenHBand="0" w:firstRowFirstColumn="0" w:firstRowLastColumn="0" w:lastRowFirstColumn="0" w:lastRowLastColumn="0"/>
            <w:tcW w:w="1435" w:type="dxa"/>
          </w:tcPr>
          <w:p w14:paraId="336EE85C" w14:textId="77777777" w:rsidR="00C656C3" w:rsidRPr="00570D30" w:rsidRDefault="00C656C3" w:rsidP="007D15ED">
            <w:pPr>
              <w:jc w:val="center"/>
              <w:rPr>
                <w:b w:val="0"/>
                <w:bCs w:val="0"/>
                <w:sz w:val="16"/>
                <w:szCs w:val="16"/>
              </w:rPr>
            </w:pPr>
            <w:r w:rsidRPr="00570D30">
              <w:rPr>
                <w:b w:val="0"/>
                <w:bCs w:val="0"/>
                <w:color w:val="000000"/>
                <w:sz w:val="16"/>
                <w:szCs w:val="16"/>
              </w:rPr>
              <w:t>Karsch et al. (2017)</w:t>
            </w:r>
          </w:p>
        </w:tc>
        <w:tc>
          <w:tcPr>
            <w:tcW w:w="1592" w:type="dxa"/>
          </w:tcPr>
          <w:p w14:paraId="40D4D070" w14:textId="77777777" w:rsidR="00C656C3" w:rsidRPr="00E93208" w:rsidRDefault="00C656C3" w:rsidP="007D15ED">
            <w:pPr>
              <w:cnfStyle w:val="000000000000" w:firstRow="0" w:lastRow="0" w:firstColumn="0" w:lastColumn="0" w:oddVBand="0" w:evenVBand="0" w:oddHBand="0" w:evenHBand="0" w:firstRowFirstColumn="0" w:firstRowLastColumn="0" w:lastRowFirstColumn="0" w:lastRowLastColumn="0"/>
              <w:rPr>
                <w:sz w:val="16"/>
                <w:szCs w:val="16"/>
              </w:rPr>
            </w:pPr>
          </w:p>
        </w:tc>
        <w:tc>
          <w:tcPr>
            <w:tcW w:w="1648" w:type="dxa"/>
          </w:tcPr>
          <w:p w14:paraId="3F4D2950" w14:textId="77777777" w:rsidR="00C656C3" w:rsidRPr="00E93208" w:rsidRDefault="00C656C3" w:rsidP="007D15ED">
            <w:pPr>
              <w:cnfStyle w:val="000000000000" w:firstRow="0" w:lastRow="0" w:firstColumn="0" w:lastColumn="0" w:oddVBand="0" w:evenVBand="0" w:oddHBand="0" w:evenHBand="0" w:firstRowFirstColumn="0" w:firstRowLastColumn="0" w:lastRowFirstColumn="0" w:lastRowLastColumn="0"/>
              <w:rPr>
                <w:sz w:val="16"/>
                <w:szCs w:val="16"/>
              </w:rPr>
            </w:pPr>
          </w:p>
        </w:tc>
      </w:tr>
      <w:tr w:rsidR="00C656C3" w:rsidRPr="00E93208" w14:paraId="7E8EBA7D"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shd w:val="clear" w:color="auto" w:fill="F2F2F2" w:themeFill="background1" w:themeFillShade="F2"/>
          </w:tcPr>
          <w:p w14:paraId="61A30351" w14:textId="77777777" w:rsidR="00C656C3" w:rsidRPr="00570D30" w:rsidRDefault="00C656C3" w:rsidP="007D15ED">
            <w:pPr>
              <w:jc w:val="center"/>
              <w:rPr>
                <w:b w:val="0"/>
                <w:bCs w:val="0"/>
                <w:sz w:val="16"/>
                <w:szCs w:val="16"/>
              </w:rPr>
            </w:pPr>
            <w:r w:rsidRPr="00570D30">
              <w:rPr>
                <w:sz w:val="16"/>
                <w:szCs w:val="16"/>
              </w:rPr>
              <w:fldChar w:fldCharType="begin" w:fldLock="1"/>
            </w:r>
            <w:r w:rsidRPr="00570D30">
              <w:rPr>
                <w:b w:val="0"/>
                <w:bCs w:val="0"/>
                <w:sz w:val="16"/>
                <w:szCs w:val="16"/>
              </w:rPr>
              <w:instrText>ADDIN CSL_CITATION {"citationItems":[{"id":"ITEM-1","itemData":{"DOI":"10.1097/PCC.0000000000002540","ISBN":"0000000000","ISSN":"19473893","PMID":"33009358","abstract":"Objectives: To evaluate the association of preoperative risk factors and postoperative outcomes in infants with complex congenital heart disease. Design: Single-center retrospective cohort study. Setting: Neonatal ICU and cardiovascular ICU. Patients: Infants of all gestational ages, born at Texas Children's Hospital between 2010 and 2016, with complex congenital heart disease requiring intervention prior to discharge. Interventions: None. Measurements and Main Results: A total of 399 patients were enrolled in the study. Preoperative risk factors included feeding, type of feeding, feeding route, and cardiac lesion. Postoperative outcomes included necrotizing enterocolitis, hospital length of stay, and days to full feeds. The occurrence rate of postoperative necrotizing enterocolitis (all stages) was 8%. Preoperative feeding, type of feeding, feeding route, and cardiac lesion were not associated with higher odds of postoperative necrotizing enterocolitis. Cardiac lesions with ductal-dependent systemic blood flow were associated with a hospital length of stay of 19.6 days longer than those with ductal-dependent pulmonary blood flow (p &lt; 0.001) and 2.9 days longer to reach full feeds than those with ductal-dependent pulmonary blood flow (p &lt; 0.001), after controlling for prematurity. Nasogastric feeding route preoperatively was associated with a length of stay of 29.8 days longer than those fed by mouth (p &lt; 0.001) and 2.4 days longer to achieve full feeds (p &lt; 0.001), after controlling for prematurity and cardiac lesion. Preoperative diet itself was not associated with significant change in length of stay or days to reach full feeds. Conclusions: Although cardiac lesions with ductal-dependent systemic blood flow are considered high risk and may increase length of stay and days to achieve full feeds, they are not associated with a higher risk of postoperative necrotizing enterocolitis. Nasogastric route is not associated with a significantly higher risk of necrotizing enterocolitis, but longer length of stay and days to reach full feeds. These findings challenge our perioperative management strategies in caring for these infants, as they may incur more hospital costs and resources without significant medical benefit.","author":[{"dropping-particle":"","family":"Kataria-Hale","given":"Jasmeet","non-dropping-particle":"","parse-names":false,"suffix":""},{"dropping-particle":"","family":"Cognata","given":"Acacia","non-dropping-particle":"","parse-names":false,"suffix":""},{"dropping-particle":"","family":"Hagan","given":"Joseph","non-dropping-particle":"","parse-names":false,"suffix":""},{"dropping-particle":"","family":"Zender","given":"Jill","non-dropping-particle":"","parse-names":false,"suffix":""},{"dropping-particle":"","family":"Sheaks","given":"Paige","non-dropping-particle":"","parse-names":false,"suffix":""},{"dropping-particle":"","family":"Osborne","given":"Scott","non-dropping-particle":"","parse-names":false,"suffix":""},{"dropping-particle":"","family":"Roddy","given":"Jeramy","non-dropping-particle":"","parse-names":false,"suffix":""},{"dropping-particle":"","family":"Hair","given":"Amy","non-dropping-particle":"","parse-names":false,"suffix":""}],"container-title":"Pediatric Critical Care Medicine","id":"ITEM-1","issued":{"date-parts":[["2021"]]},"page":"E91-E98","title":"The Relationship between Preoperative Feeding Exposures and Postoperative Outcomes in Infants with Congenital Heart Disease","type":"article-journal"},"uris":["http://www.mendeley.com/documents/?uuid=d37584d0-f665-44b0-94d1-304f7aff7262"]}],"mendeley":{"formattedCitation":"(Kataria-Hale et al., 2021)","manualFormatting":"(Kataria-Hale et al. (2021)","plainTextFormattedCitation":"(Kataria-Hale et al., 2021)","previouslyFormattedCitation":"(Kataria-Hale et al., 2021)"},"properties":{"noteIndex":0},"schema":"https://github.com/citation-style-language/schema/raw/master/csl-citation.json"}</w:instrText>
            </w:r>
            <w:r w:rsidRPr="00570D30">
              <w:rPr>
                <w:sz w:val="16"/>
                <w:szCs w:val="16"/>
              </w:rPr>
              <w:fldChar w:fldCharType="separate"/>
            </w:r>
            <w:r w:rsidRPr="00570D30">
              <w:rPr>
                <w:b w:val="0"/>
                <w:bCs w:val="0"/>
                <w:noProof/>
                <w:sz w:val="16"/>
                <w:szCs w:val="16"/>
              </w:rPr>
              <w:t>(Kataria-Hale et al. (2021)</w:t>
            </w:r>
            <w:r w:rsidRPr="00570D30">
              <w:rPr>
                <w:sz w:val="16"/>
                <w:szCs w:val="16"/>
              </w:rPr>
              <w:fldChar w:fldCharType="end"/>
            </w:r>
          </w:p>
        </w:tc>
        <w:tc>
          <w:tcPr>
            <w:tcW w:w="1592" w:type="dxa"/>
            <w:shd w:val="clear" w:color="auto" w:fill="F2F2F2" w:themeFill="background1" w:themeFillShade="F2"/>
          </w:tcPr>
          <w:p w14:paraId="45C3274C" w14:textId="77777777" w:rsidR="00C656C3" w:rsidRPr="00E93208" w:rsidRDefault="00C656C3" w:rsidP="007D15ED">
            <w:pPr>
              <w:cnfStyle w:val="000000100000" w:firstRow="0" w:lastRow="0" w:firstColumn="0" w:lastColumn="0" w:oddVBand="0" w:evenVBand="0" w:oddHBand="1" w:evenHBand="0" w:firstRowFirstColumn="0" w:firstRowLastColumn="0" w:lastRowFirstColumn="0" w:lastRowLastColumn="0"/>
              <w:rPr>
                <w:sz w:val="16"/>
                <w:szCs w:val="16"/>
              </w:rPr>
            </w:pPr>
          </w:p>
        </w:tc>
        <w:tc>
          <w:tcPr>
            <w:tcW w:w="1648" w:type="dxa"/>
            <w:shd w:val="clear" w:color="auto" w:fill="F2F2F2" w:themeFill="background1" w:themeFillShade="F2"/>
          </w:tcPr>
          <w:p w14:paraId="6AC76586" w14:textId="77777777" w:rsidR="00C656C3" w:rsidRPr="00E93208" w:rsidRDefault="00C656C3" w:rsidP="007D15ED">
            <w:pPr>
              <w:cnfStyle w:val="000000100000" w:firstRow="0" w:lastRow="0" w:firstColumn="0" w:lastColumn="0" w:oddVBand="0" w:evenVBand="0" w:oddHBand="1" w:evenHBand="0" w:firstRowFirstColumn="0" w:firstRowLastColumn="0" w:lastRowFirstColumn="0" w:lastRowLastColumn="0"/>
              <w:rPr>
                <w:sz w:val="16"/>
                <w:szCs w:val="16"/>
              </w:rPr>
            </w:pPr>
          </w:p>
        </w:tc>
      </w:tr>
      <w:tr w:rsidR="00C656C3" w:rsidRPr="00E93208" w14:paraId="43D4A436" w14:textId="77777777" w:rsidTr="007D15ED">
        <w:tc>
          <w:tcPr>
            <w:cnfStyle w:val="001000000000" w:firstRow="0" w:lastRow="0" w:firstColumn="1" w:lastColumn="0" w:oddVBand="0" w:evenVBand="0" w:oddHBand="0" w:evenHBand="0" w:firstRowFirstColumn="0" w:firstRowLastColumn="0" w:lastRowFirstColumn="0" w:lastRowLastColumn="0"/>
            <w:tcW w:w="1435" w:type="dxa"/>
          </w:tcPr>
          <w:p w14:paraId="44955482" w14:textId="77777777" w:rsidR="00C656C3" w:rsidRPr="00570D30" w:rsidRDefault="00C656C3" w:rsidP="007D15ED">
            <w:pPr>
              <w:jc w:val="center"/>
              <w:rPr>
                <w:b w:val="0"/>
                <w:bCs w:val="0"/>
                <w:sz w:val="16"/>
                <w:szCs w:val="16"/>
              </w:rPr>
            </w:pPr>
            <w:r w:rsidRPr="00570D30">
              <w:rPr>
                <w:b w:val="0"/>
                <w:bCs w:val="0"/>
                <w:color w:val="000000"/>
                <w:sz w:val="16"/>
                <w:szCs w:val="16"/>
              </w:rPr>
              <w:t>Skinner et al. (2005)</w:t>
            </w:r>
          </w:p>
        </w:tc>
        <w:tc>
          <w:tcPr>
            <w:tcW w:w="1592" w:type="dxa"/>
          </w:tcPr>
          <w:p w14:paraId="2FD7C5E3" w14:textId="77777777" w:rsidR="00C656C3" w:rsidRPr="00E93208" w:rsidRDefault="00C656C3" w:rsidP="007D15ED">
            <w:pPr>
              <w:cnfStyle w:val="000000000000" w:firstRow="0" w:lastRow="0" w:firstColumn="0" w:lastColumn="0" w:oddVBand="0" w:evenVBand="0" w:oddHBand="0" w:evenHBand="0" w:firstRowFirstColumn="0" w:firstRowLastColumn="0" w:lastRowFirstColumn="0" w:lastRowLastColumn="0"/>
              <w:rPr>
                <w:sz w:val="16"/>
                <w:szCs w:val="16"/>
              </w:rPr>
            </w:pPr>
          </w:p>
        </w:tc>
        <w:tc>
          <w:tcPr>
            <w:tcW w:w="1648" w:type="dxa"/>
          </w:tcPr>
          <w:p w14:paraId="03CF53F6" w14:textId="77777777" w:rsidR="00C656C3" w:rsidRPr="00E93208" w:rsidRDefault="00C656C3" w:rsidP="007D15ED">
            <w:pPr>
              <w:cnfStyle w:val="000000000000" w:firstRow="0" w:lastRow="0" w:firstColumn="0" w:lastColumn="0" w:oddVBand="0" w:evenVBand="0" w:oddHBand="0" w:evenHBand="0" w:firstRowFirstColumn="0" w:firstRowLastColumn="0" w:lastRowFirstColumn="0" w:lastRowLastColumn="0"/>
              <w:rPr>
                <w:sz w:val="16"/>
                <w:szCs w:val="16"/>
              </w:rPr>
            </w:pPr>
          </w:p>
        </w:tc>
      </w:tr>
      <w:tr w:rsidR="00C656C3" w:rsidRPr="00E93208" w14:paraId="29AAFE1E"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gridSpan w:val="3"/>
            <w:shd w:val="clear" w:color="auto" w:fill="FFFFFF" w:themeFill="background1"/>
          </w:tcPr>
          <w:p w14:paraId="4FAC8D06" w14:textId="6D808C92" w:rsidR="00C656C3" w:rsidRPr="00E93208" w:rsidRDefault="00C656C3" w:rsidP="007D15ED">
            <w:pPr>
              <w:rPr>
                <w:sz w:val="16"/>
                <w:szCs w:val="16"/>
              </w:rPr>
            </w:pPr>
            <w:r w:rsidRPr="00147A3C">
              <w:rPr>
                <w:b w:val="0"/>
                <w:bCs w:val="0"/>
                <w:color w:val="000000"/>
                <w:sz w:val="13"/>
                <w:szCs w:val="13"/>
              </w:rPr>
              <w:t xml:space="preserve">Key: </w:t>
            </w:r>
            <w:r w:rsidR="00210EA7" w:rsidRPr="00147A3C">
              <w:rPr>
                <w:b w:val="0"/>
                <w:bCs w:val="0"/>
                <w:color w:val="000000"/>
                <w:sz w:val="13"/>
                <w:szCs w:val="13"/>
              </w:rPr>
              <w:t xml:space="preserve">NS </w:t>
            </w:r>
            <w:r w:rsidR="00210EA7" w:rsidRPr="00D6170D">
              <w:rPr>
                <w:b w:val="0"/>
                <w:bCs w:val="0"/>
                <w:color w:val="000000"/>
                <w:sz w:val="13"/>
                <w:szCs w:val="13"/>
                <w:shd w:val="clear" w:color="auto" w:fill="FFFFFF" w:themeFill="background1"/>
              </w:rPr>
              <w:t xml:space="preserve">= </w:t>
            </w:r>
            <w:r w:rsidR="00292A4D">
              <w:rPr>
                <w:b w:val="0"/>
                <w:bCs w:val="0"/>
                <w:color w:val="000000"/>
                <w:sz w:val="13"/>
                <w:szCs w:val="13"/>
                <w:shd w:val="clear" w:color="auto" w:fill="FFFFFF" w:themeFill="background1"/>
              </w:rPr>
              <w:t>n</w:t>
            </w:r>
            <w:r w:rsidR="00210EA7" w:rsidRPr="00D6170D">
              <w:rPr>
                <w:b w:val="0"/>
                <w:bCs w:val="0"/>
                <w:color w:val="000000"/>
                <w:sz w:val="13"/>
                <w:szCs w:val="13"/>
                <w:shd w:val="clear" w:color="auto" w:fill="FFFFFF" w:themeFill="background1"/>
              </w:rPr>
              <w:t>on-significant association/</w:t>
            </w:r>
            <w:r w:rsidR="00210EA7" w:rsidRPr="00147A3C">
              <w:rPr>
                <w:b w:val="0"/>
                <w:bCs w:val="0"/>
                <w:color w:val="000000"/>
                <w:sz w:val="13"/>
                <w:szCs w:val="13"/>
              </w:rPr>
              <w:t>relationship as reported by primary study authors</w:t>
            </w:r>
            <w:r w:rsidRPr="00147A3C">
              <w:rPr>
                <w:b w:val="0"/>
                <w:bCs w:val="0"/>
                <w:color w:val="000000"/>
                <w:sz w:val="13"/>
                <w:szCs w:val="13"/>
              </w:rPr>
              <w:t xml:space="preserve"> </w:t>
            </w:r>
          </w:p>
        </w:tc>
      </w:tr>
    </w:tbl>
    <w:p w14:paraId="79316ABE" w14:textId="1FE37DB2" w:rsidR="00C656C3" w:rsidRDefault="00C656C3"/>
    <w:p w14:paraId="7559E35D" w14:textId="618B40C3" w:rsidR="00C656C3" w:rsidRDefault="00C656C3"/>
    <w:tbl>
      <w:tblPr>
        <w:tblStyle w:val="GridTable6Colorful"/>
        <w:tblW w:w="0" w:type="auto"/>
        <w:tblLook w:val="04A0" w:firstRow="1" w:lastRow="0" w:firstColumn="1" w:lastColumn="0" w:noHBand="0" w:noVBand="1"/>
      </w:tblPr>
      <w:tblGrid>
        <w:gridCol w:w="1435"/>
        <w:gridCol w:w="2075"/>
      </w:tblGrid>
      <w:tr w:rsidR="00C656C3" w14:paraId="2DAB199A" w14:textId="77777777" w:rsidTr="00210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gridSpan w:val="2"/>
            <w:tcBorders>
              <w:top w:val="nil"/>
              <w:left w:val="nil"/>
              <w:bottom w:val="single" w:sz="4" w:space="0" w:color="auto"/>
              <w:right w:val="nil"/>
            </w:tcBorders>
          </w:tcPr>
          <w:p w14:paraId="619BB63C" w14:textId="3E491FE4" w:rsidR="00C656C3" w:rsidRPr="00B97207" w:rsidRDefault="00210EA7" w:rsidP="007D15ED">
            <w:pPr>
              <w:rPr>
                <w:sz w:val="16"/>
                <w:szCs w:val="16"/>
              </w:rPr>
            </w:pPr>
            <w:r>
              <w:rPr>
                <w:sz w:val="16"/>
                <w:szCs w:val="16"/>
              </w:rPr>
              <w:t xml:space="preserve">Table 2. </w:t>
            </w:r>
            <w:r w:rsidR="00C656C3" w:rsidRPr="00CB758D">
              <w:rPr>
                <w:sz w:val="16"/>
                <w:szCs w:val="16"/>
              </w:rPr>
              <w:t>Intraoperative Dependent Variable</w:t>
            </w:r>
            <w:r w:rsidR="00C656C3">
              <w:rPr>
                <w:sz w:val="16"/>
                <w:szCs w:val="16"/>
              </w:rPr>
              <w:t>s</w:t>
            </w:r>
          </w:p>
        </w:tc>
      </w:tr>
      <w:tr w:rsidR="00C656C3" w14:paraId="12DAC11D" w14:textId="77777777" w:rsidTr="00210E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auto"/>
              <w:right w:val="single" w:sz="4" w:space="0" w:color="auto"/>
            </w:tcBorders>
            <w:shd w:val="clear" w:color="auto" w:fill="D9D9D9" w:themeFill="background1" w:themeFillShade="D9"/>
          </w:tcPr>
          <w:p w14:paraId="180201D0" w14:textId="77777777" w:rsidR="00C656C3" w:rsidRPr="00D6170D" w:rsidRDefault="00C656C3" w:rsidP="007D15ED">
            <w:pPr>
              <w:jc w:val="center"/>
              <w:rPr>
                <w:sz w:val="16"/>
                <w:szCs w:val="16"/>
              </w:rPr>
            </w:pPr>
            <w:r w:rsidRPr="00D6170D">
              <w:rPr>
                <w:sz w:val="16"/>
                <w:szCs w:val="16"/>
              </w:rPr>
              <w:t>Study</w:t>
            </w:r>
          </w:p>
        </w:tc>
        <w:tc>
          <w:tcPr>
            <w:tcW w:w="2075" w:type="dxa"/>
            <w:tcBorders>
              <w:top w:val="single" w:sz="4" w:space="0" w:color="auto"/>
              <w:left w:val="single" w:sz="4" w:space="0" w:color="auto"/>
            </w:tcBorders>
            <w:shd w:val="clear" w:color="auto" w:fill="D9D9D9" w:themeFill="background1" w:themeFillShade="D9"/>
          </w:tcPr>
          <w:p w14:paraId="200C4C60"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Aortic </w:t>
            </w:r>
            <w:r>
              <w:rPr>
                <w:b/>
                <w:bCs/>
                <w:sz w:val="16"/>
                <w:szCs w:val="16"/>
              </w:rPr>
              <w:t>A</w:t>
            </w:r>
            <w:r w:rsidRPr="00D6170D">
              <w:rPr>
                <w:b/>
                <w:bCs/>
                <w:sz w:val="16"/>
                <w:szCs w:val="16"/>
              </w:rPr>
              <w:t xml:space="preserve">rch vs </w:t>
            </w:r>
            <w:r>
              <w:rPr>
                <w:b/>
                <w:bCs/>
                <w:sz w:val="16"/>
                <w:szCs w:val="16"/>
              </w:rPr>
              <w:t>N</w:t>
            </w:r>
            <w:r w:rsidRPr="00D6170D">
              <w:rPr>
                <w:b/>
                <w:bCs/>
                <w:sz w:val="16"/>
                <w:szCs w:val="16"/>
              </w:rPr>
              <w:t>on-</w:t>
            </w:r>
            <w:r>
              <w:rPr>
                <w:b/>
                <w:bCs/>
                <w:sz w:val="16"/>
                <w:szCs w:val="16"/>
              </w:rPr>
              <w:t>A</w:t>
            </w:r>
            <w:r w:rsidRPr="00D6170D">
              <w:rPr>
                <w:b/>
                <w:bCs/>
                <w:sz w:val="16"/>
                <w:szCs w:val="16"/>
              </w:rPr>
              <w:t xml:space="preserve">ortic </w:t>
            </w:r>
            <w:r>
              <w:rPr>
                <w:b/>
                <w:bCs/>
                <w:sz w:val="16"/>
                <w:szCs w:val="16"/>
              </w:rPr>
              <w:t>A</w:t>
            </w:r>
            <w:r w:rsidRPr="00D6170D">
              <w:rPr>
                <w:b/>
                <w:bCs/>
                <w:sz w:val="16"/>
                <w:szCs w:val="16"/>
              </w:rPr>
              <w:t xml:space="preserve">rch </w:t>
            </w:r>
            <w:r>
              <w:rPr>
                <w:b/>
                <w:bCs/>
                <w:sz w:val="16"/>
                <w:szCs w:val="16"/>
              </w:rPr>
              <w:t>S</w:t>
            </w:r>
            <w:r w:rsidRPr="00D6170D">
              <w:rPr>
                <w:b/>
                <w:bCs/>
                <w:sz w:val="16"/>
                <w:szCs w:val="16"/>
              </w:rPr>
              <w:t>urgery</w:t>
            </w:r>
          </w:p>
        </w:tc>
      </w:tr>
      <w:tr w:rsidR="00C656C3" w14:paraId="51B0BF74" w14:textId="77777777" w:rsidTr="00210EA7">
        <w:tc>
          <w:tcPr>
            <w:cnfStyle w:val="001000000000" w:firstRow="0" w:lastRow="0" w:firstColumn="1" w:lastColumn="0" w:oddVBand="0" w:evenVBand="0" w:oddHBand="0" w:evenHBand="0" w:firstRowFirstColumn="0" w:firstRowLastColumn="0" w:lastRowFirstColumn="0" w:lastRowLastColumn="0"/>
            <w:tcW w:w="1435" w:type="dxa"/>
          </w:tcPr>
          <w:p w14:paraId="6D2F3EE3" w14:textId="77777777" w:rsidR="00C656C3" w:rsidRPr="00B97207" w:rsidRDefault="00C656C3" w:rsidP="007D15ED">
            <w:pPr>
              <w:jc w:val="center"/>
              <w:rPr>
                <w:b w:val="0"/>
                <w:bCs w:val="0"/>
              </w:rPr>
            </w:pPr>
            <w:r w:rsidRPr="00B97207">
              <w:rPr>
                <w:b w:val="0"/>
                <w:bCs w:val="0"/>
                <w:color w:val="000000"/>
                <w:sz w:val="16"/>
                <w:szCs w:val="16"/>
              </w:rPr>
              <w:t>Averin et al. (2012)</w:t>
            </w:r>
          </w:p>
        </w:tc>
        <w:tc>
          <w:tcPr>
            <w:tcW w:w="2075" w:type="dxa"/>
          </w:tcPr>
          <w:p w14:paraId="488C8400" w14:textId="77777777" w:rsidR="00C656C3" w:rsidRDefault="00C656C3" w:rsidP="007D15ED">
            <w:pPr>
              <w:cnfStyle w:val="000000000000" w:firstRow="0" w:lastRow="0" w:firstColumn="0" w:lastColumn="0" w:oddVBand="0" w:evenVBand="0" w:oddHBand="0" w:evenHBand="0" w:firstRowFirstColumn="0" w:firstRowLastColumn="0" w:lastRowFirstColumn="0" w:lastRowLastColumn="0"/>
            </w:pPr>
          </w:p>
        </w:tc>
      </w:tr>
      <w:tr w:rsidR="00C656C3" w14:paraId="526A11DE" w14:textId="77777777" w:rsidTr="00210E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shd w:val="clear" w:color="auto" w:fill="F2F2F2" w:themeFill="background1" w:themeFillShade="F2"/>
          </w:tcPr>
          <w:p w14:paraId="04AD9B9D" w14:textId="77777777" w:rsidR="00C656C3" w:rsidRPr="00B97207" w:rsidRDefault="00C656C3" w:rsidP="007D15ED">
            <w:pPr>
              <w:jc w:val="center"/>
              <w:rPr>
                <w:b w:val="0"/>
                <w:bCs w:val="0"/>
              </w:rPr>
            </w:pPr>
            <w:r w:rsidRPr="00B97207">
              <w:rPr>
                <w:b w:val="0"/>
                <w:bCs w:val="0"/>
                <w:color w:val="000000"/>
                <w:sz w:val="16"/>
                <w:szCs w:val="16"/>
              </w:rPr>
              <w:t>Dewan et al. (2012)</w:t>
            </w:r>
          </w:p>
        </w:tc>
        <w:tc>
          <w:tcPr>
            <w:tcW w:w="2075" w:type="dxa"/>
            <w:shd w:val="clear" w:color="auto" w:fill="F2F2F2" w:themeFill="background1" w:themeFillShade="F2"/>
            <w:vAlign w:val="center"/>
          </w:tcPr>
          <w:p w14:paraId="13377AAE" w14:textId="77777777" w:rsidR="00C656C3" w:rsidRPr="00445B60"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r w:rsidRPr="00445B60">
              <w:rPr>
                <w:sz w:val="16"/>
                <w:szCs w:val="16"/>
              </w:rPr>
              <w:t>S</w:t>
            </w:r>
          </w:p>
        </w:tc>
      </w:tr>
      <w:tr w:rsidR="00C656C3" w14:paraId="4278B496" w14:textId="77777777" w:rsidTr="00210EA7">
        <w:tc>
          <w:tcPr>
            <w:cnfStyle w:val="001000000000" w:firstRow="0" w:lastRow="0" w:firstColumn="1" w:lastColumn="0" w:oddVBand="0" w:evenVBand="0" w:oddHBand="0" w:evenHBand="0" w:firstRowFirstColumn="0" w:firstRowLastColumn="0" w:lastRowFirstColumn="0" w:lastRowLastColumn="0"/>
            <w:tcW w:w="1435" w:type="dxa"/>
          </w:tcPr>
          <w:p w14:paraId="4A3C5561" w14:textId="77777777" w:rsidR="00C656C3" w:rsidRPr="00B97207" w:rsidRDefault="00C656C3" w:rsidP="007D15ED">
            <w:pPr>
              <w:jc w:val="center"/>
              <w:rPr>
                <w:b w:val="0"/>
                <w:bCs w:val="0"/>
              </w:rPr>
            </w:pPr>
            <w:r w:rsidRPr="00B97207">
              <w:rPr>
                <w:b w:val="0"/>
                <w:bCs w:val="0"/>
                <w:color w:val="000000"/>
                <w:sz w:val="16"/>
                <w:szCs w:val="16"/>
              </w:rPr>
              <w:t>Harrison et al. (2014)</w:t>
            </w:r>
          </w:p>
        </w:tc>
        <w:tc>
          <w:tcPr>
            <w:tcW w:w="2075" w:type="dxa"/>
          </w:tcPr>
          <w:p w14:paraId="07A43B04" w14:textId="77777777" w:rsidR="00C656C3" w:rsidRDefault="00C656C3" w:rsidP="007D15ED">
            <w:pPr>
              <w:cnfStyle w:val="000000000000" w:firstRow="0" w:lastRow="0" w:firstColumn="0" w:lastColumn="0" w:oddVBand="0" w:evenVBand="0" w:oddHBand="0" w:evenHBand="0" w:firstRowFirstColumn="0" w:firstRowLastColumn="0" w:lastRowFirstColumn="0" w:lastRowLastColumn="0"/>
            </w:pPr>
          </w:p>
        </w:tc>
      </w:tr>
      <w:tr w:rsidR="00C656C3" w14:paraId="3F4E2361" w14:textId="77777777" w:rsidTr="00210E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shd w:val="clear" w:color="auto" w:fill="F2F2F2" w:themeFill="background1" w:themeFillShade="F2"/>
          </w:tcPr>
          <w:p w14:paraId="2BB4B7CF" w14:textId="77777777" w:rsidR="00C656C3" w:rsidRPr="00B97207" w:rsidRDefault="00C656C3" w:rsidP="007D15ED">
            <w:pPr>
              <w:jc w:val="center"/>
              <w:rPr>
                <w:b w:val="0"/>
                <w:bCs w:val="0"/>
              </w:rPr>
            </w:pPr>
            <w:r w:rsidRPr="00B97207">
              <w:rPr>
                <w:b w:val="0"/>
                <w:bCs w:val="0"/>
                <w:color w:val="000000"/>
                <w:sz w:val="16"/>
                <w:szCs w:val="16"/>
              </w:rPr>
              <w:t>Jeffries et al. (2006)</w:t>
            </w:r>
          </w:p>
        </w:tc>
        <w:tc>
          <w:tcPr>
            <w:tcW w:w="2075" w:type="dxa"/>
            <w:shd w:val="clear" w:color="auto" w:fill="F2F2F2" w:themeFill="background1" w:themeFillShade="F2"/>
          </w:tcPr>
          <w:p w14:paraId="4EFC4775" w14:textId="77777777" w:rsidR="00C656C3" w:rsidRDefault="00C656C3" w:rsidP="007D15ED">
            <w:pPr>
              <w:cnfStyle w:val="000000100000" w:firstRow="0" w:lastRow="0" w:firstColumn="0" w:lastColumn="0" w:oddVBand="0" w:evenVBand="0" w:oddHBand="1" w:evenHBand="0" w:firstRowFirstColumn="0" w:firstRowLastColumn="0" w:lastRowFirstColumn="0" w:lastRowLastColumn="0"/>
            </w:pPr>
          </w:p>
        </w:tc>
      </w:tr>
      <w:tr w:rsidR="00C656C3" w14:paraId="6F033359" w14:textId="77777777" w:rsidTr="00210EA7">
        <w:tc>
          <w:tcPr>
            <w:cnfStyle w:val="001000000000" w:firstRow="0" w:lastRow="0" w:firstColumn="1" w:lastColumn="0" w:oddVBand="0" w:evenVBand="0" w:oddHBand="0" w:evenHBand="0" w:firstRowFirstColumn="0" w:firstRowLastColumn="0" w:lastRowFirstColumn="0" w:lastRowLastColumn="0"/>
            <w:tcW w:w="1435" w:type="dxa"/>
          </w:tcPr>
          <w:p w14:paraId="33B00BD8" w14:textId="77777777" w:rsidR="00C656C3" w:rsidRPr="00B97207" w:rsidRDefault="00C656C3" w:rsidP="007D15ED">
            <w:pPr>
              <w:jc w:val="center"/>
              <w:rPr>
                <w:b w:val="0"/>
                <w:bCs w:val="0"/>
              </w:rPr>
            </w:pPr>
            <w:r w:rsidRPr="00B97207">
              <w:rPr>
                <w:b w:val="0"/>
                <w:bCs w:val="0"/>
                <w:color w:val="000000"/>
                <w:sz w:val="16"/>
                <w:szCs w:val="16"/>
              </w:rPr>
              <w:t>Karsch et al. (2017)</w:t>
            </w:r>
          </w:p>
        </w:tc>
        <w:tc>
          <w:tcPr>
            <w:tcW w:w="2075" w:type="dxa"/>
          </w:tcPr>
          <w:p w14:paraId="03C31B83" w14:textId="77777777" w:rsidR="00C656C3" w:rsidRDefault="00C656C3" w:rsidP="007D15ED">
            <w:pPr>
              <w:cnfStyle w:val="000000000000" w:firstRow="0" w:lastRow="0" w:firstColumn="0" w:lastColumn="0" w:oddVBand="0" w:evenVBand="0" w:oddHBand="0" w:evenHBand="0" w:firstRowFirstColumn="0" w:firstRowLastColumn="0" w:lastRowFirstColumn="0" w:lastRowLastColumn="0"/>
            </w:pPr>
          </w:p>
        </w:tc>
      </w:tr>
      <w:tr w:rsidR="00C656C3" w14:paraId="1C42E10A" w14:textId="77777777" w:rsidTr="00210E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shd w:val="clear" w:color="auto" w:fill="F2F2F2" w:themeFill="background1" w:themeFillShade="F2"/>
          </w:tcPr>
          <w:p w14:paraId="68D5D777" w14:textId="77777777" w:rsidR="00C656C3" w:rsidRPr="00B97207" w:rsidRDefault="00C656C3" w:rsidP="007D15ED">
            <w:pPr>
              <w:jc w:val="center"/>
              <w:rPr>
                <w:b w:val="0"/>
                <w:bCs w:val="0"/>
              </w:rPr>
            </w:pPr>
            <w:r w:rsidRPr="00B97207">
              <w:rPr>
                <w:sz w:val="16"/>
                <w:szCs w:val="16"/>
              </w:rPr>
              <w:fldChar w:fldCharType="begin" w:fldLock="1"/>
            </w:r>
            <w:r w:rsidRPr="00B97207">
              <w:rPr>
                <w:b w:val="0"/>
                <w:bCs w:val="0"/>
                <w:sz w:val="16"/>
                <w:szCs w:val="16"/>
              </w:rPr>
              <w:instrText>ADDIN CSL_CITATION {"citationItems":[{"id":"ITEM-1","itemData":{"DOI":"10.1097/PCC.0000000000002540","ISBN":"0000000000","ISSN":"19473893","PMID":"33009358","abstract":"Objectives: To evaluate the association of preoperative risk factors and postoperative outcomes in infants with complex congenital heart disease. Design: Single-center retrospective cohort study. Setting: Neonatal ICU and cardiovascular ICU. Patients: Infants of all gestational ages, born at Texas Children's Hospital between 2010 and 2016, with complex congenital heart disease requiring intervention prior to discharge. Interventions: None. Measurements and Main Results: A total of 399 patients were enrolled in the study. Preoperative risk factors included feeding, type of feeding, feeding route, and cardiac lesion. Postoperative outcomes included necrotizing enterocolitis, hospital length of stay, and days to full feeds. The occurrence rate of postoperative necrotizing enterocolitis (all stages) was 8%. Preoperative feeding, type of feeding, feeding route, and cardiac lesion were not associated with higher odds of postoperative necrotizing enterocolitis. Cardiac lesions with ductal-dependent systemic blood flow were associated with a hospital length of stay of 19.6 days longer than those with ductal-dependent pulmonary blood flow (p &lt; 0.001) and 2.9 days longer to reach full feeds than those with ductal-dependent pulmonary blood flow (p &lt; 0.001), after controlling for prematurity. Nasogastric feeding route preoperatively was associated with a length of stay of 29.8 days longer than those fed by mouth (p &lt; 0.001) and 2.4 days longer to achieve full feeds (p &lt; 0.001), after controlling for prematurity and cardiac lesion. Preoperative diet itself was not associated with significant change in length of stay or days to reach full feeds. Conclusions: Although cardiac lesions with ductal-dependent systemic blood flow are considered high risk and may increase length of stay and days to achieve full feeds, they are not associated with a higher risk of postoperative necrotizing enterocolitis. Nasogastric route is not associated with a significantly higher risk of necrotizing enterocolitis, but longer length of stay and days to reach full feeds. These findings challenge our perioperative management strategies in caring for these infants, as they may incur more hospital costs and resources without significant medical benefit.","author":[{"dropping-particle":"","family":"Kataria-Hale","given":"Jasmeet","non-dropping-particle":"","parse-names":false,"suffix":""},{"dropping-particle":"","family":"Cognata","given":"Acacia","non-dropping-particle":"","parse-names":false,"suffix":""},{"dropping-particle":"","family":"Hagan","given":"Joseph","non-dropping-particle":"","parse-names":false,"suffix":""},{"dropping-particle":"","family":"Zender","given":"Jill","non-dropping-particle":"","parse-names":false,"suffix":""},{"dropping-particle":"","family":"Sheaks","given":"Paige","non-dropping-particle":"","parse-names":false,"suffix":""},{"dropping-particle":"","family":"Osborne","given":"Scott","non-dropping-particle":"","parse-names":false,"suffix":""},{"dropping-particle":"","family":"Roddy","given":"Jeramy","non-dropping-particle":"","parse-names":false,"suffix":""},{"dropping-particle":"","family":"Hair","given":"Amy","non-dropping-particle":"","parse-names":false,"suffix":""}],"container-title":"Pediatric Critical Care Medicine","id":"ITEM-1","issued":{"date-parts":[["2021"]]},"page":"E91-E98","title":"The Relationship between Preoperative Feeding Exposures and Postoperative Outcomes in Infants with Congenital Heart Disease","type":"article-journal"},"uris":["http://www.mendeley.com/documents/?uuid=d37584d0-f665-44b0-94d1-304f7aff7262"]}],"mendeley":{"formattedCitation":"(Kataria-Hale et al., 2021)","manualFormatting":"(Kataria-Hale et al. (2021)","plainTextFormattedCitation":"(Kataria-Hale et al., 2021)","previouslyFormattedCitation":"(Kataria-Hale et al., 2021)"},"properties":{"noteIndex":0},"schema":"https://github.com/citation-style-language/schema/raw/master/csl-citation.json"}</w:instrText>
            </w:r>
            <w:r w:rsidRPr="00B97207">
              <w:rPr>
                <w:sz w:val="16"/>
                <w:szCs w:val="16"/>
              </w:rPr>
              <w:fldChar w:fldCharType="separate"/>
            </w:r>
            <w:r w:rsidRPr="00B97207">
              <w:rPr>
                <w:b w:val="0"/>
                <w:bCs w:val="0"/>
                <w:noProof/>
                <w:sz w:val="16"/>
                <w:szCs w:val="16"/>
              </w:rPr>
              <w:t>(Kataria-Hale et al. (2021)</w:t>
            </w:r>
            <w:r w:rsidRPr="00B97207">
              <w:rPr>
                <w:sz w:val="16"/>
                <w:szCs w:val="16"/>
              </w:rPr>
              <w:fldChar w:fldCharType="end"/>
            </w:r>
          </w:p>
        </w:tc>
        <w:tc>
          <w:tcPr>
            <w:tcW w:w="2075" w:type="dxa"/>
            <w:shd w:val="clear" w:color="auto" w:fill="F2F2F2" w:themeFill="background1" w:themeFillShade="F2"/>
          </w:tcPr>
          <w:p w14:paraId="6EB7CD10" w14:textId="77777777" w:rsidR="00C656C3" w:rsidRDefault="00C656C3" w:rsidP="007D15ED">
            <w:pPr>
              <w:cnfStyle w:val="000000100000" w:firstRow="0" w:lastRow="0" w:firstColumn="0" w:lastColumn="0" w:oddVBand="0" w:evenVBand="0" w:oddHBand="1" w:evenHBand="0" w:firstRowFirstColumn="0" w:firstRowLastColumn="0" w:lastRowFirstColumn="0" w:lastRowLastColumn="0"/>
            </w:pPr>
          </w:p>
        </w:tc>
      </w:tr>
      <w:tr w:rsidR="00C656C3" w14:paraId="579BFFEF" w14:textId="77777777" w:rsidTr="00210EA7">
        <w:tc>
          <w:tcPr>
            <w:cnfStyle w:val="001000000000" w:firstRow="0" w:lastRow="0" w:firstColumn="1" w:lastColumn="0" w:oddVBand="0" w:evenVBand="0" w:oddHBand="0" w:evenHBand="0" w:firstRowFirstColumn="0" w:firstRowLastColumn="0" w:lastRowFirstColumn="0" w:lastRowLastColumn="0"/>
            <w:tcW w:w="1435" w:type="dxa"/>
          </w:tcPr>
          <w:p w14:paraId="4CC00AC8" w14:textId="77777777" w:rsidR="00C656C3" w:rsidRPr="00B97207" w:rsidRDefault="00C656C3" w:rsidP="007D15ED">
            <w:pPr>
              <w:jc w:val="center"/>
              <w:rPr>
                <w:b w:val="0"/>
                <w:bCs w:val="0"/>
              </w:rPr>
            </w:pPr>
            <w:r w:rsidRPr="00B97207">
              <w:rPr>
                <w:b w:val="0"/>
                <w:bCs w:val="0"/>
                <w:color w:val="000000"/>
                <w:sz w:val="16"/>
                <w:szCs w:val="16"/>
              </w:rPr>
              <w:t>Skinner et al. (2005)</w:t>
            </w:r>
          </w:p>
        </w:tc>
        <w:tc>
          <w:tcPr>
            <w:tcW w:w="2075" w:type="dxa"/>
          </w:tcPr>
          <w:p w14:paraId="7E6A85CD" w14:textId="77777777" w:rsidR="00C656C3" w:rsidRDefault="00C656C3" w:rsidP="007D15ED">
            <w:pPr>
              <w:cnfStyle w:val="000000000000" w:firstRow="0" w:lastRow="0" w:firstColumn="0" w:lastColumn="0" w:oddVBand="0" w:evenVBand="0" w:oddHBand="0" w:evenHBand="0" w:firstRowFirstColumn="0" w:firstRowLastColumn="0" w:lastRowFirstColumn="0" w:lastRowLastColumn="0"/>
            </w:pPr>
          </w:p>
        </w:tc>
      </w:tr>
      <w:tr w:rsidR="00C656C3" w14:paraId="6BD0F8CA" w14:textId="77777777" w:rsidTr="00210E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gridSpan w:val="2"/>
            <w:shd w:val="clear" w:color="auto" w:fill="FFFFFF" w:themeFill="background1"/>
          </w:tcPr>
          <w:p w14:paraId="16B65469" w14:textId="4E7D44B4" w:rsidR="00C656C3" w:rsidRDefault="00C656C3" w:rsidP="007D15ED">
            <w:r w:rsidRPr="00147A3C">
              <w:rPr>
                <w:b w:val="0"/>
                <w:bCs w:val="0"/>
                <w:color w:val="000000"/>
                <w:sz w:val="13"/>
                <w:szCs w:val="13"/>
              </w:rPr>
              <w:t xml:space="preserve">Key: </w:t>
            </w:r>
            <w:r w:rsidR="00210EA7" w:rsidRPr="00147A3C">
              <w:rPr>
                <w:b w:val="0"/>
                <w:bCs w:val="0"/>
                <w:color w:val="000000"/>
                <w:sz w:val="13"/>
                <w:szCs w:val="13"/>
              </w:rPr>
              <w:t xml:space="preserve">S = </w:t>
            </w:r>
            <w:r w:rsidR="00292A4D">
              <w:rPr>
                <w:b w:val="0"/>
                <w:bCs w:val="0"/>
                <w:color w:val="000000"/>
                <w:sz w:val="13"/>
                <w:szCs w:val="13"/>
              </w:rPr>
              <w:t>s</w:t>
            </w:r>
            <w:r w:rsidR="00210EA7" w:rsidRPr="00147A3C">
              <w:rPr>
                <w:b w:val="0"/>
                <w:bCs w:val="0"/>
                <w:color w:val="000000"/>
                <w:sz w:val="13"/>
                <w:szCs w:val="13"/>
              </w:rPr>
              <w:t>tatistically significant association/relationship as reported by primary study authors;</w:t>
            </w:r>
          </w:p>
        </w:tc>
      </w:tr>
    </w:tbl>
    <w:p w14:paraId="36407380" w14:textId="4AE54382" w:rsidR="00C656C3" w:rsidRDefault="00C656C3"/>
    <w:p w14:paraId="585BC23E" w14:textId="5E0A22EC" w:rsidR="00C656C3" w:rsidRDefault="00C656C3"/>
    <w:p w14:paraId="45EAAE6C" w14:textId="77777777" w:rsidR="00DC0B2B" w:rsidRDefault="00DC0B2B"/>
    <w:tbl>
      <w:tblPr>
        <w:tblStyle w:val="GridTable6Colorful"/>
        <w:tblW w:w="0" w:type="auto"/>
        <w:tblLayout w:type="fixed"/>
        <w:tblLook w:val="04A0" w:firstRow="1" w:lastRow="0" w:firstColumn="1" w:lastColumn="0" w:noHBand="0" w:noVBand="1"/>
      </w:tblPr>
      <w:tblGrid>
        <w:gridCol w:w="1440"/>
        <w:gridCol w:w="990"/>
        <w:gridCol w:w="1170"/>
        <w:gridCol w:w="810"/>
        <w:gridCol w:w="850"/>
        <w:gridCol w:w="1146"/>
        <w:gridCol w:w="1244"/>
        <w:gridCol w:w="1260"/>
        <w:gridCol w:w="1275"/>
        <w:gridCol w:w="1146"/>
        <w:gridCol w:w="847"/>
        <w:gridCol w:w="782"/>
      </w:tblGrid>
      <w:tr w:rsidR="00C656C3" w14:paraId="5D119A06" w14:textId="77777777" w:rsidTr="007D1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0" w:type="dxa"/>
            <w:gridSpan w:val="12"/>
            <w:tcBorders>
              <w:top w:val="nil"/>
              <w:left w:val="nil"/>
              <w:bottom w:val="single" w:sz="4" w:space="0" w:color="auto"/>
              <w:right w:val="nil"/>
            </w:tcBorders>
          </w:tcPr>
          <w:p w14:paraId="5C0C4074" w14:textId="1B77DC1D" w:rsidR="00C656C3" w:rsidRPr="00B97207" w:rsidRDefault="00210EA7" w:rsidP="007D15ED">
            <w:pPr>
              <w:rPr>
                <w:sz w:val="16"/>
                <w:szCs w:val="16"/>
              </w:rPr>
            </w:pPr>
            <w:r>
              <w:rPr>
                <w:sz w:val="16"/>
                <w:szCs w:val="16"/>
              </w:rPr>
              <w:lastRenderedPageBreak/>
              <w:t xml:space="preserve">Table 3. </w:t>
            </w:r>
            <w:r w:rsidR="00C656C3" w:rsidRPr="00C50925">
              <w:rPr>
                <w:sz w:val="16"/>
                <w:szCs w:val="16"/>
              </w:rPr>
              <w:t>Postoperative D</w:t>
            </w:r>
            <w:r w:rsidR="00C656C3">
              <w:rPr>
                <w:sz w:val="16"/>
                <w:szCs w:val="16"/>
              </w:rPr>
              <w:t>ependent Variables</w:t>
            </w:r>
          </w:p>
        </w:tc>
      </w:tr>
      <w:tr w:rsidR="00C656C3" w14:paraId="52813A1D"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tcPr>
          <w:p w14:paraId="074ECA00" w14:textId="77777777" w:rsidR="00C656C3" w:rsidRPr="00D6170D" w:rsidRDefault="00C656C3" w:rsidP="007D15ED">
            <w:pPr>
              <w:jc w:val="center"/>
              <w:rPr>
                <w:sz w:val="16"/>
                <w:szCs w:val="16"/>
              </w:rPr>
            </w:pPr>
            <w:r w:rsidRPr="00D6170D">
              <w:rPr>
                <w:sz w:val="16"/>
                <w:szCs w:val="16"/>
              </w:rPr>
              <w:t>Study</w:t>
            </w:r>
          </w:p>
        </w:tc>
        <w:tc>
          <w:tcPr>
            <w:tcW w:w="990" w:type="dxa"/>
            <w:shd w:val="clear" w:color="auto" w:fill="D9D9D9" w:themeFill="background1" w:themeFillShade="D9"/>
          </w:tcPr>
          <w:p w14:paraId="74A8121A"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Clinical </w:t>
            </w:r>
            <w:r>
              <w:rPr>
                <w:b/>
                <w:bCs/>
                <w:sz w:val="16"/>
                <w:szCs w:val="16"/>
              </w:rPr>
              <w:t>A</w:t>
            </w:r>
            <w:r w:rsidRPr="00D6170D">
              <w:rPr>
                <w:b/>
                <w:bCs/>
                <w:sz w:val="16"/>
                <w:szCs w:val="16"/>
              </w:rPr>
              <w:t xml:space="preserve">spiration </w:t>
            </w:r>
            <w:r>
              <w:rPr>
                <w:b/>
                <w:bCs/>
                <w:sz w:val="16"/>
                <w:szCs w:val="16"/>
              </w:rPr>
              <w:t>E</w:t>
            </w:r>
            <w:r w:rsidRPr="00D6170D">
              <w:rPr>
                <w:b/>
                <w:bCs/>
                <w:sz w:val="16"/>
                <w:szCs w:val="16"/>
              </w:rPr>
              <w:t>vents</w:t>
            </w:r>
          </w:p>
        </w:tc>
        <w:tc>
          <w:tcPr>
            <w:tcW w:w="1170" w:type="dxa"/>
            <w:tcBorders>
              <w:top w:val="single" w:sz="4" w:space="0" w:color="auto"/>
              <w:right w:val="single" w:sz="4" w:space="0" w:color="auto"/>
            </w:tcBorders>
            <w:shd w:val="clear" w:color="auto" w:fill="D9D9D9" w:themeFill="background1" w:themeFillShade="D9"/>
          </w:tcPr>
          <w:p w14:paraId="6ECB60CF"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Gastro</w:t>
            </w:r>
            <w:r>
              <w:rPr>
                <w:b/>
                <w:bCs/>
                <w:sz w:val="16"/>
                <w:szCs w:val="16"/>
              </w:rPr>
              <w:t>-</w:t>
            </w:r>
            <w:r w:rsidRPr="00D6170D">
              <w:rPr>
                <w:b/>
                <w:bCs/>
                <w:sz w:val="16"/>
                <w:szCs w:val="16"/>
              </w:rPr>
              <w:t xml:space="preserve">intestinal </w:t>
            </w:r>
            <w:r>
              <w:rPr>
                <w:b/>
                <w:bCs/>
                <w:sz w:val="16"/>
                <w:szCs w:val="16"/>
              </w:rPr>
              <w:t>C</w:t>
            </w:r>
            <w:r w:rsidRPr="00D6170D">
              <w:rPr>
                <w:b/>
                <w:bCs/>
                <w:sz w:val="16"/>
                <w:szCs w:val="16"/>
              </w:rPr>
              <w:t>omplications</w:t>
            </w:r>
          </w:p>
        </w:tc>
        <w:tc>
          <w:tcPr>
            <w:tcW w:w="810" w:type="dxa"/>
            <w:tcBorders>
              <w:top w:val="single" w:sz="4" w:space="0" w:color="auto"/>
              <w:left w:val="single" w:sz="4" w:space="0" w:color="auto"/>
              <w:right w:val="single" w:sz="4" w:space="0" w:color="auto"/>
            </w:tcBorders>
            <w:shd w:val="clear" w:color="auto" w:fill="D9D9D9" w:themeFill="background1" w:themeFillShade="D9"/>
          </w:tcPr>
          <w:p w14:paraId="0B4DDEA9"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Length of </w:t>
            </w:r>
            <w:r>
              <w:rPr>
                <w:b/>
                <w:bCs/>
                <w:sz w:val="16"/>
                <w:szCs w:val="16"/>
              </w:rPr>
              <w:t>H</w:t>
            </w:r>
            <w:r w:rsidRPr="00D6170D">
              <w:rPr>
                <w:b/>
                <w:bCs/>
                <w:sz w:val="16"/>
                <w:szCs w:val="16"/>
              </w:rPr>
              <w:t xml:space="preserve">ospital </w:t>
            </w:r>
            <w:r>
              <w:rPr>
                <w:b/>
                <w:bCs/>
                <w:sz w:val="16"/>
                <w:szCs w:val="16"/>
              </w:rPr>
              <w:t>S</w:t>
            </w:r>
            <w:r w:rsidRPr="00D6170D">
              <w:rPr>
                <w:b/>
                <w:bCs/>
                <w:sz w:val="16"/>
                <w:szCs w:val="16"/>
              </w:rPr>
              <w:t>tay (days)</w:t>
            </w:r>
          </w:p>
        </w:tc>
        <w:tc>
          <w:tcPr>
            <w:tcW w:w="850" w:type="dxa"/>
            <w:tcBorders>
              <w:top w:val="single" w:sz="4" w:space="0" w:color="auto"/>
              <w:left w:val="single" w:sz="4" w:space="0" w:color="auto"/>
              <w:right w:val="single" w:sz="4" w:space="0" w:color="auto"/>
            </w:tcBorders>
            <w:shd w:val="clear" w:color="auto" w:fill="D9D9D9" w:themeFill="background1" w:themeFillShade="D9"/>
          </w:tcPr>
          <w:p w14:paraId="4563BDCE"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Necro</w:t>
            </w:r>
            <w:r>
              <w:rPr>
                <w:b/>
                <w:bCs/>
                <w:sz w:val="16"/>
                <w:szCs w:val="16"/>
              </w:rPr>
              <w:t>-</w:t>
            </w:r>
            <w:proofErr w:type="spellStart"/>
            <w:r w:rsidRPr="00D6170D">
              <w:rPr>
                <w:b/>
                <w:bCs/>
                <w:sz w:val="16"/>
                <w:szCs w:val="16"/>
              </w:rPr>
              <w:t>tizing</w:t>
            </w:r>
            <w:proofErr w:type="spellEnd"/>
            <w:r w:rsidRPr="00D6170D">
              <w:rPr>
                <w:b/>
                <w:bCs/>
                <w:sz w:val="16"/>
                <w:szCs w:val="16"/>
              </w:rPr>
              <w:t xml:space="preserve"> </w:t>
            </w:r>
            <w:r>
              <w:rPr>
                <w:b/>
                <w:bCs/>
                <w:sz w:val="16"/>
                <w:szCs w:val="16"/>
              </w:rPr>
              <w:t>E</w:t>
            </w:r>
            <w:r w:rsidRPr="00D6170D">
              <w:rPr>
                <w:b/>
                <w:bCs/>
                <w:sz w:val="16"/>
                <w:szCs w:val="16"/>
              </w:rPr>
              <w:t>ntero</w:t>
            </w:r>
            <w:r>
              <w:rPr>
                <w:b/>
                <w:bCs/>
                <w:sz w:val="16"/>
                <w:szCs w:val="16"/>
              </w:rPr>
              <w:t>-</w:t>
            </w:r>
            <w:r w:rsidRPr="00D6170D">
              <w:rPr>
                <w:b/>
                <w:bCs/>
                <w:sz w:val="16"/>
                <w:szCs w:val="16"/>
              </w:rPr>
              <w:t>colitis</w:t>
            </w:r>
          </w:p>
        </w:tc>
        <w:tc>
          <w:tcPr>
            <w:tcW w:w="1146" w:type="dxa"/>
            <w:tcBorders>
              <w:top w:val="single" w:sz="4" w:space="0" w:color="auto"/>
              <w:left w:val="single" w:sz="4" w:space="0" w:color="auto"/>
              <w:right w:val="single" w:sz="4" w:space="0" w:color="auto"/>
            </w:tcBorders>
            <w:shd w:val="clear" w:color="auto" w:fill="D9D9D9" w:themeFill="background1" w:themeFillShade="D9"/>
          </w:tcPr>
          <w:p w14:paraId="1E755B75"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Post</w:t>
            </w:r>
            <w:r>
              <w:rPr>
                <w:b/>
                <w:bCs/>
                <w:sz w:val="16"/>
                <w:szCs w:val="16"/>
              </w:rPr>
              <w:t>-o</w:t>
            </w:r>
            <w:r w:rsidRPr="00D6170D">
              <w:rPr>
                <w:b/>
                <w:bCs/>
                <w:sz w:val="16"/>
                <w:szCs w:val="16"/>
              </w:rPr>
              <w:t xml:space="preserve">perative </w:t>
            </w:r>
            <w:r>
              <w:rPr>
                <w:b/>
                <w:bCs/>
                <w:sz w:val="16"/>
                <w:szCs w:val="16"/>
              </w:rPr>
              <w:t>D</w:t>
            </w:r>
            <w:r w:rsidRPr="00D6170D">
              <w:rPr>
                <w:b/>
                <w:bCs/>
                <w:sz w:val="16"/>
                <w:szCs w:val="16"/>
              </w:rPr>
              <w:t xml:space="preserve">ays to </w:t>
            </w:r>
            <w:r>
              <w:rPr>
                <w:b/>
                <w:bCs/>
                <w:sz w:val="16"/>
                <w:szCs w:val="16"/>
              </w:rPr>
              <w:t>R</w:t>
            </w:r>
            <w:r w:rsidRPr="00D6170D">
              <w:rPr>
                <w:b/>
                <w:bCs/>
                <w:sz w:val="16"/>
                <w:szCs w:val="16"/>
              </w:rPr>
              <w:t xml:space="preserve">each </w:t>
            </w:r>
            <w:r>
              <w:rPr>
                <w:b/>
                <w:bCs/>
                <w:sz w:val="16"/>
                <w:szCs w:val="16"/>
              </w:rPr>
              <w:t>F</w:t>
            </w:r>
            <w:r w:rsidRPr="00D6170D">
              <w:rPr>
                <w:b/>
                <w:bCs/>
                <w:sz w:val="16"/>
                <w:szCs w:val="16"/>
              </w:rPr>
              <w:t xml:space="preserve">ull </w:t>
            </w:r>
            <w:r>
              <w:rPr>
                <w:b/>
                <w:bCs/>
                <w:sz w:val="16"/>
                <w:szCs w:val="16"/>
              </w:rPr>
              <w:t>F</w:t>
            </w:r>
            <w:r w:rsidRPr="00D6170D">
              <w:rPr>
                <w:b/>
                <w:bCs/>
                <w:sz w:val="16"/>
                <w:szCs w:val="16"/>
              </w:rPr>
              <w:t xml:space="preserve">eed </w:t>
            </w:r>
            <w:r>
              <w:rPr>
                <w:b/>
                <w:bCs/>
                <w:sz w:val="16"/>
                <w:szCs w:val="16"/>
              </w:rPr>
              <w:t>V</w:t>
            </w:r>
            <w:r w:rsidRPr="00D6170D">
              <w:rPr>
                <w:b/>
                <w:bCs/>
                <w:sz w:val="16"/>
                <w:szCs w:val="16"/>
              </w:rPr>
              <w:t>olume (enteral or oral)</w:t>
            </w:r>
          </w:p>
        </w:tc>
        <w:tc>
          <w:tcPr>
            <w:tcW w:w="1244" w:type="dxa"/>
            <w:tcBorders>
              <w:top w:val="single" w:sz="4" w:space="0" w:color="auto"/>
              <w:left w:val="single" w:sz="4" w:space="0" w:color="auto"/>
              <w:right w:val="single" w:sz="4" w:space="0" w:color="auto"/>
            </w:tcBorders>
            <w:shd w:val="clear" w:color="auto" w:fill="D9D9D9" w:themeFill="background1" w:themeFillShade="D9"/>
          </w:tcPr>
          <w:p w14:paraId="17426642"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Post</w:t>
            </w:r>
            <w:r>
              <w:rPr>
                <w:b/>
                <w:bCs/>
                <w:sz w:val="16"/>
                <w:szCs w:val="16"/>
              </w:rPr>
              <w:t>-</w:t>
            </w:r>
          </w:p>
          <w:p w14:paraId="6959A1C7"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operative </w:t>
            </w:r>
          </w:p>
          <w:p w14:paraId="2EA04B27"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L</w:t>
            </w:r>
            <w:r w:rsidRPr="00D6170D">
              <w:rPr>
                <w:b/>
                <w:bCs/>
                <w:sz w:val="16"/>
                <w:szCs w:val="16"/>
              </w:rPr>
              <w:t>aryngo</w:t>
            </w:r>
            <w:r>
              <w:rPr>
                <w:b/>
                <w:bCs/>
                <w:sz w:val="16"/>
                <w:szCs w:val="16"/>
              </w:rPr>
              <w:t>-</w:t>
            </w:r>
            <w:r w:rsidRPr="00D6170D">
              <w:rPr>
                <w:b/>
                <w:bCs/>
                <w:sz w:val="16"/>
                <w:szCs w:val="16"/>
              </w:rPr>
              <w:t xml:space="preserve">pharyngeal </w:t>
            </w:r>
            <w:r>
              <w:rPr>
                <w:b/>
                <w:bCs/>
                <w:sz w:val="16"/>
                <w:szCs w:val="16"/>
              </w:rPr>
              <w:t>D</w:t>
            </w:r>
            <w:r w:rsidRPr="00D6170D">
              <w:rPr>
                <w:b/>
                <w:bCs/>
                <w:sz w:val="16"/>
                <w:szCs w:val="16"/>
              </w:rPr>
              <w:t>ysfunction</w:t>
            </w:r>
          </w:p>
        </w:tc>
        <w:tc>
          <w:tcPr>
            <w:tcW w:w="1260" w:type="dxa"/>
            <w:tcBorders>
              <w:top w:val="single" w:sz="4" w:space="0" w:color="auto"/>
              <w:left w:val="single" w:sz="4" w:space="0" w:color="auto"/>
              <w:right w:val="single" w:sz="4" w:space="0" w:color="auto"/>
            </w:tcBorders>
            <w:shd w:val="clear" w:color="auto" w:fill="D9D9D9" w:themeFill="background1" w:themeFillShade="D9"/>
          </w:tcPr>
          <w:p w14:paraId="566FD44F"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Post</w:t>
            </w:r>
            <w:r>
              <w:rPr>
                <w:b/>
                <w:bCs/>
                <w:sz w:val="16"/>
                <w:szCs w:val="16"/>
              </w:rPr>
              <w:t>-</w:t>
            </w:r>
          </w:p>
          <w:p w14:paraId="1B30BCEF"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operative </w:t>
            </w:r>
            <w:r>
              <w:rPr>
                <w:b/>
                <w:bCs/>
                <w:sz w:val="16"/>
                <w:szCs w:val="16"/>
              </w:rPr>
              <w:t>S</w:t>
            </w:r>
            <w:r w:rsidRPr="00D6170D">
              <w:rPr>
                <w:b/>
                <w:bCs/>
                <w:sz w:val="16"/>
                <w:szCs w:val="16"/>
              </w:rPr>
              <w:t xml:space="preserve">wallowing </w:t>
            </w:r>
            <w:r>
              <w:rPr>
                <w:b/>
                <w:bCs/>
                <w:sz w:val="16"/>
                <w:szCs w:val="16"/>
              </w:rPr>
              <w:t>D</w:t>
            </w:r>
            <w:r w:rsidRPr="00D6170D">
              <w:rPr>
                <w:b/>
                <w:bCs/>
                <w:sz w:val="16"/>
                <w:szCs w:val="16"/>
              </w:rPr>
              <w:t>ysfunction</w:t>
            </w:r>
          </w:p>
        </w:tc>
        <w:tc>
          <w:tcPr>
            <w:tcW w:w="1275" w:type="dxa"/>
            <w:tcBorders>
              <w:top w:val="single" w:sz="4" w:space="0" w:color="auto"/>
              <w:left w:val="single" w:sz="4" w:space="0" w:color="auto"/>
              <w:right w:val="single" w:sz="4" w:space="0" w:color="auto"/>
            </w:tcBorders>
            <w:shd w:val="clear" w:color="auto" w:fill="D9D9D9" w:themeFill="background1" w:themeFillShade="D9"/>
          </w:tcPr>
          <w:p w14:paraId="37CCD552"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Post</w:t>
            </w:r>
            <w:r>
              <w:rPr>
                <w:b/>
                <w:bCs/>
                <w:sz w:val="16"/>
                <w:szCs w:val="16"/>
              </w:rPr>
              <w:t>-</w:t>
            </w:r>
          </w:p>
          <w:p w14:paraId="482082FB"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operative </w:t>
            </w:r>
          </w:p>
          <w:p w14:paraId="224DA902"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Pr>
                <w:b/>
                <w:bCs/>
                <w:sz w:val="16"/>
                <w:szCs w:val="16"/>
              </w:rPr>
              <w:t>V</w:t>
            </w:r>
            <w:r w:rsidRPr="00D6170D">
              <w:rPr>
                <w:b/>
                <w:bCs/>
                <w:sz w:val="16"/>
                <w:szCs w:val="16"/>
              </w:rPr>
              <w:t xml:space="preserve">ocal </w:t>
            </w:r>
            <w:r>
              <w:rPr>
                <w:b/>
                <w:bCs/>
                <w:sz w:val="16"/>
                <w:szCs w:val="16"/>
              </w:rPr>
              <w:t>C</w:t>
            </w:r>
            <w:r w:rsidRPr="00D6170D">
              <w:rPr>
                <w:b/>
                <w:bCs/>
                <w:sz w:val="16"/>
                <w:szCs w:val="16"/>
              </w:rPr>
              <w:t xml:space="preserve">ord </w:t>
            </w:r>
            <w:r>
              <w:rPr>
                <w:b/>
                <w:bCs/>
                <w:sz w:val="16"/>
                <w:szCs w:val="16"/>
              </w:rPr>
              <w:t>D</w:t>
            </w:r>
            <w:r w:rsidRPr="00D6170D">
              <w:rPr>
                <w:b/>
                <w:bCs/>
                <w:sz w:val="16"/>
                <w:szCs w:val="16"/>
              </w:rPr>
              <w:t>ysfunction</w:t>
            </w:r>
          </w:p>
        </w:tc>
        <w:tc>
          <w:tcPr>
            <w:tcW w:w="1146" w:type="dxa"/>
            <w:tcBorders>
              <w:top w:val="single" w:sz="4" w:space="0" w:color="auto"/>
              <w:left w:val="single" w:sz="4" w:space="0" w:color="auto"/>
              <w:right w:val="single" w:sz="4" w:space="0" w:color="auto"/>
            </w:tcBorders>
            <w:shd w:val="clear" w:color="auto" w:fill="D9D9D9" w:themeFill="background1" w:themeFillShade="D9"/>
          </w:tcPr>
          <w:p w14:paraId="185972B1"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Post</w:t>
            </w:r>
            <w:r>
              <w:rPr>
                <w:b/>
                <w:bCs/>
                <w:sz w:val="16"/>
                <w:szCs w:val="16"/>
              </w:rPr>
              <w:t>-</w:t>
            </w:r>
            <w:r w:rsidRPr="00D6170D">
              <w:rPr>
                <w:b/>
                <w:bCs/>
                <w:sz w:val="16"/>
                <w:szCs w:val="16"/>
              </w:rPr>
              <w:t xml:space="preserve">operative </w:t>
            </w:r>
            <w:r>
              <w:rPr>
                <w:b/>
                <w:bCs/>
                <w:sz w:val="16"/>
                <w:szCs w:val="16"/>
              </w:rPr>
              <w:t>V</w:t>
            </w:r>
            <w:r w:rsidRPr="00D6170D">
              <w:rPr>
                <w:b/>
                <w:bCs/>
                <w:sz w:val="16"/>
                <w:szCs w:val="16"/>
              </w:rPr>
              <w:t xml:space="preserve">ocal </w:t>
            </w:r>
            <w:r>
              <w:rPr>
                <w:b/>
                <w:bCs/>
                <w:sz w:val="16"/>
                <w:szCs w:val="16"/>
              </w:rPr>
              <w:t>C</w:t>
            </w:r>
            <w:r w:rsidRPr="00D6170D">
              <w:rPr>
                <w:b/>
                <w:bCs/>
                <w:sz w:val="16"/>
                <w:szCs w:val="16"/>
              </w:rPr>
              <w:t xml:space="preserve">ord </w:t>
            </w:r>
            <w:r>
              <w:rPr>
                <w:b/>
                <w:bCs/>
                <w:sz w:val="16"/>
                <w:szCs w:val="16"/>
              </w:rPr>
              <w:t>D</w:t>
            </w:r>
            <w:r w:rsidRPr="00D6170D">
              <w:rPr>
                <w:b/>
                <w:bCs/>
                <w:sz w:val="16"/>
                <w:szCs w:val="16"/>
              </w:rPr>
              <w:t xml:space="preserve">ysfunction </w:t>
            </w:r>
            <w:r>
              <w:rPr>
                <w:b/>
                <w:bCs/>
                <w:sz w:val="16"/>
                <w:szCs w:val="16"/>
              </w:rPr>
              <w:t>&amp; S</w:t>
            </w:r>
            <w:r w:rsidRPr="00D6170D">
              <w:rPr>
                <w:b/>
                <w:bCs/>
                <w:sz w:val="16"/>
                <w:szCs w:val="16"/>
              </w:rPr>
              <w:t xml:space="preserve">wallowing </w:t>
            </w:r>
            <w:r>
              <w:rPr>
                <w:b/>
                <w:bCs/>
                <w:sz w:val="16"/>
                <w:szCs w:val="16"/>
              </w:rPr>
              <w:t>D</w:t>
            </w:r>
            <w:r w:rsidRPr="00D6170D">
              <w:rPr>
                <w:b/>
                <w:bCs/>
                <w:sz w:val="16"/>
                <w:szCs w:val="16"/>
              </w:rPr>
              <w:t>ysfunction</w:t>
            </w:r>
          </w:p>
        </w:tc>
        <w:tc>
          <w:tcPr>
            <w:tcW w:w="847" w:type="dxa"/>
            <w:tcBorders>
              <w:top w:val="single" w:sz="4" w:space="0" w:color="auto"/>
              <w:left w:val="single" w:sz="4" w:space="0" w:color="auto"/>
              <w:right w:val="single" w:sz="4" w:space="0" w:color="auto"/>
            </w:tcBorders>
            <w:shd w:val="clear" w:color="auto" w:fill="D9D9D9" w:themeFill="background1" w:themeFillShade="D9"/>
          </w:tcPr>
          <w:p w14:paraId="3A91B649"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Swallow </w:t>
            </w:r>
            <w:r>
              <w:rPr>
                <w:b/>
                <w:bCs/>
                <w:sz w:val="16"/>
                <w:szCs w:val="16"/>
              </w:rPr>
              <w:t>S</w:t>
            </w:r>
            <w:r w:rsidRPr="00D6170D">
              <w:rPr>
                <w:b/>
                <w:bCs/>
                <w:sz w:val="16"/>
                <w:szCs w:val="16"/>
              </w:rPr>
              <w:t xml:space="preserve">tudy </w:t>
            </w:r>
            <w:r>
              <w:rPr>
                <w:b/>
                <w:bCs/>
                <w:sz w:val="16"/>
                <w:szCs w:val="16"/>
              </w:rPr>
              <w:t>R</w:t>
            </w:r>
            <w:r w:rsidRPr="00D6170D">
              <w:rPr>
                <w:b/>
                <w:bCs/>
                <w:sz w:val="16"/>
                <w:szCs w:val="16"/>
              </w:rPr>
              <w:t>esults</w:t>
            </w:r>
          </w:p>
        </w:tc>
        <w:tc>
          <w:tcPr>
            <w:tcW w:w="782" w:type="dxa"/>
            <w:tcBorders>
              <w:top w:val="single" w:sz="4" w:space="0" w:color="auto"/>
              <w:left w:val="single" w:sz="4" w:space="0" w:color="auto"/>
            </w:tcBorders>
            <w:shd w:val="clear" w:color="auto" w:fill="D9D9D9" w:themeFill="background1" w:themeFillShade="D9"/>
          </w:tcPr>
          <w:p w14:paraId="030ADB06" w14:textId="77777777" w:rsidR="00C656C3" w:rsidRPr="00D6170D" w:rsidRDefault="00C656C3" w:rsidP="007D15ED">
            <w:pPr>
              <w:jc w:val="center"/>
              <w:cnfStyle w:val="000000100000" w:firstRow="0" w:lastRow="0" w:firstColumn="0" w:lastColumn="0" w:oddVBand="0" w:evenVBand="0" w:oddHBand="1" w:evenHBand="0" w:firstRowFirstColumn="0" w:firstRowLastColumn="0" w:lastRowFirstColumn="0" w:lastRowLastColumn="0"/>
              <w:rPr>
                <w:b/>
                <w:bCs/>
                <w:sz w:val="16"/>
                <w:szCs w:val="16"/>
              </w:rPr>
            </w:pPr>
            <w:r w:rsidRPr="00D6170D">
              <w:rPr>
                <w:b/>
                <w:bCs/>
                <w:sz w:val="16"/>
                <w:szCs w:val="16"/>
              </w:rPr>
              <w:t xml:space="preserve">Vocal </w:t>
            </w:r>
            <w:r>
              <w:rPr>
                <w:b/>
                <w:bCs/>
                <w:sz w:val="16"/>
                <w:szCs w:val="16"/>
              </w:rPr>
              <w:t>F</w:t>
            </w:r>
            <w:r w:rsidRPr="00D6170D">
              <w:rPr>
                <w:b/>
                <w:bCs/>
                <w:sz w:val="16"/>
                <w:szCs w:val="16"/>
              </w:rPr>
              <w:t xml:space="preserve">old </w:t>
            </w:r>
            <w:r>
              <w:rPr>
                <w:b/>
                <w:bCs/>
                <w:sz w:val="16"/>
                <w:szCs w:val="16"/>
              </w:rPr>
              <w:t>P</w:t>
            </w:r>
            <w:r w:rsidRPr="00D6170D">
              <w:rPr>
                <w:b/>
                <w:bCs/>
                <w:sz w:val="16"/>
                <w:szCs w:val="16"/>
              </w:rPr>
              <w:t xml:space="preserve">aresis vs </w:t>
            </w:r>
            <w:r>
              <w:rPr>
                <w:b/>
                <w:bCs/>
                <w:sz w:val="16"/>
                <w:szCs w:val="16"/>
              </w:rPr>
              <w:t>M</w:t>
            </w:r>
            <w:r w:rsidRPr="00D6170D">
              <w:rPr>
                <w:b/>
                <w:bCs/>
                <w:sz w:val="16"/>
                <w:szCs w:val="16"/>
              </w:rPr>
              <w:t xml:space="preserve">obile </w:t>
            </w:r>
            <w:r>
              <w:rPr>
                <w:b/>
                <w:bCs/>
                <w:sz w:val="16"/>
                <w:szCs w:val="16"/>
              </w:rPr>
              <w:t>V</w:t>
            </w:r>
            <w:r w:rsidRPr="00D6170D">
              <w:rPr>
                <w:b/>
                <w:bCs/>
                <w:sz w:val="16"/>
                <w:szCs w:val="16"/>
              </w:rPr>
              <w:t xml:space="preserve">ocal </w:t>
            </w:r>
            <w:r>
              <w:rPr>
                <w:b/>
                <w:bCs/>
                <w:sz w:val="16"/>
                <w:szCs w:val="16"/>
              </w:rPr>
              <w:t>F</w:t>
            </w:r>
            <w:r w:rsidRPr="00D6170D">
              <w:rPr>
                <w:b/>
                <w:bCs/>
                <w:sz w:val="16"/>
                <w:szCs w:val="16"/>
              </w:rPr>
              <w:t>olds</w:t>
            </w:r>
          </w:p>
        </w:tc>
      </w:tr>
      <w:tr w:rsidR="00C656C3" w14:paraId="5BD2E35E" w14:textId="77777777" w:rsidTr="007D15ED">
        <w:tc>
          <w:tcPr>
            <w:cnfStyle w:val="001000000000" w:firstRow="0" w:lastRow="0" w:firstColumn="1" w:lastColumn="0" w:oddVBand="0" w:evenVBand="0" w:oddHBand="0" w:evenHBand="0" w:firstRowFirstColumn="0" w:firstRowLastColumn="0" w:lastRowFirstColumn="0" w:lastRowLastColumn="0"/>
            <w:tcW w:w="1440" w:type="dxa"/>
          </w:tcPr>
          <w:p w14:paraId="429F4893" w14:textId="77777777" w:rsidR="00C656C3" w:rsidRPr="00B97207" w:rsidRDefault="00C656C3" w:rsidP="007D15ED">
            <w:pPr>
              <w:jc w:val="center"/>
              <w:rPr>
                <w:b w:val="0"/>
                <w:bCs w:val="0"/>
                <w:sz w:val="16"/>
                <w:szCs w:val="16"/>
              </w:rPr>
            </w:pPr>
            <w:r w:rsidRPr="00B97207">
              <w:rPr>
                <w:b w:val="0"/>
                <w:bCs w:val="0"/>
                <w:color w:val="000000"/>
                <w:sz w:val="16"/>
                <w:szCs w:val="16"/>
              </w:rPr>
              <w:t>Averin et al. (2012)</w:t>
            </w:r>
          </w:p>
        </w:tc>
        <w:tc>
          <w:tcPr>
            <w:tcW w:w="990" w:type="dxa"/>
            <w:vAlign w:val="center"/>
          </w:tcPr>
          <w:p w14:paraId="73AFF84E"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70" w:type="dxa"/>
            <w:vAlign w:val="center"/>
          </w:tcPr>
          <w:p w14:paraId="40D5BE6C"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10" w:type="dxa"/>
            <w:vAlign w:val="center"/>
          </w:tcPr>
          <w:p w14:paraId="62F71943"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3C910BFD"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46" w:type="dxa"/>
            <w:vAlign w:val="center"/>
          </w:tcPr>
          <w:p w14:paraId="2385AAED"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44" w:type="dxa"/>
            <w:vAlign w:val="center"/>
          </w:tcPr>
          <w:p w14:paraId="59FAFA8C"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0" w:type="dxa"/>
            <w:vAlign w:val="center"/>
          </w:tcPr>
          <w:p w14:paraId="0C6AAC65"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NS</w:t>
            </w:r>
          </w:p>
        </w:tc>
        <w:tc>
          <w:tcPr>
            <w:tcW w:w="1275" w:type="dxa"/>
            <w:vAlign w:val="center"/>
          </w:tcPr>
          <w:p w14:paraId="736468DE"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NS</w:t>
            </w:r>
          </w:p>
        </w:tc>
        <w:tc>
          <w:tcPr>
            <w:tcW w:w="1146" w:type="dxa"/>
            <w:vAlign w:val="center"/>
          </w:tcPr>
          <w:p w14:paraId="6E18061B"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w:t>
            </w:r>
          </w:p>
        </w:tc>
        <w:tc>
          <w:tcPr>
            <w:tcW w:w="847" w:type="dxa"/>
            <w:vAlign w:val="center"/>
          </w:tcPr>
          <w:p w14:paraId="2AAF2495"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782" w:type="dxa"/>
            <w:vAlign w:val="center"/>
          </w:tcPr>
          <w:p w14:paraId="1C1B3BD4"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56C3" w14:paraId="219930BC"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shd w:val="clear" w:color="auto" w:fill="F2F2F2" w:themeFill="background1" w:themeFillShade="F2"/>
          </w:tcPr>
          <w:p w14:paraId="4469858F" w14:textId="77777777" w:rsidR="00C656C3" w:rsidRPr="00B97207" w:rsidRDefault="00C656C3" w:rsidP="007D15ED">
            <w:pPr>
              <w:jc w:val="center"/>
              <w:rPr>
                <w:b w:val="0"/>
                <w:bCs w:val="0"/>
                <w:sz w:val="16"/>
                <w:szCs w:val="16"/>
              </w:rPr>
            </w:pPr>
            <w:r w:rsidRPr="00B97207">
              <w:rPr>
                <w:b w:val="0"/>
                <w:bCs w:val="0"/>
                <w:color w:val="000000"/>
                <w:sz w:val="16"/>
                <w:szCs w:val="16"/>
              </w:rPr>
              <w:t>Dewan et al. (2012)</w:t>
            </w:r>
          </w:p>
        </w:tc>
        <w:tc>
          <w:tcPr>
            <w:tcW w:w="990" w:type="dxa"/>
            <w:shd w:val="clear" w:color="auto" w:fill="F2F2F2" w:themeFill="background1" w:themeFillShade="F2"/>
            <w:vAlign w:val="center"/>
          </w:tcPr>
          <w:p w14:paraId="1F3594D2"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170" w:type="dxa"/>
            <w:shd w:val="clear" w:color="auto" w:fill="F2F2F2" w:themeFill="background1" w:themeFillShade="F2"/>
            <w:vAlign w:val="center"/>
          </w:tcPr>
          <w:p w14:paraId="659AF5E8"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10" w:type="dxa"/>
            <w:shd w:val="clear" w:color="auto" w:fill="F2F2F2" w:themeFill="background1" w:themeFillShade="F2"/>
            <w:vAlign w:val="center"/>
          </w:tcPr>
          <w:p w14:paraId="04D8B946"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50" w:type="dxa"/>
            <w:shd w:val="clear" w:color="auto" w:fill="F2F2F2" w:themeFill="background1" w:themeFillShade="F2"/>
            <w:vAlign w:val="center"/>
          </w:tcPr>
          <w:p w14:paraId="09486CCD"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146" w:type="dxa"/>
            <w:shd w:val="clear" w:color="auto" w:fill="F2F2F2" w:themeFill="background1" w:themeFillShade="F2"/>
            <w:vAlign w:val="center"/>
          </w:tcPr>
          <w:p w14:paraId="3A82BB0E"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44" w:type="dxa"/>
            <w:shd w:val="clear" w:color="auto" w:fill="F2F2F2" w:themeFill="background1" w:themeFillShade="F2"/>
            <w:vAlign w:val="center"/>
          </w:tcPr>
          <w:p w14:paraId="444EE5F9"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60" w:type="dxa"/>
            <w:shd w:val="clear" w:color="auto" w:fill="F2F2F2" w:themeFill="background1" w:themeFillShade="F2"/>
            <w:vAlign w:val="center"/>
          </w:tcPr>
          <w:p w14:paraId="21D94BCA"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shd w:val="clear" w:color="auto" w:fill="F2F2F2" w:themeFill="background1" w:themeFillShade="F2"/>
            <w:vAlign w:val="center"/>
          </w:tcPr>
          <w:p w14:paraId="283D3F0E"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146" w:type="dxa"/>
            <w:shd w:val="clear" w:color="auto" w:fill="F2F2F2" w:themeFill="background1" w:themeFillShade="F2"/>
            <w:vAlign w:val="center"/>
          </w:tcPr>
          <w:p w14:paraId="50A8B82E"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47" w:type="dxa"/>
            <w:shd w:val="clear" w:color="auto" w:fill="F2F2F2" w:themeFill="background1" w:themeFillShade="F2"/>
            <w:vAlign w:val="center"/>
          </w:tcPr>
          <w:p w14:paraId="73AE8A1C"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782" w:type="dxa"/>
            <w:shd w:val="clear" w:color="auto" w:fill="F2F2F2" w:themeFill="background1" w:themeFillShade="F2"/>
            <w:vAlign w:val="center"/>
          </w:tcPr>
          <w:p w14:paraId="09F5465E"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w:t>
            </w:r>
          </w:p>
        </w:tc>
      </w:tr>
      <w:tr w:rsidR="00C656C3" w14:paraId="68DE820E" w14:textId="77777777" w:rsidTr="007D15ED">
        <w:tc>
          <w:tcPr>
            <w:cnfStyle w:val="001000000000" w:firstRow="0" w:lastRow="0" w:firstColumn="1" w:lastColumn="0" w:oddVBand="0" w:evenVBand="0" w:oddHBand="0" w:evenHBand="0" w:firstRowFirstColumn="0" w:firstRowLastColumn="0" w:lastRowFirstColumn="0" w:lastRowLastColumn="0"/>
            <w:tcW w:w="1440" w:type="dxa"/>
          </w:tcPr>
          <w:p w14:paraId="0CEF52B3" w14:textId="7408EC33" w:rsidR="00C656C3" w:rsidRPr="00B97207" w:rsidRDefault="00C656C3" w:rsidP="007D15ED">
            <w:pPr>
              <w:jc w:val="center"/>
              <w:rPr>
                <w:b w:val="0"/>
                <w:bCs w:val="0"/>
                <w:sz w:val="16"/>
                <w:szCs w:val="16"/>
              </w:rPr>
            </w:pPr>
            <w:r w:rsidRPr="00B97207">
              <w:rPr>
                <w:b w:val="0"/>
                <w:bCs w:val="0"/>
                <w:color w:val="000000"/>
                <w:sz w:val="16"/>
                <w:szCs w:val="16"/>
              </w:rPr>
              <w:t xml:space="preserve">Harrison </w:t>
            </w:r>
            <w:r w:rsidR="00202990">
              <w:rPr>
                <w:b w:val="0"/>
                <w:bCs w:val="0"/>
                <w:color w:val="000000"/>
                <w:sz w:val="16"/>
                <w:szCs w:val="16"/>
              </w:rPr>
              <w:t>&amp; Ferree</w:t>
            </w:r>
            <w:r w:rsidRPr="00B97207">
              <w:rPr>
                <w:b w:val="0"/>
                <w:bCs w:val="0"/>
                <w:color w:val="000000"/>
                <w:sz w:val="16"/>
                <w:szCs w:val="16"/>
              </w:rPr>
              <w:t xml:space="preserve"> (2014)</w:t>
            </w:r>
          </w:p>
        </w:tc>
        <w:tc>
          <w:tcPr>
            <w:tcW w:w="990" w:type="dxa"/>
            <w:vAlign w:val="center"/>
          </w:tcPr>
          <w:p w14:paraId="54444B8F"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70" w:type="dxa"/>
            <w:vAlign w:val="center"/>
          </w:tcPr>
          <w:p w14:paraId="5B137F12"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10" w:type="dxa"/>
            <w:vAlign w:val="center"/>
          </w:tcPr>
          <w:p w14:paraId="15FEB261"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670DE8BC"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46" w:type="dxa"/>
            <w:vAlign w:val="center"/>
          </w:tcPr>
          <w:p w14:paraId="1BA668AA"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44" w:type="dxa"/>
            <w:vAlign w:val="center"/>
          </w:tcPr>
          <w:p w14:paraId="5A09F89B"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0" w:type="dxa"/>
            <w:vAlign w:val="center"/>
          </w:tcPr>
          <w:p w14:paraId="4B932AA6"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vAlign w:val="center"/>
          </w:tcPr>
          <w:p w14:paraId="67D80210"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46" w:type="dxa"/>
            <w:vAlign w:val="center"/>
          </w:tcPr>
          <w:p w14:paraId="64D3FEE5"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47" w:type="dxa"/>
            <w:vAlign w:val="center"/>
          </w:tcPr>
          <w:p w14:paraId="33E6844A"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782" w:type="dxa"/>
            <w:vAlign w:val="center"/>
          </w:tcPr>
          <w:p w14:paraId="2D6DD058"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56C3" w14:paraId="1FC971F4"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shd w:val="clear" w:color="auto" w:fill="F2F2F2" w:themeFill="background1" w:themeFillShade="F2"/>
          </w:tcPr>
          <w:p w14:paraId="3B3034DE" w14:textId="77777777" w:rsidR="00C656C3" w:rsidRPr="00B97207" w:rsidRDefault="00C656C3" w:rsidP="007D15ED">
            <w:pPr>
              <w:jc w:val="center"/>
              <w:rPr>
                <w:b w:val="0"/>
                <w:bCs w:val="0"/>
                <w:sz w:val="16"/>
                <w:szCs w:val="16"/>
              </w:rPr>
            </w:pPr>
            <w:r w:rsidRPr="00B97207">
              <w:rPr>
                <w:b w:val="0"/>
                <w:bCs w:val="0"/>
                <w:color w:val="000000"/>
                <w:sz w:val="16"/>
                <w:szCs w:val="16"/>
              </w:rPr>
              <w:t>Jeffries et al. (2006)</w:t>
            </w:r>
          </w:p>
        </w:tc>
        <w:tc>
          <w:tcPr>
            <w:tcW w:w="990" w:type="dxa"/>
            <w:shd w:val="clear" w:color="auto" w:fill="F2F2F2" w:themeFill="background1" w:themeFillShade="F2"/>
            <w:vAlign w:val="center"/>
          </w:tcPr>
          <w:p w14:paraId="43690410"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170" w:type="dxa"/>
            <w:shd w:val="clear" w:color="auto" w:fill="F2F2F2" w:themeFill="background1" w:themeFillShade="F2"/>
            <w:vAlign w:val="center"/>
          </w:tcPr>
          <w:p w14:paraId="2ECDA45E"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w:t>
            </w:r>
          </w:p>
        </w:tc>
        <w:tc>
          <w:tcPr>
            <w:tcW w:w="810" w:type="dxa"/>
            <w:shd w:val="clear" w:color="auto" w:fill="F2F2F2" w:themeFill="background1" w:themeFillShade="F2"/>
            <w:vAlign w:val="center"/>
          </w:tcPr>
          <w:p w14:paraId="222779B9"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50" w:type="dxa"/>
            <w:shd w:val="clear" w:color="auto" w:fill="F2F2F2" w:themeFill="background1" w:themeFillShade="F2"/>
            <w:vAlign w:val="center"/>
          </w:tcPr>
          <w:p w14:paraId="5F75844C"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w:t>
            </w:r>
          </w:p>
        </w:tc>
        <w:tc>
          <w:tcPr>
            <w:tcW w:w="1146" w:type="dxa"/>
            <w:shd w:val="clear" w:color="auto" w:fill="F2F2F2" w:themeFill="background1" w:themeFillShade="F2"/>
            <w:vAlign w:val="center"/>
          </w:tcPr>
          <w:p w14:paraId="3A614C80"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44" w:type="dxa"/>
            <w:shd w:val="clear" w:color="auto" w:fill="F2F2F2" w:themeFill="background1" w:themeFillShade="F2"/>
            <w:vAlign w:val="center"/>
          </w:tcPr>
          <w:p w14:paraId="41C08BC3"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60" w:type="dxa"/>
            <w:shd w:val="clear" w:color="auto" w:fill="F2F2F2" w:themeFill="background1" w:themeFillShade="F2"/>
            <w:vAlign w:val="center"/>
          </w:tcPr>
          <w:p w14:paraId="12BE99B3"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shd w:val="clear" w:color="auto" w:fill="F2F2F2" w:themeFill="background1" w:themeFillShade="F2"/>
            <w:vAlign w:val="center"/>
          </w:tcPr>
          <w:p w14:paraId="351B240C"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146" w:type="dxa"/>
            <w:shd w:val="clear" w:color="auto" w:fill="F2F2F2" w:themeFill="background1" w:themeFillShade="F2"/>
            <w:vAlign w:val="center"/>
          </w:tcPr>
          <w:p w14:paraId="6D42A6CA"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47" w:type="dxa"/>
            <w:shd w:val="clear" w:color="auto" w:fill="F2F2F2" w:themeFill="background1" w:themeFillShade="F2"/>
            <w:vAlign w:val="center"/>
          </w:tcPr>
          <w:p w14:paraId="310589B2"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782" w:type="dxa"/>
            <w:shd w:val="clear" w:color="auto" w:fill="F2F2F2" w:themeFill="background1" w:themeFillShade="F2"/>
            <w:vAlign w:val="center"/>
          </w:tcPr>
          <w:p w14:paraId="3C80444F"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r>
      <w:tr w:rsidR="00C656C3" w14:paraId="2C170428" w14:textId="77777777" w:rsidTr="007D15ED">
        <w:tc>
          <w:tcPr>
            <w:cnfStyle w:val="001000000000" w:firstRow="0" w:lastRow="0" w:firstColumn="1" w:lastColumn="0" w:oddVBand="0" w:evenVBand="0" w:oddHBand="0" w:evenHBand="0" w:firstRowFirstColumn="0" w:firstRowLastColumn="0" w:lastRowFirstColumn="0" w:lastRowLastColumn="0"/>
            <w:tcW w:w="1440" w:type="dxa"/>
          </w:tcPr>
          <w:p w14:paraId="0E255CA9" w14:textId="77777777" w:rsidR="00C656C3" w:rsidRPr="00B97207" w:rsidRDefault="00C656C3" w:rsidP="007D15ED">
            <w:pPr>
              <w:jc w:val="center"/>
              <w:rPr>
                <w:b w:val="0"/>
                <w:bCs w:val="0"/>
                <w:sz w:val="16"/>
                <w:szCs w:val="16"/>
              </w:rPr>
            </w:pPr>
            <w:r w:rsidRPr="00B97207">
              <w:rPr>
                <w:b w:val="0"/>
                <w:bCs w:val="0"/>
                <w:color w:val="000000"/>
                <w:sz w:val="16"/>
                <w:szCs w:val="16"/>
              </w:rPr>
              <w:t>Karsch et al. (2017)</w:t>
            </w:r>
          </w:p>
        </w:tc>
        <w:tc>
          <w:tcPr>
            <w:tcW w:w="990" w:type="dxa"/>
            <w:vAlign w:val="center"/>
          </w:tcPr>
          <w:p w14:paraId="4A6069A7"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NS</w:t>
            </w:r>
          </w:p>
        </w:tc>
        <w:tc>
          <w:tcPr>
            <w:tcW w:w="1170" w:type="dxa"/>
            <w:vAlign w:val="center"/>
          </w:tcPr>
          <w:p w14:paraId="6FC21697"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10" w:type="dxa"/>
            <w:vAlign w:val="center"/>
          </w:tcPr>
          <w:p w14:paraId="03E9806B"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2FF0292B"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46" w:type="dxa"/>
            <w:vAlign w:val="center"/>
          </w:tcPr>
          <w:p w14:paraId="2B68151D"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44" w:type="dxa"/>
            <w:vAlign w:val="center"/>
          </w:tcPr>
          <w:p w14:paraId="52FEBFBE"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0" w:type="dxa"/>
            <w:vAlign w:val="center"/>
          </w:tcPr>
          <w:p w14:paraId="120EBD6F"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vAlign w:val="center"/>
          </w:tcPr>
          <w:p w14:paraId="5A8603E5"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46" w:type="dxa"/>
            <w:vAlign w:val="center"/>
          </w:tcPr>
          <w:p w14:paraId="62504759"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47" w:type="dxa"/>
            <w:vAlign w:val="center"/>
          </w:tcPr>
          <w:p w14:paraId="3CCE1565"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w:t>
            </w:r>
          </w:p>
        </w:tc>
        <w:tc>
          <w:tcPr>
            <w:tcW w:w="782" w:type="dxa"/>
            <w:vAlign w:val="center"/>
          </w:tcPr>
          <w:p w14:paraId="4917AB64"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56C3" w14:paraId="674045AA"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shd w:val="clear" w:color="auto" w:fill="F2F2F2" w:themeFill="background1" w:themeFillShade="F2"/>
          </w:tcPr>
          <w:p w14:paraId="0A072A6E" w14:textId="77777777" w:rsidR="00C656C3" w:rsidRPr="00B97207" w:rsidRDefault="00C656C3" w:rsidP="007D15ED">
            <w:pPr>
              <w:jc w:val="center"/>
              <w:rPr>
                <w:b w:val="0"/>
                <w:bCs w:val="0"/>
                <w:sz w:val="16"/>
                <w:szCs w:val="16"/>
              </w:rPr>
            </w:pPr>
            <w:r w:rsidRPr="00B97207">
              <w:rPr>
                <w:sz w:val="16"/>
                <w:szCs w:val="16"/>
              </w:rPr>
              <w:fldChar w:fldCharType="begin" w:fldLock="1"/>
            </w:r>
            <w:r w:rsidRPr="00B97207">
              <w:rPr>
                <w:b w:val="0"/>
                <w:bCs w:val="0"/>
                <w:sz w:val="16"/>
                <w:szCs w:val="16"/>
              </w:rPr>
              <w:instrText>ADDIN CSL_CITATION {"citationItems":[{"id":"ITEM-1","itemData":{"DOI":"10.1097/PCC.0000000000002540","ISBN":"0000000000","ISSN":"19473893","PMID":"33009358","abstract":"Objectives: To evaluate the association of preoperative risk factors and postoperative outcomes in infants with complex congenital heart disease. Design: Single-center retrospective cohort study. Setting: Neonatal ICU and cardiovascular ICU. Patients: Infants of all gestational ages, born at Texas Children's Hospital between 2010 and 2016, with complex congenital heart disease requiring intervention prior to discharge. Interventions: None. Measurements and Main Results: A total of 399 patients were enrolled in the study. Preoperative risk factors included feeding, type of feeding, feeding route, and cardiac lesion. Postoperative outcomes included necrotizing enterocolitis, hospital length of stay, and days to full feeds. The occurrence rate of postoperative necrotizing enterocolitis (all stages) was 8%. Preoperative feeding, type of feeding, feeding route, and cardiac lesion were not associated with higher odds of postoperative necrotizing enterocolitis. Cardiac lesions with ductal-dependent systemic blood flow were associated with a hospital length of stay of 19.6 days longer than those with ductal-dependent pulmonary blood flow (p &lt; 0.001) and 2.9 days longer to reach full feeds than those with ductal-dependent pulmonary blood flow (p &lt; 0.001), after controlling for prematurity. Nasogastric feeding route preoperatively was associated with a length of stay of 29.8 days longer than those fed by mouth (p &lt; 0.001) and 2.4 days longer to achieve full feeds (p &lt; 0.001), after controlling for prematurity and cardiac lesion. Preoperative diet itself was not associated with significant change in length of stay or days to reach full feeds. Conclusions: Although cardiac lesions with ductal-dependent systemic blood flow are considered high risk and may increase length of stay and days to achieve full feeds, they are not associated with a higher risk of postoperative necrotizing enterocolitis. Nasogastric route is not associated with a significantly higher risk of necrotizing enterocolitis, but longer length of stay and days to reach full feeds. These findings challenge our perioperative management strategies in caring for these infants, as they may incur more hospital costs and resources without significant medical benefit.","author":[{"dropping-particle":"","family":"Kataria-Hale","given":"Jasmeet","non-dropping-particle":"","parse-names":false,"suffix":""},{"dropping-particle":"","family":"Cognata","given":"Acacia","non-dropping-particle":"","parse-names":false,"suffix":""},{"dropping-particle":"","family":"Hagan","given":"Joseph","non-dropping-particle":"","parse-names":false,"suffix":""},{"dropping-particle":"","family":"Zender","given":"Jill","non-dropping-particle":"","parse-names":false,"suffix":""},{"dropping-particle":"","family":"Sheaks","given":"Paige","non-dropping-particle":"","parse-names":false,"suffix":""},{"dropping-particle":"","family":"Osborne","given":"Scott","non-dropping-particle":"","parse-names":false,"suffix":""},{"dropping-particle":"","family":"Roddy","given":"Jeramy","non-dropping-particle":"","parse-names":false,"suffix":""},{"dropping-particle":"","family":"Hair","given":"Amy","non-dropping-particle":"","parse-names":false,"suffix":""}],"container-title":"Pediatric Critical Care Medicine","id":"ITEM-1","issued":{"date-parts":[["2021"]]},"page":"E91-E98","title":"The Relationship between Preoperative Feeding Exposures and Postoperative Outcomes in Infants with Congenital Heart Disease","type":"article-journal"},"uris":["http://www.mendeley.com/documents/?uuid=d37584d0-f665-44b0-94d1-304f7aff7262"]}],"mendeley":{"formattedCitation":"(Kataria-Hale et al., 2021)","manualFormatting":"(Kataria-Hale et al. (2021)","plainTextFormattedCitation":"(Kataria-Hale et al., 2021)","previouslyFormattedCitation":"(Kataria-Hale et al., 2021)"},"properties":{"noteIndex":0},"schema":"https://github.com/citation-style-language/schema/raw/master/csl-citation.json"}</w:instrText>
            </w:r>
            <w:r w:rsidRPr="00B97207">
              <w:rPr>
                <w:sz w:val="16"/>
                <w:szCs w:val="16"/>
              </w:rPr>
              <w:fldChar w:fldCharType="separate"/>
            </w:r>
            <w:r w:rsidRPr="00B97207">
              <w:rPr>
                <w:b w:val="0"/>
                <w:bCs w:val="0"/>
                <w:noProof/>
                <w:sz w:val="16"/>
                <w:szCs w:val="16"/>
              </w:rPr>
              <w:t>(Kataria-Hale et al. (2021)</w:t>
            </w:r>
            <w:r w:rsidRPr="00B97207">
              <w:rPr>
                <w:sz w:val="16"/>
                <w:szCs w:val="16"/>
              </w:rPr>
              <w:fldChar w:fldCharType="end"/>
            </w:r>
          </w:p>
        </w:tc>
        <w:tc>
          <w:tcPr>
            <w:tcW w:w="990" w:type="dxa"/>
            <w:shd w:val="clear" w:color="auto" w:fill="F2F2F2" w:themeFill="background1" w:themeFillShade="F2"/>
            <w:vAlign w:val="center"/>
          </w:tcPr>
          <w:p w14:paraId="4FF384C4"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170" w:type="dxa"/>
            <w:shd w:val="clear" w:color="auto" w:fill="F2F2F2" w:themeFill="background1" w:themeFillShade="F2"/>
            <w:vAlign w:val="center"/>
          </w:tcPr>
          <w:p w14:paraId="4C3945FE"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10" w:type="dxa"/>
            <w:shd w:val="clear" w:color="auto" w:fill="F2F2F2" w:themeFill="background1" w:themeFillShade="F2"/>
            <w:vAlign w:val="center"/>
          </w:tcPr>
          <w:p w14:paraId="4C3F059A"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w:t>
            </w:r>
          </w:p>
        </w:tc>
        <w:tc>
          <w:tcPr>
            <w:tcW w:w="850" w:type="dxa"/>
            <w:shd w:val="clear" w:color="auto" w:fill="F2F2F2" w:themeFill="background1" w:themeFillShade="F2"/>
            <w:vAlign w:val="center"/>
          </w:tcPr>
          <w:p w14:paraId="28C6C71A"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NS</w:t>
            </w:r>
          </w:p>
        </w:tc>
        <w:tc>
          <w:tcPr>
            <w:tcW w:w="1146" w:type="dxa"/>
            <w:shd w:val="clear" w:color="auto" w:fill="F2F2F2" w:themeFill="background1" w:themeFillShade="F2"/>
            <w:vAlign w:val="center"/>
          </w:tcPr>
          <w:p w14:paraId="6CD10855"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S</w:t>
            </w:r>
          </w:p>
        </w:tc>
        <w:tc>
          <w:tcPr>
            <w:tcW w:w="1244" w:type="dxa"/>
            <w:shd w:val="clear" w:color="auto" w:fill="F2F2F2" w:themeFill="background1" w:themeFillShade="F2"/>
            <w:vAlign w:val="center"/>
          </w:tcPr>
          <w:p w14:paraId="2A39A78E"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60" w:type="dxa"/>
            <w:shd w:val="clear" w:color="auto" w:fill="F2F2F2" w:themeFill="background1" w:themeFillShade="F2"/>
            <w:vAlign w:val="center"/>
          </w:tcPr>
          <w:p w14:paraId="00DDC40A"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275" w:type="dxa"/>
            <w:shd w:val="clear" w:color="auto" w:fill="F2F2F2" w:themeFill="background1" w:themeFillShade="F2"/>
            <w:vAlign w:val="center"/>
          </w:tcPr>
          <w:p w14:paraId="56B651C1"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1146" w:type="dxa"/>
            <w:shd w:val="clear" w:color="auto" w:fill="F2F2F2" w:themeFill="background1" w:themeFillShade="F2"/>
            <w:vAlign w:val="center"/>
          </w:tcPr>
          <w:p w14:paraId="2B6B33B4"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847" w:type="dxa"/>
            <w:shd w:val="clear" w:color="auto" w:fill="F2F2F2" w:themeFill="background1" w:themeFillShade="F2"/>
            <w:vAlign w:val="center"/>
          </w:tcPr>
          <w:p w14:paraId="4AAB567C"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782" w:type="dxa"/>
            <w:shd w:val="clear" w:color="auto" w:fill="F2F2F2" w:themeFill="background1" w:themeFillShade="F2"/>
            <w:vAlign w:val="center"/>
          </w:tcPr>
          <w:p w14:paraId="2A21A193" w14:textId="77777777" w:rsidR="00C656C3" w:rsidRDefault="00C656C3" w:rsidP="007D15ED">
            <w:pPr>
              <w:jc w:val="center"/>
              <w:cnfStyle w:val="000000100000" w:firstRow="0" w:lastRow="0" w:firstColumn="0" w:lastColumn="0" w:oddVBand="0" w:evenVBand="0" w:oddHBand="1" w:evenHBand="0" w:firstRowFirstColumn="0" w:firstRowLastColumn="0" w:lastRowFirstColumn="0" w:lastRowLastColumn="0"/>
              <w:rPr>
                <w:sz w:val="16"/>
                <w:szCs w:val="16"/>
              </w:rPr>
            </w:pPr>
          </w:p>
        </w:tc>
      </w:tr>
      <w:tr w:rsidR="00C656C3" w14:paraId="05288F7A" w14:textId="77777777" w:rsidTr="007D15ED">
        <w:tc>
          <w:tcPr>
            <w:cnfStyle w:val="001000000000" w:firstRow="0" w:lastRow="0" w:firstColumn="1" w:lastColumn="0" w:oddVBand="0" w:evenVBand="0" w:oddHBand="0" w:evenHBand="0" w:firstRowFirstColumn="0" w:firstRowLastColumn="0" w:lastRowFirstColumn="0" w:lastRowLastColumn="0"/>
            <w:tcW w:w="1440" w:type="dxa"/>
          </w:tcPr>
          <w:p w14:paraId="27BD6C9E" w14:textId="77777777" w:rsidR="00C656C3" w:rsidRPr="00B97207" w:rsidRDefault="00C656C3" w:rsidP="007D15ED">
            <w:pPr>
              <w:jc w:val="center"/>
              <w:rPr>
                <w:b w:val="0"/>
                <w:bCs w:val="0"/>
                <w:sz w:val="16"/>
                <w:szCs w:val="16"/>
              </w:rPr>
            </w:pPr>
            <w:r w:rsidRPr="00B97207">
              <w:rPr>
                <w:b w:val="0"/>
                <w:bCs w:val="0"/>
                <w:color w:val="000000"/>
                <w:sz w:val="16"/>
                <w:szCs w:val="16"/>
              </w:rPr>
              <w:t>Skinner et al. (2005)</w:t>
            </w:r>
          </w:p>
        </w:tc>
        <w:tc>
          <w:tcPr>
            <w:tcW w:w="990" w:type="dxa"/>
            <w:vAlign w:val="center"/>
          </w:tcPr>
          <w:p w14:paraId="28FCA56B"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70" w:type="dxa"/>
            <w:vAlign w:val="center"/>
          </w:tcPr>
          <w:p w14:paraId="7F62C04D"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10" w:type="dxa"/>
            <w:vAlign w:val="center"/>
          </w:tcPr>
          <w:p w14:paraId="0A78404A"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50" w:type="dxa"/>
            <w:vAlign w:val="center"/>
          </w:tcPr>
          <w:p w14:paraId="4247032A"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46" w:type="dxa"/>
            <w:vAlign w:val="center"/>
          </w:tcPr>
          <w:p w14:paraId="39514982"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44" w:type="dxa"/>
            <w:vAlign w:val="center"/>
          </w:tcPr>
          <w:p w14:paraId="7E7DE59A"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NS</w:t>
            </w:r>
          </w:p>
        </w:tc>
        <w:tc>
          <w:tcPr>
            <w:tcW w:w="1260" w:type="dxa"/>
            <w:vAlign w:val="center"/>
          </w:tcPr>
          <w:p w14:paraId="3EDE3BEF"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vAlign w:val="center"/>
          </w:tcPr>
          <w:p w14:paraId="6EAE0462"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46" w:type="dxa"/>
            <w:vAlign w:val="center"/>
          </w:tcPr>
          <w:p w14:paraId="24EB0529"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847" w:type="dxa"/>
            <w:vAlign w:val="center"/>
          </w:tcPr>
          <w:p w14:paraId="6731BC8D"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782" w:type="dxa"/>
            <w:vAlign w:val="center"/>
          </w:tcPr>
          <w:p w14:paraId="7A1B5213" w14:textId="77777777" w:rsidR="00C656C3" w:rsidRDefault="00C656C3" w:rsidP="007D15ED">
            <w:pPr>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656C3" w14:paraId="3F3F0C97" w14:textId="77777777" w:rsidTr="007D15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60" w:type="dxa"/>
            <w:gridSpan w:val="12"/>
            <w:shd w:val="clear" w:color="auto" w:fill="F2F2F2" w:themeFill="background1" w:themeFillShade="F2"/>
          </w:tcPr>
          <w:p w14:paraId="0014F671" w14:textId="28EEBED6" w:rsidR="00C656C3" w:rsidRDefault="00C656C3" w:rsidP="007D15ED">
            <w:pPr>
              <w:rPr>
                <w:sz w:val="16"/>
                <w:szCs w:val="16"/>
              </w:rPr>
            </w:pPr>
            <w:r w:rsidRPr="00147A3C">
              <w:rPr>
                <w:b w:val="0"/>
                <w:bCs w:val="0"/>
                <w:color w:val="000000"/>
                <w:sz w:val="13"/>
                <w:szCs w:val="13"/>
              </w:rPr>
              <w:t xml:space="preserve">Key: </w:t>
            </w:r>
            <w:r w:rsidR="00210EA7" w:rsidRPr="00147A3C">
              <w:rPr>
                <w:b w:val="0"/>
                <w:bCs w:val="0"/>
                <w:color w:val="000000"/>
                <w:sz w:val="13"/>
                <w:szCs w:val="13"/>
              </w:rPr>
              <w:t xml:space="preserve">NS </w:t>
            </w:r>
            <w:r w:rsidR="00210EA7" w:rsidRPr="00D6170D">
              <w:rPr>
                <w:b w:val="0"/>
                <w:bCs w:val="0"/>
                <w:color w:val="000000"/>
                <w:sz w:val="13"/>
                <w:szCs w:val="13"/>
                <w:shd w:val="clear" w:color="auto" w:fill="FFFFFF" w:themeFill="background1"/>
              </w:rPr>
              <w:t xml:space="preserve">= </w:t>
            </w:r>
            <w:r w:rsidR="00292A4D">
              <w:rPr>
                <w:b w:val="0"/>
                <w:bCs w:val="0"/>
                <w:color w:val="000000"/>
                <w:sz w:val="13"/>
                <w:szCs w:val="13"/>
                <w:shd w:val="clear" w:color="auto" w:fill="FFFFFF" w:themeFill="background1"/>
              </w:rPr>
              <w:t>n</w:t>
            </w:r>
            <w:r w:rsidR="00210EA7" w:rsidRPr="00D6170D">
              <w:rPr>
                <w:b w:val="0"/>
                <w:bCs w:val="0"/>
                <w:color w:val="000000"/>
                <w:sz w:val="13"/>
                <w:szCs w:val="13"/>
                <w:shd w:val="clear" w:color="auto" w:fill="FFFFFF" w:themeFill="background1"/>
              </w:rPr>
              <w:t>on-significant association/</w:t>
            </w:r>
            <w:r w:rsidR="00210EA7" w:rsidRPr="00147A3C">
              <w:rPr>
                <w:b w:val="0"/>
                <w:bCs w:val="0"/>
                <w:color w:val="000000"/>
                <w:sz w:val="13"/>
                <w:szCs w:val="13"/>
              </w:rPr>
              <w:t>relationship as reported by primary study authors</w:t>
            </w:r>
            <w:r w:rsidR="00210EA7">
              <w:rPr>
                <w:b w:val="0"/>
                <w:bCs w:val="0"/>
                <w:color w:val="000000"/>
                <w:sz w:val="13"/>
                <w:szCs w:val="13"/>
              </w:rPr>
              <w:t xml:space="preserve">; </w:t>
            </w:r>
            <w:r w:rsidR="00210EA7" w:rsidRPr="00147A3C">
              <w:rPr>
                <w:b w:val="0"/>
                <w:bCs w:val="0"/>
                <w:color w:val="000000"/>
                <w:sz w:val="13"/>
                <w:szCs w:val="13"/>
              </w:rPr>
              <w:t xml:space="preserve">S = </w:t>
            </w:r>
            <w:r w:rsidR="00292A4D">
              <w:rPr>
                <w:b w:val="0"/>
                <w:bCs w:val="0"/>
                <w:color w:val="000000"/>
                <w:sz w:val="13"/>
                <w:szCs w:val="13"/>
              </w:rPr>
              <w:t>s</w:t>
            </w:r>
            <w:r w:rsidR="00210EA7" w:rsidRPr="00147A3C">
              <w:rPr>
                <w:b w:val="0"/>
                <w:bCs w:val="0"/>
                <w:color w:val="000000"/>
                <w:sz w:val="13"/>
                <w:szCs w:val="13"/>
              </w:rPr>
              <w:t>tatistically significant association/relationship as reported by primary study authors;</w:t>
            </w:r>
          </w:p>
        </w:tc>
      </w:tr>
    </w:tbl>
    <w:p w14:paraId="1AF0A2DC" w14:textId="77777777" w:rsidR="00C656C3" w:rsidRDefault="00C656C3"/>
    <w:sectPr w:rsidR="00C656C3" w:rsidSect="00C656C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6C3"/>
    <w:rsid w:val="00002354"/>
    <w:rsid w:val="00100822"/>
    <w:rsid w:val="0017711A"/>
    <w:rsid w:val="00202990"/>
    <w:rsid w:val="00210EA7"/>
    <w:rsid w:val="0025566E"/>
    <w:rsid w:val="00292A4D"/>
    <w:rsid w:val="002B4499"/>
    <w:rsid w:val="002C21D3"/>
    <w:rsid w:val="004B236A"/>
    <w:rsid w:val="00564617"/>
    <w:rsid w:val="00666E24"/>
    <w:rsid w:val="00701CD2"/>
    <w:rsid w:val="00754FC0"/>
    <w:rsid w:val="007971A1"/>
    <w:rsid w:val="007F226C"/>
    <w:rsid w:val="009B33AD"/>
    <w:rsid w:val="00A7778F"/>
    <w:rsid w:val="00C656C3"/>
    <w:rsid w:val="00CF4D8A"/>
    <w:rsid w:val="00D03EB0"/>
    <w:rsid w:val="00DC0B2B"/>
    <w:rsid w:val="00E96DA1"/>
    <w:rsid w:val="00F36F29"/>
    <w:rsid w:val="00FA7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4D78A"/>
  <w15:chartTrackingRefBased/>
  <w15:docId w15:val="{BBE500C2-408B-2443-ADB6-EBDC95E25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6C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6Colorful">
    <w:name w:val="Grid Table 6 Colorful"/>
    <w:basedOn w:val="TableNormal"/>
    <w:uiPriority w:val="51"/>
    <w:rsid w:val="00C656C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D03EB0"/>
    <w:rPr>
      <w:sz w:val="16"/>
      <w:szCs w:val="16"/>
    </w:rPr>
  </w:style>
  <w:style w:type="paragraph" w:styleId="CommentText">
    <w:name w:val="annotation text"/>
    <w:basedOn w:val="Normal"/>
    <w:link w:val="CommentTextChar"/>
    <w:uiPriority w:val="99"/>
    <w:semiHidden/>
    <w:unhideWhenUsed/>
    <w:rsid w:val="00D03EB0"/>
    <w:rPr>
      <w:sz w:val="20"/>
      <w:szCs w:val="20"/>
    </w:rPr>
  </w:style>
  <w:style w:type="character" w:customStyle="1" w:styleId="CommentTextChar">
    <w:name w:val="Comment Text Char"/>
    <w:basedOn w:val="DefaultParagraphFont"/>
    <w:link w:val="CommentText"/>
    <w:uiPriority w:val="99"/>
    <w:semiHidden/>
    <w:rsid w:val="00D03EB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03EB0"/>
    <w:rPr>
      <w:b/>
      <w:bCs/>
    </w:rPr>
  </w:style>
  <w:style w:type="character" w:customStyle="1" w:styleId="CommentSubjectChar">
    <w:name w:val="Comment Subject Char"/>
    <w:basedOn w:val="CommentTextChar"/>
    <w:link w:val="CommentSubject"/>
    <w:uiPriority w:val="99"/>
    <w:semiHidden/>
    <w:rsid w:val="00D03EB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03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EB0"/>
    <w:rPr>
      <w:rFonts w:ascii="Segoe UI" w:eastAsia="Times New Roman" w:hAnsi="Segoe UI" w:cs="Segoe UI"/>
      <w:sz w:val="18"/>
      <w:szCs w:val="18"/>
    </w:rPr>
  </w:style>
  <w:style w:type="paragraph" w:styleId="Revision">
    <w:name w:val="Revision"/>
    <w:hidden/>
    <w:uiPriority w:val="99"/>
    <w:semiHidden/>
    <w:rsid w:val="007F226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2103</Words>
  <Characters>11993</Characters>
  <Application>Microsoft Office Word</Application>
  <DocSecurity>0</DocSecurity>
  <Lines>99</Lines>
  <Paragraphs>28</Paragraphs>
  <ScaleCrop>false</ScaleCrop>
  <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Jacobwitz</dc:creator>
  <cp:keywords/>
  <dc:description/>
  <cp:lastModifiedBy>Marin Jacobwitz</cp:lastModifiedBy>
  <cp:revision>2</cp:revision>
  <dcterms:created xsi:type="dcterms:W3CDTF">2022-03-07T17:56:00Z</dcterms:created>
  <dcterms:modified xsi:type="dcterms:W3CDTF">2022-03-07T17:56:00Z</dcterms:modified>
</cp:coreProperties>
</file>