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BE684" w14:textId="2292FFB9" w:rsidR="00AA484E" w:rsidRPr="004E651F" w:rsidRDefault="00AA484E" w:rsidP="00AA484E">
      <w:pPr>
        <w:rPr>
          <w:rFonts w:cstheme="minorHAnsi"/>
          <w:b/>
        </w:rPr>
      </w:pPr>
      <w:r w:rsidRPr="000376D9">
        <w:rPr>
          <w:rFonts w:cstheme="minorHAnsi"/>
          <w:b/>
        </w:rPr>
        <w:t xml:space="preserve">Supplementary File: Table 1: Search strategy for </w:t>
      </w:r>
      <w:proofErr w:type="spellStart"/>
      <w:r w:rsidRPr="000376D9">
        <w:rPr>
          <w:rFonts w:cstheme="minorHAnsi"/>
          <w:b/>
        </w:rPr>
        <w:t>PuBMed</w:t>
      </w:r>
      <w:proofErr w:type="spellEnd"/>
      <w:r w:rsidRPr="000376D9">
        <w:rPr>
          <w:rFonts w:cstheme="minorHAnsi"/>
          <w:b/>
        </w:rPr>
        <w:t xml:space="preserve"> and study inclusion criteria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3180"/>
      </w:tblGrid>
      <w:tr w:rsidR="00AA484E" w:rsidRPr="00AA484E" w14:paraId="04ADB81C" w14:textId="77777777" w:rsidTr="00FB2EFA">
        <w:tc>
          <w:tcPr>
            <w:tcW w:w="9242" w:type="dxa"/>
            <w:gridSpan w:val="3"/>
            <w:shd w:val="clear" w:color="auto" w:fill="D9D9D9" w:themeFill="background1" w:themeFillShade="D9"/>
          </w:tcPr>
          <w:p w14:paraId="46173DE1" w14:textId="77777777" w:rsidR="00AA484E" w:rsidRPr="00AA484E" w:rsidRDefault="00AA484E" w:rsidP="00FB2EFA">
            <w:pPr>
              <w:jc w:val="center"/>
              <w:rPr>
                <w:rFonts w:cstheme="minorHAnsi"/>
                <w:b/>
              </w:rPr>
            </w:pPr>
            <w:r w:rsidRPr="00AA484E">
              <w:rPr>
                <w:rFonts w:cstheme="minorHAnsi"/>
                <w:b/>
              </w:rPr>
              <w:t>Study selection criteria (PICOTS)</w:t>
            </w:r>
          </w:p>
        </w:tc>
      </w:tr>
      <w:tr w:rsidR="00AA484E" w:rsidRPr="00AA484E" w14:paraId="79FF6A59" w14:textId="77777777" w:rsidTr="00FB2EFA">
        <w:tc>
          <w:tcPr>
            <w:tcW w:w="2660" w:type="dxa"/>
          </w:tcPr>
          <w:p w14:paraId="177CB5B5" w14:textId="77777777" w:rsidR="00AA484E" w:rsidRPr="00AA484E" w:rsidRDefault="00AA484E" w:rsidP="00FB2EFA">
            <w:pPr>
              <w:jc w:val="center"/>
              <w:rPr>
                <w:rFonts w:cstheme="minorHAnsi"/>
                <w:u w:val="single"/>
              </w:rPr>
            </w:pPr>
          </w:p>
        </w:tc>
        <w:tc>
          <w:tcPr>
            <w:tcW w:w="3402" w:type="dxa"/>
          </w:tcPr>
          <w:p w14:paraId="2653A8B0" w14:textId="77777777" w:rsidR="00AA484E" w:rsidRPr="00AA484E" w:rsidRDefault="00AA484E" w:rsidP="00FB2EFA">
            <w:pPr>
              <w:jc w:val="center"/>
              <w:rPr>
                <w:rFonts w:cstheme="minorHAnsi"/>
                <w:b/>
              </w:rPr>
            </w:pPr>
            <w:r w:rsidRPr="00AA484E">
              <w:rPr>
                <w:rFonts w:cstheme="minorHAnsi"/>
                <w:b/>
              </w:rPr>
              <w:t>Inclusion criteria</w:t>
            </w:r>
          </w:p>
        </w:tc>
        <w:tc>
          <w:tcPr>
            <w:tcW w:w="3180" w:type="dxa"/>
          </w:tcPr>
          <w:p w14:paraId="727B29CC" w14:textId="77777777" w:rsidR="00AA484E" w:rsidRPr="00AA484E" w:rsidRDefault="00AA484E" w:rsidP="00FB2EFA">
            <w:pPr>
              <w:jc w:val="center"/>
              <w:rPr>
                <w:rFonts w:cstheme="minorHAnsi"/>
                <w:b/>
              </w:rPr>
            </w:pPr>
            <w:r w:rsidRPr="00AA484E">
              <w:rPr>
                <w:rFonts w:cstheme="minorHAnsi"/>
                <w:b/>
              </w:rPr>
              <w:t>Exclusion criteria</w:t>
            </w:r>
          </w:p>
        </w:tc>
      </w:tr>
      <w:tr w:rsidR="00AA484E" w:rsidRPr="00AA484E" w14:paraId="0F136679" w14:textId="77777777" w:rsidTr="00FB2EFA">
        <w:tc>
          <w:tcPr>
            <w:tcW w:w="2660" w:type="dxa"/>
          </w:tcPr>
          <w:p w14:paraId="569FC042" w14:textId="77777777" w:rsidR="00AA484E" w:rsidRPr="00AA484E" w:rsidRDefault="00AA484E" w:rsidP="00FB2EFA">
            <w:pPr>
              <w:rPr>
                <w:rFonts w:cstheme="minorHAnsi"/>
                <w:b/>
              </w:rPr>
            </w:pPr>
            <w:r w:rsidRPr="00AA484E">
              <w:rPr>
                <w:rFonts w:cstheme="minorHAnsi"/>
                <w:b/>
                <w:u w:val="single"/>
              </w:rPr>
              <w:t>P</w:t>
            </w:r>
            <w:r w:rsidRPr="00AA484E">
              <w:rPr>
                <w:rFonts w:cstheme="minorHAnsi"/>
                <w:b/>
              </w:rPr>
              <w:t>opulation</w:t>
            </w:r>
          </w:p>
        </w:tc>
        <w:tc>
          <w:tcPr>
            <w:tcW w:w="3402" w:type="dxa"/>
          </w:tcPr>
          <w:p w14:paraId="499F7B6B" w14:textId="0C8226E3" w:rsidR="00AA484E" w:rsidRPr="00AA484E" w:rsidRDefault="003969D9" w:rsidP="00FB2EF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Infants with congenital heart disease</w:t>
            </w:r>
          </w:p>
        </w:tc>
        <w:tc>
          <w:tcPr>
            <w:tcW w:w="3180" w:type="dxa"/>
          </w:tcPr>
          <w:p w14:paraId="064E90BD" w14:textId="335BECEB" w:rsidR="00AA484E" w:rsidRPr="00AA484E" w:rsidRDefault="003969D9" w:rsidP="00FB2EFA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AA484E" w:rsidRPr="00AA48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tudies not published in English, infants with other primary pathologies (including metabolic, gastrointestinal, nephrological, neurological or urological)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preterm infants with patent ductus arteriosus</w:t>
            </w:r>
            <w:r w:rsidR="00AA484E" w:rsidRPr="00AA48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and metabolites described in fluids other than urine</w:t>
            </w:r>
          </w:p>
        </w:tc>
      </w:tr>
      <w:tr w:rsidR="00AA484E" w:rsidRPr="00AA484E" w14:paraId="799FFC95" w14:textId="77777777" w:rsidTr="00FB2EFA">
        <w:tc>
          <w:tcPr>
            <w:tcW w:w="2660" w:type="dxa"/>
          </w:tcPr>
          <w:p w14:paraId="764EF231" w14:textId="77777777" w:rsidR="00AA484E" w:rsidRPr="00AA484E" w:rsidRDefault="00AA484E" w:rsidP="00FB2EFA">
            <w:pPr>
              <w:rPr>
                <w:rFonts w:cstheme="minorHAnsi"/>
                <w:b/>
              </w:rPr>
            </w:pPr>
            <w:r w:rsidRPr="00AA484E">
              <w:rPr>
                <w:rFonts w:cstheme="minorHAnsi"/>
                <w:b/>
                <w:u w:val="single"/>
              </w:rPr>
              <w:t>I</w:t>
            </w:r>
            <w:r w:rsidRPr="00AA484E">
              <w:rPr>
                <w:rFonts w:cstheme="minorHAnsi"/>
                <w:b/>
              </w:rPr>
              <w:t>ntervention</w:t>
            </w:r>
          </w:p>
        </w:tc>
        <w:tc>
          <w:tcPr>
            <w:tcW w:w="3402" w:type="dxa"/>
          </w:tcPr>
          <w:p w14:paraId="4DAE3185" w14:textId="77777777" w:rsidR="00AA484E" w:rsidRPr="00AA484E" w:rsidRDefault="00AA484E" w:rsidP="00FB2EF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484E">
              <w:rPr>
                <w:rFonts w:asciiTheme="minorHAnsi" w:hAnsiTheme="minorHAnsi" w:cstheme="minorHAnsi"/>
                <w:sz w:val="22"/>
                <w:szCs w:val="22"/>
              </w:rPr>
              <w:t xml:space="preserve">Mass spectroscopy urinary metabolomics </w:t>
            </w:r>
          </w:p>
        </w:tc>
        <w:tc>
          <w:tcPr>
            <w:tcW w:w="3180" w:type="dxa"/>
          </w:tcPr>
          <w:p w14:paraId="2EAE8E90" w14:textId="77777777" w:rsidR="00AA484E" w:rsidRPr="00AA484E" w:rsidRDefault="00AA484E" w:rsidP="00FB2EF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484E">
              <w:rPr>
                <w:rFonts w:asciiTheme="minorHAnsi" w:hAnsiTheme="minorHAnsi" w:cstheme="minorHAnsi"/>
                <w:sz w:val="22"/>
                <w:szCs w:val="22"/>
              </w:rPr>
              <w:t>Mass spectroscopy metabolomics from other biological samples</w:t>
            </w:r>
          </w:p>
        </w:tc>
      </w:tr>
      <w:tr w:rsidR="00AA484E" w:rsidRPr="00AA484E" w14:paraId="5ED4D529" w14:textId="77777777" w:rsidTr="00FB2EFA">
        <w:tc>
          <w:tcPr>
            <w:tcW w:w="2660" w:type="dxa"/>
          </w:tcPr>
          <w:p w14:paraId="09A9CAE8" w14:textId="77777777" w:rsidR="00AA484E" w:rsidRPr="00AA484E" w:rsidRDefault="00AA484E" w:rsidP="00FB2EFA">
            <w:pPr>
              <w:rPr>
                <w:rFonts w:cstheme="minorHAnsi"/>
                <w:b/>
              </w:rPr>
            </w:pPr>
            <w:r w:rsidRPr="00AA484E">
              <w:rPr>
                <w:rFonts w:cstheme="minorHAnsi"/>
                <w:b/>
                <w:u w:val="single"/>
              </w:rPr>
              <w:t>C</w:t>
            </w:r>
            <w:r w:rsidRPr="00AA484E">
              <w:rPr>
                <w:rFonts w:cstheme="minorHAnsi"/>
                <w:b/>
              </w:rPr>
              <w:t>omparison</w:t>
            </w:r>
          </w:p>
        </w:tc>
        <w:tc>
          <w:tcPr>
            <w:tcW w:w="3402" w:type="dxa"/>
          </w:tcPr>
          <w:p w14:paraId="51D9D39D" w14:textId="138A5DA5" w:rsidR="00AA484E" w:rsidRPr="00AA484E" w:rsidRDefault="003969D9" w:rsidP="00FB2EF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Healthy term</w:t>
            </w:r>
            <w:r w:rsidR="00AA484E" w:rsidRPr="00AA484E">
              <w:rPr>
                <w:rFonts w:asciiTheme="minorHAnsi" w:hAnsiTheme="minorHAnsi" w:cstheme="minorHAnsi"/>
                <w:sz w:val="22"/>
                <w:szCs w:val="22"/>
              </w:rPr>
              <w:t xml:space="preserve"> neonates</w:t>
            </w:r>
          </w:p>
        </w:tc>
        <w:tc>
          <w:tcPr>
            <w:tcW w:w="3180" w:type="dxa"/>
          </w:tcPr>
          <w:p w14:paraId="2C9803C1" w14:textId="4B7BD62D" w:rsidR="00AA484E" w:rsidRPr="00AA484E" w:rsidRDefault="00AA484E" w:rsidP="00FB2EF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484E">
              <w:rPr>
                <w:rFonts w:asciiTheme="minorHAnsi" w:hAnsiTheme="minorHAnsi" w:cstheme="minorHAnsi"/>
                <w:sz w:val="22"/>
                <w:szCs w:val="22"/>
              </w:rPr>
              <w:t>Infants with other primary pathologies (including metabolic, gastrointestinal, nephrological, neurological or urological), preterm infants with patent ductus arteriosus</w:t>
            </w:r>
          </w:p>
        </w:tc>
      </w:tr>
      <w:tr w:rsidR="00AA484E" w:rsidRPr="00AA484E" w14:paraId="782B5F86" w14:textId="77777777" w:rsidTr="00FB2EFA">
        <w:tc>
          <w:tcPr>
            <w:tcW w:w="2660" w:type="dxa"/>
          </w:tcPr>
          <w:p w14:paraId="26025BC4" w14:textId="77777777" w:rsidR="00AA484E" w:rsidRPr="00AA484E" w:rsidRDefault="00AA484E" w:rsidP="00FB2EFA">
            <w:pPr>
              <w:rPr>
                <w:rFonts w:cstheme="minorHAnsi"/>
                <w:b/>
                <w:u w:val="single"/>
              </w:rPr>
            </w:pPr>
            <w:r w:rsidRPr="00AA484E">
              <w:rPr>
                <w:rFonts w:cstheme="minorHAnsi"/>
                <w:b/>
                <w:u w:val="single"/>
              </w:rPr>
              <w:t>O</w:t>
            </w:r>
            <w:r w:rsidRPr="00AA484E">
              <w:rPr>
                <w:rFonts w:cstheme="minorHAnsi"/>
                <w:b/>
              </w:rPr>
              <w:t>utcome</w:t>
            </w:r>
          </w:p>
        </w:tc>
        <w:tc>
          <w:tcPr>
            <w:tcW w:w="3402" w:type="dxa"/>
          </w:tcPr>
          <w:p w14:paraId="438727D3" w14:textId="77777777" w:rsidR="00AA484E" w:rsidRPr="00AA484E" w:rsidRDefault="00AA484E" w:rsidP="00FB2EF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484E">
              <w:rPr>
                <w:rFonts w:asciiTheme="minorHAnsi" w:hAnsiTheme="minorHAnsi" w:cstheme="minorHAnsi"/>
                <w:sz w:val="22"/>
                <w:szCs w:val="22"/>
              </w:rPr>
              <w:t>Growth</w:t>
            </w:r>
          </w:p>
        </w:tc>
        <w:tc>
          <w:tcPr>
            <w:tcW w:w="3180" w:type="dxa"/>
          </w:tcPr>
          <w:p w14:paraId="330F9747" w14:textId="77777777" w:rsidR="00AA484E" w:rsidRPr="00AA484E" w:rsidRDefault="00AA484E" w:rsidP="00FB2EF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484E">
              <w:rPr>
                <w:rFonts w:asciiTheme="minorHAnsi" w:hAnsiTheme="minorHAnsi" w:cstheme="minorHAnsi"/>
                <w:sz w:val="22"/>
                <w:szCs w:val="22"/>
              </w:rPr>
              <w:t>Growth not reported</w:t>
            </w:r>
          </w:p>
        </w:tc>
      </w:tr>
      <w:tr w:rsidR="00AA484E" w:rsidRPr="00AA484E" w14:paraId="7FFB12AE" w14:textId="77777777" w:rsidTr="00FB2EFA">
        <w:tc>
          <w:tcPr>
            <w:tcW w:w="2660" w:type="dxa"/>
          </w:tcPr>
          <w:p w14:paraId="32FC84A0" w14:textId="77777777" w:rsidR="00AA484E" w:rsidRPr="00AA484E" w:rsidRDefault="00AA484E" w:rsidP="00FB2EFA">
            <w:pPr>
              <w:rPr>
                <w:rFonts w:cstheme="minorHAnsi"/>
                <w:b/>
              </w:rPr>
            </w:pPr>
            <w:r w:rsidRPr="00AA484E">
              <w:rPr>
                <w:rFonts w:cstheme="minorHAnsi"/>
                <w:b/>
                <w:u w:val="single"/>
              </w:rPr>
              <w:t>T</w:t>
            </w:r>
            <w:r w:rsidRPr="00AA484E">
              <w:rPr>
                <w:rFonts w:cstheme="minorHAnsi"/>
                <w:b/>
              </w:rPr>
              <w:t>iming</w:t>
            </w:r>
          </w:p>
        </w:tc>
        <w:tc>
          <w:tcPr>
            <w:tcW w:w="3402" w:type="dxa"/>
          </w:tcPr>
          <w:p w14:paraId="1C78CC2A" w14:textId="1156F3FD" w:rsidR="00AA484E" w:rsidRPr="00AA484E" w:rsidRDefault="003969D9" w:rsidP="00FB2EF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 infants</w:t>
            </w:r>
            <w:r w:rsidR="00AA484E" w:rsidRPr="00AA48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&gt;37 weeks gestational age</w:t>
            </w:r>
          </w:p>
        </w:tc>
        <w:tc>
          <w:tcPr>
            <w:tcW w:w="3180" w:type="dxa"/>
          </w:tcPr>
          <w:p w14:paraId="613D1929" w14:textId="30833064" w:rsidR="00AA484E" w:rsidRPr="00AA484E" w:rsidRDefault="00AA484E" w:rsidP="00FB2EF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484E">
              <w:rPr>
                <w:rFonts w:asciiTheme="minorHAnsi" w:hAnsiTheme="minorHAnsi" w:cstheme="minorHAnsi"/>
                <w:sz w:val="22"/>
                <w:szCs w:val="22"/>
              </w:rPr>
              <w:t xml:space="preserve">Infants </w:t>
            </w:r>
            <w:r w:rsidR="003969D9">
              <w:rPr>
                <w:rFonts w:asciiTheme="minorHAnsi" w:hAnsiTheme="minorHAnsi" w:cstheme="minorHAnsi"/>
                <w:sz w:val="22"/>
                <w:szCs w:val="22"/>
              </w:rPr>
              <w:t xml:space="preserve">&lt; </w:t>
            </w:r>
            <w:r w:rsidRPr="00AA484E">
              <w:rPr>
                <w:rFonts w:asciiTheme="minorHAnsi" w:hAnsiTheme="minorHAnsi" w:cstheme="minorHAnsi"/>
                <w:sz w:val="22"/>
                <w:szCs w:val="22"/>
              </w:rPr>
              <w:t>37 weeks gestational age, or those with other primary pathology</w:t>
            </w:r>
          </w:p>
        </w:tc>
      </w:tr>
      <w:tr w:rsidR="00AA484E" w:rsidRPr="00AA484E" w14:paraId="39F44804" w14:textId="77777777" w:rsidTr="00FB2EFA">
        <w:tc>
          <w:tcPr>
            <w:tcW w:w="2660" w:type="dxa"/>
          </w:tcPr>
          <w:p w14:paraId="5E08A6C7" w14:textId="77777777" w:rsidR="00AA484E" w:rsidRPr="00AA484E" w:rsidRDefault="00AA484E" w:rsidP="00FB2EFA">
            <w:pPr>
              <w:rPr>
                <w:rFonts w:cstheme="minorHAnsi"/>
                <w:b/>
              </w:rPr>
            </w:pPr>
            <w:r w:rsidRPr="00AA484E">
              <w:rPr>
                <w:rFonts w:cstheme="minorHAnsi"/>
                <w:b/>
                <w:u w:val="single"/>
              </w:rPr>
              <w:t>S</w:t>
            </w:r>
            <w:r w:rsidRPr="00AA484E">
              <w:rPr>
                <w:rFonts w:cstheme="minorHAnsi"/>
                <w:b/>
              </w:rPr>
              <w:t>etting</w:t>
            </w:r>
          </w:p>
        </w:tc>
        <w:tc>
          <w:tcPr>
            <w:tcW w:w="3402" w:type="dxa"/>
          </w:tcPr>
          <w:p w14:paraId="0CF30D04" w14:textId="77777777" w:rsidR="00AA484E" w:rsidRPr="00AA484E" w:rsidRDefault="00AA484E" w:rsidP="00FB2EF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484E">
              <w:rPr>
                <w:rFonts w:asciiTheme="minorHAnsi" w:hAnsiTheme="minorHAnsi" w:cstheme="minorHAnsi"/>
                <w:sz w:val="22"/>
                <w:szCs w:val="22"/>
              </w:rPr>
              <w:t>Hospital</w:t>
            </w:r>
          </w:p>
        </w:tc>
        <w:tc>
          <w:tcPr>
            <w:tcW w:w="3180" w:type="dxa"/>
          </w:tcPr>
          <w:p w14:paraId="63471B6E" w14:textId="77777777" w:rsidR="00AA484E" w:rsidRPr="00AA484E" w:rsidRDefault="00AA484E" w:rsidP="00FB2EF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484E">
              <w:rPr>
                <w:rFonts w:asciiTheme="minorHAnsi" w:hAnsiTheme="minorHAnsi" w:cstheme="minorHAnsi"/>
                <w:sz w:val="22"/>
                <w:szCs w:val="22"/>
              </w:rPr>
              <w:t>Community</w:t>
            </w:r>
          </w:p>
        </w:tc>
      </w:tr>
      <w:tr w:rsidR="00AA484E" w:rsidRPr="00AA484E" w14:paraId="00EA3372" w14:textId="77777777" w:rsidTr="00FB2EFA">
        <w:tc>
          <w:tcPr>
            <w:tcW w:w="9242" w:type="dxa"/>
            <w:gridSpan w:val="3"/>
            <w:shd w:val="clear" w:color="auto" w:fill="D9D9D9" w:themeFill="background1" w:themeFillShade="D9"/>
          </w:tcPr>
          <w:p w14:paraId="6B7BA15C" w14:textId="77777777" w:rsidR="00AA484E" w:rsidRPr="00AA484E" w:rsidRDefault="00AA484E" w:rsidP="00FB2EFA">
            <w:pPr>
              <w:rPr>
                <w:rFonts w:cstheme="minorHAnsi"/>
                <w:b/>
              </w:rPr>
            </w:pPr>
            <w:r w:rsidRPr="00AA484E">
              <w:rPr>
                <w:rFonts w:cstheme="minorHAnsi"/>
                <w:b/>
              </w:rPr>
              <w:t>Search strategy</w:t>
            </w:r>
          </w:p>
        </w:tc>
      </w:tr>
      <w:tr w:rsidR="00AA484E" w:rsidRPr="00AA484E" w14:paraId="39C3DE36" w14:textId="77777777" w:rsidTr="00FB2EFA">
        <w:tc>
          <w:tcPr>
            <w:tcW w:w="2660" w:type="dxa"/>
          </w:tcPr>
          <w:p w14:paraId="33C45AFB" w14:textId="77777777" w:rsidR="00AA484E" w:rsidRPr="00AA484E" w:rsidRDefault="00AA484E" w:rsidP="00FB2EFA">
            <w:pPr>
              <w:rPr>
                <w:rFonts w:cstheme="minorHAnsi"/>
                <w:b/>
              </w:rPr>
            </w:pPr>
            <w:r w:rsidRPr="00AA484E">
              <w:rPr>
                <w:rFonts w:cstheme="minorHAnsi"/>
                <w:b/>
              </w:rPr>
              <w:t>Search words</w:t>
            </w:r>
          </w:p>
        </w:tc>
        <w:tc>
          <w:tcPr>
            <w:tcW w:w="6582" w:type="dxa"/>
            <w:gridSpan w:val="2"/>
          </w:tcPr>
          <w:p w14:paraId="0EE31C5D" w14:textId="577BB042" w:rsidR="00AA484E" w:rsidRPr="00AA484E" w:rsidRDefault="00AA484E" w:rsidP="00AA484E">
            <w:pPr>
              <w:pStyle w:val="ListParagraph"/>
              <w:numPr>
                <w:ilvl w:val="0"/>
                <w:numId w:val="29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bookmarkStart w:id="0" w:name="_Hlk114936910"/>
            <w:r w:rsidRPr="00AA48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Infants or neonates; </w:t>
            </w:r>
            <w:r w:rsidR="003969D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</w:t>
            </w:r>
            <w:r w:rsidRPr="00AA48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ongenital heart disease; Urinary metabolomics or urinary metabolites; Growth or weight gain; Metabolic maturation or metabolic maturity</w:t>
            </w:r>
            <w:bookmarkEnd w:id="0"/>
          </w:p>
        </w:tc>
      </w:tr>
      <w:tr w:rsidR="00AA484E" w:rsidRPr="00AA484E" w14:paraId="3B1CB06D" w14:textId="77777777" w:rsidTr="00FB2EFA">
        <w:tc>
          <w:tcPr>
            <w:tcW w:w="2660" w:type="dxa"/>
          </w:tcPr>
          <w:p w14:paraId="2A308536" w14:textId="77777777" w:rsidR="00AA484E" w:rsidRPr="00AA484E" w:rsidRDefault="00AA484E" w:rsidP="00FB2EFA">
            <w:pPr>
              <w:rPr>
                <w:rFonts w:cstheme="minorHAnsi"/>
                <w:b/>
              </w:rPr>
            </w:pPr>
            <w:r w:rsidRPr="00AA484E">
              <w:rPr>
                <w:rFonts w:cstheme="minorHAnsi"/>
                <w:b/>
              </w:rPr>
              <w:t>Limits</w:t>
            </w:r>
          </w:p>
        </w:tc>
        <w:tc>
          <w:tcPr>
            <w:tcW w:w="6582" w:type="dxa"/>
            <w:gridSpan w:val="2"/>
          </w:tcPr>
          <w:p w14:paraId="227344A2" w14:textId="77777777" w:rsidR="00AA484E" w:rsidRPr="00AA484E" w:rsidRDefault="00AA484E" w:rsidP="00FB2EFA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484E">
              <w:rPr>
                <w:rFonts w:asciiTheme="minorHAnsi" w:hAnsiTheme="minorHAnsi" w:cstheme="minorHAnsi"/>
                <w:sz w:val="22"/>
                <w:szCs w:val="22"/>
              </w:rPr>
              <w:t>English, human</w:t>
            </w:r>
          </w:p>
        </w:tc>
      </w:tr>
      <w:tr w:rsidR="00AA484E" w:rsidRPr="00AA484E" w14:paraId="618308EB" w14:textId="77777777" w:rsidTr="00FB2EFA">
        <w:tc>
          <w:tcPr>
            <w:tcW w:w="2660" w:type="dxa"/>
          </w:tcPr>
          <w:p w14:paraId="56A91A91" w14:textId="77777777" w:rsidR="00AA484E" w:rsidRPr="00AA484E" w:rsidRDefault="00AA484E" w:rsidP="00FB2EFA">
            <w:pPr>
              <w:rPr>
                <w:rFonts w:cstheme="minorHAnsi"/>
                <w:b/>
              </w:rPr>
            </w:pPr>
            <w:r w:rsidRPr="00AA484E">
              <w:rPr>
                <w:rFonts w:cstheme="minorHAnsi"/>
                <w:b/>
              </w:rPr>
              <w:t>Year range</w:t>
            </w:r>
          </w:p>
        </w:tc>
        <w:tc>
          <w:tcPr>
            <w:tcW w:w="6582" w:type="dxa"/>
            <w:gridSpan w:val="2"/>
          </w:tcPr>
          <w:p w14:paraId="306D05C4" w14:textId="4E2AE693" w:rsidR="00AA484E" w:rsidRPr="00AA484E" w:rsidRDefault="00AA484E" w:rsidP="00FB2EFA">
            <w:pPr>
              <w:pStyle w:val="ListParagraph"/>
              <w:numPr>
                <w:ilvl w:val="0"/>
                <w:numId w:val="16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A48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Up to February 2022</w:t>
            </w:r>
          </w:p>
        </w:tc>
      </w:tr>
      <w:tr w:rsidR="00AA484E" w:rsidRPr="00AA484E" w14:paraId="372D52ED" w14:textId="77777777" w:rsidTr="00FB2EFA">
        <w:tc>
          <w:tcPr>
            <w:tcW w:w="2660" w:type="dxa"/>
          </w:tcPr>
          <w:p w14:paraId="7AF9FB9B" w14:textId="77777777" w:rsidR="00AA484E" w:rsidRPr="00AA484E" w:rsidRDefault="00AA484E" w:rsidP="00FB2EFA">
            <w:pPr>
              <w:rPr>
                <w:rFonts w:cstheme="minorHAnsi"/>
                <w:b/>
              </w:rPr>
            </w:pPr>
            <w:r w:rsidRPr="00AA484E">
              <w:rPr>
                <w:rFonts w:cstheme="minorHAnsi"/>
                <w:b/>
              </w:rPr>
              <w:t>Search example: PUBMED</w:t>
            </w:r>
          </w:p>
        </w:tc>
        <w:tc>
          <w:tcPr>
            <w:tcW w:w="6582" w:type="dxa"/>
            <w:gridSpan w:val="2"/>
          </w:tcPr>
          <w:p w14:paraId="63365A26" w14:textId="2447B410" w:rsidR="00AA484E" w:rsidRPr="00AA484E" w:rsidRDefault="00AA484E" w:rsidP="00FB2EFA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484E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((Infants or Neonates) AND (Urinary metabolomics or urinary metabolites)) AND (weight or growth)</w:t>
            </w:r>
            <w:r w:rsidRPr="00AA484E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Pr="00AA48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AND (</w:t>
            </w:r>
            <w:r w:rsidR="003969D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</w:t>
            </w:r>
            <w:r w:rsidRPr="00AA48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ongenital heart disease))</w:t>
            </w:r>
          </w:p>
        </w:tc>
      </w:tr>
    </w:tbl>
    <w:p w14:paraId="143067B7" w14:textId="77777777" w:rsidR="00AA484E" w:rsidRPr="004E651F" w:rsidRDefault="00AA484E" w:rsidP="00AA484E">
      <w:pPr>
        <w:rPr>
          <w:rFonts w:cstheme="minorHAnsi"/>
          <w:b/>
        </w:rPr>
      </w:pPr>
      <w:bookmarkStart w:id="1" w:name="_GoBack"/>
      <w:bookmarkEnd w:id="1"/>
    </w:p>
    <w:sectPr w:rsidR="00AA484E" w:rsidRPr="004E651F" w:rsidSect="00654290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493D5" w14:textId="77777777" w:rsidR="00D65B0B" w:rsidRDefault="00D65B0B" w:rsidP="00A75E54">
      <w:pPr>
        <w:spacing w:after="0" w:line="240" w:lineRule="auto"/>
      </w:pPr>
      <w:r>
        <w:separator/>
      </w:r>
    </w:p>
  </w:endnote>
  <w:endnote w:type="continuationSeparator" w:id="0">
    <w:p w14:paraId="36EF5311" w14:textId="77777777" w:rsidR="00D65B0B" w:rsidRDefault="00D65B0B" w:rsidP="00A75E54">
      <w:pPr>
        <w:spacing w:after="0" w:line="240" w:lineRule="auto"/>
      </w:pPr>
      <w:r>
        <w:continuationSeparator/>
      </w:r>
    </w:p>
  </w:endnote>
  <w:endnote w:type="continuationNotice" w:id="1">
    <w:p w14:paraId="781842B3" w14:textId="77777777" w:rsidR="00D65B0B" w:rsidRDefault="00D65B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30D1E" w14:textId="77777777" w:rsidR="008A6ABC" w:rsidRDefault="008A6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69BD3" w14:textId="77777777" w:rsidR="00D65B0B" w:rsidRDefault="00D65B0B" w:rsidP="00A75E54">
      <w:pPr>
        <w:spacing w:after="0" w:line="240" w:lineRule="auto"/>
      </w:pPr>
      <w:r>
        <w:separator/>
      </w:r>
    </w:p>
  </w:footnote>
  <w:footnote w:type="continuationSeparator" w:id="0">
    <w:p w14:paraId="2741EE15" w14:textId="77777777" w:rsidR="00D65B0B" w:rsidRDefault="00D65B0B" w:rsidP="00A75E54">
      <w:pPr>
        <w:spacing w:after="0" w:line="240" w:lineRule="auto"/>
      </w:pPr>
      <w:r>
        <w:continuationSeparator/>
      </w:r>
    </w:p>
  </w:footnote>
  <w:footnote w:type="continuationNotice" w:id="1">
    <w:p w14:paraId="5D8AD912" w14:textId="77777777" w:rsidR="00D65B0B" w:rsidRDefault="00D65B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C4C08" w14:textId="77777777" w:rsidR="008A6ABC" w:rsidRDefault="008A6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C54C2"/>
    <w:multiLevelType w:val="hybridMultilevel"/>
    <w:tmpl w:val="B0F67ABA"/>
    <w:lvl w:ilvl="0" w:tplc="D55A6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8E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D473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DA5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CA0C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286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B0D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F69A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8643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0107C"/>
    <w:multiLevelType w:val="hybridMultilevel"/>
    <w:tmpl w:val="25AC83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57604"/>
    <w:multiLevelType w:val="multilevel"/>
    <w:tmpl w:val="B430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50FF9"/>
    <w:multiLevelType w:val="hybridMultilevel"/>
    <w:tmpl w:val="800A8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A173A"/>
    <w:multiLevelType w:val="hybridMultilevel"/>
    <w:tmpl w:val="A74210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741A5F"/>
    <w:multiLevelType w:val="hybridMultilevel"/>
    <w:tmpl w:val="AECE9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06839"/>
    <w:multiLevelType w:val="hybridMultilevel"/>
    <w:tmpl w:val="5DD2A3C0"/>
    <w:lvl w:ilvl="0" w:tplc="839EA7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1E583C"/>
    <w:multiLevelType w:val="hybridMultilevel"/>
    <w:tmpl w:val="1A0EE1F2"/>
    <w:lvl w:ilvl="0" w:tplc="448ACD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8794F"/>
    <w:multiLevelType w:val="hybridMultilevel"/>
    <w:tmpl w:val="CF8480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E0945"/>
    <w:multiLevelType w:val="hybridMultilevel"/>
    <w:tmpl w:val="AA3685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8D5952"/>
    <w:multiLevelType w:val="hybridMultilevel"/>
    <w:tmpl w:val="6D48F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193456"/>
    <w:multiLevelType w:val="hybridMultilevel"/>
    <w:tmpl w:val="93161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86602B"/>
    <w:multiLevelType w:val="hybridMultilevel"/>
    <w:tmpl w:val="9BA803E6"/>
    <w:lvl w:ilvl="0" w:tplc="26C81A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17A0A"/>
    <w:multiLevelType w:val="hybridMultilevel"/>
    <w:tmpl w:val="05A295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C2729"/>
    <w:multiLevelType w:val="hybridMultilevel"/>
    <w:tmpl w:val="F920E10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8591CFD"/>
    <w:multiLevelType w:val="hybridMultilevel"/>
    <w:tmpl w:val="A8C65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F144A8"/>
    <w:multiLevelType w:val="hybridMultilevel"/>
    <w:tmpl w:val="161A2A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FE0BB3"/>
    <w:multiLevelType w:val="hybridMultilevel"/>
    <w:tmpl w:val="F2B226C2"/>
    <w:lvl w:ilvl="0" w:tplc="3B5EDC0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B4897"/>
    <w:multiLevelType w:val="hybridMultilevel"/>
    <w:tmpl w:val="CCE27A9A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0A159E"/>
    <w:multiLevelType w:val="hybridMultilevel"/>
    <w:tmpl w:val="97982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5110FF"/>
    <w:multiLevelType w:val="hybridMultilevel"/>
    <w:tmpl w:val="C0EA4D58"/>
    <w:lvl w:ilvl="0" w:tplc="010CA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64996"/>
    <w:multiLevelType w:val="hybridMultilevel"/>
    <w:tmpl w:val="B136EF64"/>
    <w:lvl w:ilvl="0" w:tplc="4D669084">
      <w:start w:val="1"/>
      <w:numFmt w:val="lowerRoman"/>
      <w:lvlText w:val="%1)"/>
      <w:lvlJc w:val="left"/>
      <w:pPr>
        <w:ind w:left="148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4EF552C3"/>
    <w:multiLevelType w:val="hybridMultilevel"/>
    <w:tmpl w:val="E9CE3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CE26D6"/>
    <w:multiLevelType w:val="hybridMultilevel"/>
    <w:tmpl w:val="A8C659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E3FCD"/>
    <w:multiLevelType w:val="hybridMultilevel"/>
    <w:tmpl w:val="A43651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903C5C"/>
    <w:multiLevelType w:val="hybridMultilevel"/>
    <w:tmpl w:val="F70AD874"/>
    <w:lvl w:ilvl="0" w:tplc="25A81A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31C3A"/>
    <w:multiLevelType w:val="hybridMultilevel"/>
    <w:tmpl w:val="83A499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051B44"/>
    <w:multiLevelType w:val="hybridMultilevel"/>
    <w:tmpl w:val="7578E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1502B8"/>
    <w:multiLevelType w:val="hybridMultilevel"/>
    <w:tmpl w:val="3766A306"/>
    <w:lvl w:ilvl="0" w:tplc="D96EF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21BB6"/>
    <w:multiLevelType w:val="hybridMultilevel"/>
    <w:tmpl w:val="7540B7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8"/>
  </w:num>
  <w:num w:numId="5">
    <w:abstractNumId w:val="21"/>
  </w:num>
  <w:num w:numId="6">
    <w:abstractNumId w:val="8"/>
  </w:num>
  <w:num w:numId="7">
    <w:abstractNumId w:val="17"/>
  </w:num>
  <w:num w:numId="8">
    <w:abstractNumId w:val="5"/>
  </w:num>
  <w:num w:numId="9">
    <w:abstractNumId w:val="29"/>
  </w:num>
  <w:num w:numId="10">
    <w:abstractNumId w:val="4"/>
  </w:num>
  <w:num w:numId="11">
    <w:abstractNumId w:val="27"/>
  </w:num>
  <w:num w:numId="12">
    <w:abstractNumId w:val="11"/>
  </w:num>
  <w:num w:numId="13">
    <w:abstractNumId w:val="16"/>
  </w:num>
  <w:num w:numId="14">
    <w:abstractNumId w:val="10"/>
  </w:num>
  <w:num w:numId="15">
    <w:abstractNumId w:val="19"/>
  </w:num>
  <w:num w:numId="16">
    <w:abstractNumId w:val="22"/>
  </w:num>
  <w:num w:numId="17">
    <w:abstractNumId w:val="28"/>
  </w:num>
  <w:num w:numId="18">
    <w:abstractNumId w:val="20"/>
  </w:num>
  <w:num w:numId="19">
    <w:abstractNumId w:val="25"/>
  </w:num>
  <w:num w:numId="20">
    <w:abstractNumId w:val="2"/>
  </w:num>
  <w:num w:numId="21">
    <w:abstractNumId w:val="15"/>
  </w:num>
  <w:num w:numId="22">
    <w:abstractNumId w:val="23"/>
  </w:num>
  <w:num w:numId="23">
    <w:abstractNumId w:val="26"/>
  </w:num>
  <w:num w:numId="24">
    <w:abstractNumId w:val="6"/>
  </w:num>
  <w:num w:numId="25">
    <w:abstractNumId w:val="24"/>
  </w:num>
  <w:num w:numId="26">
    <w:abstractNumId w:val="7"/>
  </w:num>
  <w:num w:numId="27">
    <w:abstractNumId w:val="12"/>
  </w:num>
  <w:num w:numId="28">
    <w:abstractNumId w:val="14"/>
  </w:num>
  <w:num w:numId="29">
    <w:abstractNumId w:val="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pvzar5w0ez5tabev2935r9edw9vdaeswrstt&quot;&gt;My EndNote Library cardiac&lt;record-ids&gt;&lt;item&gt;251&lt;/item&gt;&lt;item&gt;430&lt;/item&gt;&lt;item&gt;432&lt;/item&gt;&lt;item&gt;433&lt;/item&gt;&lt;item&gt;434&lt;/item&gt;&lt;item&gt;478&lt;/item&gt;&lt;item&gt;542&lt;/item&gt;&lt;item&gt;628&lt;/item&gt;&lt;item&gt;629&lt;/item&gt;&lt;item&gt;1076&lt;/item&gt;&lt;item&gt;1077&lt;/item&gt;&lt;item&gt;1080&lt;/item&gt;&lt;item&gt;1202&lt;/item&gt;&lt;item&gt;1640&lt;/item&gt;&lt;/record-ids&gt;&lt;/item&gt;&lt;/Libraries&gt;"/>
  </w:docVars>
  <w:rsids>
    <w:rsidRoot w:val="003D271C"/>
    <w:rsid w:val="00000912"/>
    <w:rsid w:val="00000D2B"/>
    <w:rsid w:val="00001969"/>
    <w:rsid w:val="0000327C"/>
    <w:rsid w:val="00003322"/>
    <w:rsid w:val="00003A7C"/>
    <w:rsid w:val="00004169"/>
    <w:rsid w:val="000041F2"/>
    <w:rsid w:val="000042A5"/>
    <w:rsid w:val="0000448A"/>
    <w:rsid w:val="00005BDA"/>
    <w:rsid w:val="00006492"/>
    <w:rsid w:val="00014885"/>
    <w:rsid w:val="00017BD4"/>
    <w:rsid w:val="00017C04"/>
    <w:rsid w:val="00020EC8"/>
    <w:rsid w:val="0002537D"/>
    <w:rsid w:val="00026FD7"/>
    <w:rsid w:val="00030042"/>
    <w:rsid w:val="00033E5B"/>
    <w:rsid w:val="0003420E"/>
    <w:rsid w:val="00034CAD"/>
    <w:rsid w:val="000358E2"/>
    <w:rsid w:val="00036001"/>
    <w:rsid w:val="000402D5"/>
    <w:rsid w:val="0004076E"/>
    <w:rsid w:val="00040AB1"/>
    <w:rsid w:val="00041119"/>
    <w:rsid w:val="00041304"/>
    <w:rsid w:val="0004555E"/>
    <w:rsid w:val="00046D62"/>
    <w:rsid w:val="000507E7"/>
    <w:rsid w:val="000529FA"/>
    <w:rsid w:val="00054DC2"/>
    <w:rsid w:val="0006018D"/>
    <w:rsid w:val="00061EDB"/>
    <w:rsid w:val="000647ED"/>
    <w:rsid w:val="000660D3"/>
    <w:rsid w:val="00070055"/>
    <w:rsid w:val="000761CD"/>
    <w:rsid w:val="00077299"/>
    <w:rsid w:val="00085840"/>
    <w:rsid w:val="00085E4E"/>
    <w:rsid w:val="000874A0"/>
    <w:rsid w:val="0008765C"/>
    <w:rsid w:val="000A09BB"/>
    <w:rsid w:val="000A1BA0"/>
    <w:rsid w:val="000A3367"/>
    <w:rsid w:val="000B070E"/>
    <w:rsid w:val="000B1476"/>
    <w:rsid w:val="000B1627"/>
    <w:rsid w:val="000B2010"/>
    <w:rsid w:val="000B4CB4"/>
    <w:rsid w:val="000B6151"/>
    <w:rsid w:val="000B650B"/>
    <w:rsid w:val="000C654C"/>
    <w:rsid w:val="000C6804"/>
    <w:rsid w:val="000C784D"/>
    <w:rsid w:val="000D04C9"/>
    <w:rsid w:val="000D5E2F"/>
    <w:rsid w:val="000E42E0"/>
    <w:rsid w:val="000F2C36"/>
    <w:rsid w:val="000F2CBC"/>
    <w:rsid w:val="000F3F4F"/>
    <w:rsid w:val="000F3FF6"/>
    <w:rsid w:val="000F5865"/>
    <w:rsid w:val="0010049F"/>
    <w:rsid w:val="001021E9"/>
    <w:rsid w:val="0010308C"/>
    <w:rsid w:val="00104CE6"/>
    <w:rsid w:val="001069E3"/>
    <w:rsid w:val="00107A6C"/>
    <w:rsid w:val="00111875"/>
    <w:rsid w:val="00111BD5"/>
    <w:rsid w:val="00113E41"/>
    <w:rsid w:val="00114151"/>
    <w:rsid w:val="00120776"/>
    <w:rsid w:val="00121B54"/>
    <w:rsid w:val="001233DA"/>
    <w:rsid w:val="00125AEA"/>
    <w:rsid w:val="0012623E"/>
    <w:rsid w:val="00127C8E"/>
    <w:rsid w:val="001341A6"/>
    <w:rsid w:val="0013648D"/>
    <w:rsid w:val="00137216"/>
    <w:rsid w:val="001402A7"/>
    <w:rsid w:val="00143B3F"/>
    <w:rsid w:val="001462D0"/>
    <w:rsid w:val="00147E8A"/>
    <w:rsid w:val="0015022D"/>
    <w:rsid w:val="00150B07"/>
    <w:rsid w:val="00151F6D"/>
    <w:rsid w:val="001537E3"/>
    <w:rsid w:val="001546DE"/>
    <w:rsid w:val="00155E52"/>
    <w:rsid w:val="00157156"/>
    <w:rsid w:val="001607F8"/>
    <w:rsid w:val="00160E87"/>
    <w:rsid w:val="00163D2E"/>
    <w:rsid w:val="00164265"/>
    <w:rsid w:val="00165F87"/>
    <w:rsid w:val="00181986"/>
    <w:rsid w:val="00181C97"/>
    <w:rsid w:val="00183C89"/>
    <w:rsid w:val="00190CDF"/>
    <w:rsid w:val="001917D0"/>
    <w:rsid w:val="00193721"/>
    <w:rsid w:val="00195633"/>
    <w:rsid w:val="00197500"/>
    <w:rsid w:val="00197A67"/>
    <w:rsid w:val="001A39E1"/>
    <w:rsid w:val="001A4436"/>
    <w:rsid w:val="001A45EE"/>
    <w:rsid w:val="001A5DA6"/>
    <w:rsid w:val="001A6823"/>
    <w:rsid w:val="001B420A"/>
    <w:rsid w:val="001B50D3"/>
    <w:rsid w:val="001C2FF5"/>
    <w:rsid w:val="001C36B5"/>
    <w:rsid w:val="001C4405"/>
    <w:rsid w:val="001C5742"/>
    <w:rsid w:val="001C6CDF"/>
    <w:rsid w:val="001D12F0"/>
    <w:rsid w:val="001D6BF5"/>
    <w:rsid w:val="001D716E"/>
    <w:rsid w:val="001E30DD"/>
    <w:rsid w:val="001E6BE1"/>
    <w:rsid w:val="001E7B3C"/>
    <w:rsid w:val="001F1068"/>
    <w:rsid w:val="001F3098"/>
    <w:rsid w:val="001F3ACF"/>
    <w:rsid w:val="001F3CC6"/>
    <w:rsid w:val="001F6647"/>
    <w:rsid w:val="001F6938"/>
    <w:rsid w:val="00200E4A"/>
    <w:rsid w:val="00202AA1"/>
    <w:rsid w:val="00202B51"/>
    <w:rsid w:val="002037FB"/>
    <w:rsid w:val="0020414C"/>
    <w:rsid w:val="00204220"/>
    <w:rsid w:val="00210537"/>
    <w:rsid w:val="00215A01"/>
    <w:rsid w:val="00215B35"/>
    <w:rsid w:val="00223E51"/>
    <w:rsid w:val="00226DDF"/>
    <w:rsid w:val="002270EE"/>
    <w:rsid w:val="002273F5"/>
    <w:rsid w:val="0023021D"/>
    <w:rsid w:val="00230C60"/>
    <w:rsid w:val="00232CCD"/>
    <w:rsid w:val="00233BAF"/>
    <w:rsid w:val="00236711"/>
    <w:rsid w:val="0024068B"/>
    <w:rsid w:val="0024318F"/>
    <w:rsid w:val="0024668E"/>
    <w:rsid w:val="002523A5"/>
    <w:rsid w:val="002533AB"/>
    <w:rsid w:val="00262B3B"/>
    <w:rsid w:val="00262B8D"/>
    <w:rsid w:val="00263D7B"/>
    <w:rsid w:val="00266161"/>
    <w:rsid w:val="00267F86"/>
    <w:rsid w:val="002815CF"/>
    <w:rsid w:val="00286264"/>
    <w:rsid w:val="002863EC"/>
    <w:rsid w:val="00286420"/>
    <w:rsid w:val="00286F6C"/>
    <w:rsid w:val="00290CCC"/>
    <w:rsid w:val="002919DD"/>
    <w:rsid w:val="00293790"/>
    <w:rsid w:val="00295C0D"/>
    <w:rsid w:val="00296DF3"/>
    <w:rsid w:val="00297520"/>
    <w:rsid w:val="00297B95"/>
    <w:rsid w:val="002A0929"/>
    <w:rsid w:val="002A6FC6"/>
    <w:rsid w:val="002B03B0"/>
    <w:rsid w:val="002B1ED6"/>
    <w:rsid w:val="002B3E59"/>
    <w:rsid w:val="002B41C3"/>
    <w:rsid w:val="002B673B"/>
    <w:rsid w:val="002C0DD4"/>
    <w:rsid w:val="002C4E25"/>
    <w:rsid w:val="002C6E7D"/>
    <w:rsid w:val="002D06F9"/>
    <w:rsid w:val="002D350F"/>
    <w:rsid w:val="002D7842"/>
    <w:rsid w:val="002E1AAE"/>
    <w:rsid w:val="002F210A"/>
    <w:rsid w:val="002F370F"/>
    <w:rsid w:val="002F4763"/>
    <w:rsid w:val="00304FAB"/>
    <w:rsid w:val="00305816"/>
    <w:rsid w:val="00306B81"/>
    <w:rsid w:val="00310770"/>
    <w:rsid w:val="00322F5E"/>
    <w:rsid w:val="00324689"/>
    <w:rsid w:val="003265AE"/>
    <w:rsid w:val="00332228"/>
    <w:rsid w:val="00333B30"/>
    <w:rsid w:val="00337D8C"/>
    <w:rsid w:val="003409A3"/>
    <w:rsid w:val="00341818"/>
    <w:rsid w:val="003448D8"/>
    <w:rsid w:val="003477EE"/>
    <w:rsid w:val="00353C97"/>
    <w:rsid w:val="003541AA"/>
    <w:rsid w:val="00355B5B"/>
    <w:rsid w:val="00357C5F"/>
    <w:rsid w:val="00361329"/>
    <w:rsid w:val="003619F4"/>
    <w:rsid w:val="00363478"/>
    <w:rsid w:val="00364401"/>
    <w:rsid w:val="0037270F"/>
    <w:rsid w:val="00374D72"/>
    <w:rsid w:val="003768E3"/>
    <w:rsid w:val="00377697"/>
    <w:rsid w:val="003776DD"/>
    <w:rsid w:val="0038494E"/>
    <w:rsid w:val="00387279"/>
    <w:rsid w:val="00387C85"/>
    <w:rsid w:val="003914AB"/>
    <w:rsid w:val="00393B74"/>
    <w:rsid w:val="00393D94"/>
    <w:rsid w:val="003948CA"/>
    <w:rsid w:val="003955FD"/>
    <w:rsid w:val="003969D9"/>
    <w:rsid w:val="003A24BF"/>
    <w:rsid w:val="003A2E8D"/>
    <w:rsid w:val="003A4DE1"/>
    <w:rsid w:val="003A5CA9"/>
    <w:rsid w:val="003B060D"/>
    <w:rsid w:val="003B34C5"/>
    <w:rsid w:val="003B43E1"/>
    <w:rsid w:val="003B5B70"/>
    <w:rsid w:val="003C18C2"/>
    <w:rsid w:val="003C726F"/>
    <w:rsid w:val="003D271C"/>
    <w:rsid w:val="003D4B75"/>
    <w:rsid w:val="003E04A4"/>
    <w:rsid w:val="003E1D93"/>
    <w:rsid w:val="003F0F43"/>
    <w:rsid w:val="003F298A"/>
    <w:rsid w:val="003F483F"/>
    <w:rsid w:val="003F7A3C"/>
    <w:rsid w:val="00400A94"/>
    <w:rsid w:val="00404008"/>
    <w:rsid w:val="004043E5"/>
    <w:rsid w:val="0040467D"/>
    <w:rsid w:val="00405A99"/>
    <w:rsid w:val="00406A33"/>
    <w:rsid w:val="00406B7F"/>
    <w:rsid w:val="00412BF5"/>
    <w:rsid w:val="00413E48"/>
    <w:rsid w:val="00414004"/>
    <w:rsid w:val="00414420"/>
    <w:rsid w:val="004149EA"/>
    <w:rsid w:val="00416032"/>
    <w:rsid w:val="00420C6C"/>
    <w:rsid w:val="00420C9C"/>
    <w:rsid w:val="00425873"/>
    <w:rsid w:val="00425A46"/>
    <w:rsid w:val="004279D4"/>
    <w:rsid w:val="00432F3C"/>
    <w:rsid w:val="004332C4"/>
    <w:rsid w:val="00435644"/>
    <w:rsid w:val="00437128"/>
    <w:rsid w:val="0043735B"/>
    <w:rsid w:val="004475BC"/>
    <w:rsid w:val="0045510A"/>
    <w:rsid w:val="004603D2"/>
    <w:rsid w:val="00461657"/>
    <w:rsid w:val="00463977"/>
    <w:rsid w:val="00464B9D"/>
    <w:rsid w:val="00466780"/>
    <w:rsid w:val="00473749"/>
    <w:rsid w:val="004750E4"/>
    <w:rsid w:val="004768F6"/>
    <w:rsid w:val="004802CA"/>
    <w:rsid w:val="004851F9"/>
    <w:rsid w:val="004902C9"/>
    <w:rsid w:val="00491552"/>
    <w:rsid w:val="00493362"/>
    <w:rsid w:val="00494B35"/>
    <w:rsid w:val="0049580D"/>
    <w:rsid w:val="004A1409"/>
    <w:rsid w:val="004A56B5"/>
    <w:rsid w:val="004B0ED1"/>
    <w:rsid w:val="004B242F"/>
    <w:rsid w:val="004B32BE"/>
    <w:rsid w:val="004B62E3"/>
    <w:rsid w:val="004C01F2"/>
    <w:rsid w:val="004C189E"/>
    <w:rsid w:val="004C2856"/>
    <w:rsid w:val="004C440A"/>
    <w:rsid w:val="004C4BC8"/>
    <w:rsid w:val="004C6316"/>
    <w:rsid w:val="004D0DD8"/>
    <w:rsid w:val="004D1F43"/>
    <w:rsid w:val="004D32A7"/>
    <w:rsid w:val="004D34B9"/>
    <w:rsid w:val="004D5A82"/>
    <w:rsid w:val="004D66F5"/>
    <w:rsid w:val="004D672B"/>
    <w:rsid w:val="004D7DD3"/>
    <w:rsid w:val="004E2861"/>
    <w:rsid w:val="004E4344"/>
    <w:rsid w:val="004F241D"/>
    <w:rsid w:val="004F2EF9"/>
    <w:rsid w:val="004F639C"/>
    <w:rsid w:val="005015BE"/>
    <w:rsid w:val="00503D52"/>
    <w:rsid w:val="00505194"/>
    <w:rsid w:val="00511947"/>
    <w:rsid w:val="00511FBF"/>
    <w:rsid w:val="00524377"/>
    <w:rsid w:val="005324EA"/>
    <w:rsid w:val="0053514C"/>
    <w:rsid w:val="005361FD"/>
    <w:rsid w:val="00536A6E"/>
    <w:rsid w:val="005401E4"/>
    <w:rsid w:val="00543A0D"/>
    <w:rsid w:val="005445F0"/>
    <w:rsid w:val="00545B57"/>
    <w:rsid w:val="0054638B"/>
    <w:rsid w:val="00552FF8"/>
    <w:rsid w:val="0055404E"/>
    <w:rsid w:val="005560CD"/>
    <w:rsid w:val="00557771"/>
    <w:rsid w:val="00557F48"/>
    <w:rsid w:val="00563657"/>
    <w:rsid w:val="00567B60"/>
    <w:rsid w:val="00580CE7"/>
    <w:rsid w:val="00580DF8"/>
    <w:rsid w:val="00582911"/>
    <w:rsid w:val="00583AA5"/>
    <w:rsid w:val="00584CA3"/>
    <w:rsid w:val="005864A9"/>
    <w:rsid w:val="0058670D"/>
    <w:rsid w:val="005A0DFB"/>
    <w:rsid w:val="005A3181"/>
    <w:rsid w:val="005A438E"/>
    <w:rsid w:val="005A4610"/>
    <w:rsid w:val="005A4F16"/>
    <w:rsid w:val="005A5747"/>
    <w:rsid w:val="005A64A4"/>
    <w:rsid w:val="005A765B"/>
    <w:rsid w:val="005B165B"/>
    <w:rsid w:val="005B2AB7"/>
    <w:rsid w:val="005B2B09"/>
    <w:rsid w:val="005B2C8E"/>
    <w:rsid w:val="005C2440"/>
    <w:rsid w:val="005C3699"/>
    <w:rsid w:val="005C3FD0"/>
    <w:rsid w:val="005C5860"/>
    <w:rsid w:val="005D0C63"/>
    <w:rsid w:val="005D6B06"/>
    <w:rsid w:val="005D7324"/>
    <w:rsid w:val="005F16E6"/>
    <w:rsid w:val="005F1EAC"/>
    <w:rsid w:val="005F4028"/>
    <w:rsid w:val="005F78D1"/>
    <w:rsid w:val="00601901"/>
    <w:rsid w:val="00601C06"/>
    <w:rsid w:val="00620296"/>
    <w:rsid w:val="00622E28"/>
    <w:rsid w:val="00623610"/>
    <w:rsid w:val="006257CF"/>
    <w:rsid w:val="00625E79"/>
    <w:rsid w:val="00627361"/>
    <w:rsid w:val="00630555"/>
    <w:rsid w:val="00633071"/>
    <w:rsid w:val="00635178"/>
    <w:rsid w:val="0063606C"/>
    <w:rsid w:val="0063732D"/>
    <w:rsid w:val="00640CBD"/>
    <w:rsid w:val="006417A3"/>
    <w:rsid w:val="00642E85"/>
    <w:rsid w:val="006446B9"/>
    <w:rsid w:val="006456A0"/>
    <w:rsid w:val="00646708"/>
    <w:rsid w:val="0065002A"/>
    <w:rsid w:val="006508BE"/>
    <w:rsid w:val="00651530"/>
    <w:rsid w:val="00652BE8"/>
    <w:rsid w:val="00654290"/>
    <w:rsid w:val="0065497C"/>
    <w:rsid w:val="00660FE0"/>
    <w:rsid w:val="006624BB"/>
    <w:rsid w:val="00663547"/>
    <w:rsid w:val="00663D25"/>
    <w:rsid w:val="00664749"/>
    <w:rsid w:val="00665060"/>
    <w:rsid w:val="00672FEC"/>
    <w:rsid w:val="00675EB6"/>
    <w:rsid w:val="006760E4"/>
    <w:rsid w:val="00680209"/>
    <w:rsid w:val="00680A78"/>
    <w:rsid w:val="00681BDD"/>
    <w:rsid w:val="00683C75"/>
    <w:rsid w:val="00684881"/>
    <w:rsid w:val="00685E8A"/>
    <w:rsid w:val="00687427"/>
    <w:rsid w:val="006A0C93"/>
    <w:rsid w:val="006A7F8A"/>
    <w:rsid w:val="006B27FA"/>
    <w:rsid w:val="006B2ADE"/>
    <w:rsid w:val="006B7E87"/>
    <w:rsid w:val="006C04BE"/>
    <w:rsid w:val="006C085A"/>
    <w:rsid w:val="006C0FFE"/>
    <w:rsid w:val="006C1C43"/>
    <w:rsid w:val="006C47E9"/>
    <w:rsid w:val="006C537C"/>
    <w:rsid w:val="006C708B"/>
    <w:rsid w:val="006C7460"/>
    <w:rsid w:val="006D00EB"/>
    <w:rsid w:val="006D050C"/>
    <w:rsid w:val="006D0CFC"/>
    <w:rsid w:val="006D5B05"/>
    <w:rsid w:val="006E06FE"/>
    <w:rsid w:val="006E39C7"/>
    <w:rsid w:val="006E72E9"/>
    <w:rsid w:val="006E7947"/>
    <w:rsid w:val="006F1197"/>
    <w:rsid w:val="006F3B1C"/>
    <w:rsid w:val="006F3DB7"/>
    <w:rsid w:val="006F59C3"/>
    <w:rsid w:val="00705654"/>
    <w:rsid w:val="00705D78"/>
    <w:rsid w:val="00705FEF"/>
    <w:rsid w:val="007061E8"/>
    <w:rsid w:val="0071031C"/>
    <w:rsid w:val="00712F8C"/>
    <w:rsid w:val="0071467E"/>
    <w:rsid w:val="00716E76"/>
    <w:rsid w:val="00717142"/>
    <w:rsid w:val="00717CA9"/>
    <w:rsid w:val="007217AC"/>
    <w:rsid w:val="00723D87"/>
    <w:rsid w:val="00731B49"/>
    <w:rsid w:val="007361D0"/>
    <w:rsid w:val="00741F9B"/>
    <w:rsid w:val="007424D9"/>
    <w:rsid w:val="00742521"/>
    <w:rsid w:val="0075010F"/>
    <w:rsid w:val="007552A0"/>
    <w:rsid w:val="007554A4"/>
    <w:rsid w:val="00760D56"/>
    <w:rsid w:val="007636A5"/>
    <w:rsid w:val="00765681"/>
    <w:rsid w:val="00771224"/>
    <w:rsid w:val="0077177E"/>
    <w:rsid w:val="00775641"/>
    <w:rsid w:val="00777EF0"/>
    <w:rsid w:val="0078279E"/>
    <w:rsid w:val="00783B48"/>
    <w:rsid w:val="00790F9D"/>
    <w:rsid w:val="00791270"/>
    <w:rsid w:val="00792BDF"/>
    <w:rsid w:val="0079379D"/>
    <w:rsid w:val="007942DC"/>
    <w:rsid w:val="007964E0"/>
    <w:rsid w:val="007A275E"/>
    <w:rsid w:val="007A5820"/>
    <w:rsid w:val="007A6973"/>
    <w:rsid w:val="007A7355"/>
    <w:rsid w:val="007A7778"/>
    <w:rsid w:val="007A78A4"/>
    <w:rsid w:val="007B1E67"/>
    <w:rsid w:val="007B3CFB"/>
    <w:rsid w:val="007B4F38"/>
    <w:rsid w:val="007B6219"/>
    <w:rsid w:val="007B650C"/>
    <w:rsid w:val="007C19FA"/>
    <w:rsid w:val="007C4250"/>
    <w:rsid w:val="007D07C9"/>
    <w:rsid w:val="007D134D"/>
    <w:rsid w:val="007D355A"/>
    <w:rsid w:val="007D4661"/>
    <w:rsid w:val="007D676B"/>
    <w:rsid w:val="007E2864"/>
    <w:rsid w:val="007E54C8"/>
    <w:rsid w:val="007E62C2"/>
    <w:rsid w:val="007E654C"/>
    <w:rsid w:val="007F09AA"/>
    <w:rsid w:val="007F100B"/>
    <w:rsid w:val="00802697"/>
    <w:rsid w:val="00803277"/>
    <w:rsid w:val="00806345"/>
    <w:rsid w:val="00806A2F"/>
    <w:rsid w:val="0080702C"/>
    <w:rsid w:val="00807CAB"/>
    <w:rsid w:val="0081465D"/>
    <w:rsid w:val="00816FC3"/>
    <w:rsid w:val="008203A8"/>
    <w:rsid w:val="00822D1E"/>
    <w:rsid w:val="008241A3"/>
    <w:rsid w:val="008246EB"/>
    <w:rsid w:val="00825F35"/>
    <w:rsid w:val="00830962"/>
    <w:rsid w:val="00833209"/>
    <w:rsid w:val="0084492D"/>
    <w:rsid w:val="00850703"/>
    <w:rsid w:val="00850974"/>
    <w:rsid w:val="00851396"/>
    <w:rsid w:val="00860BDD"/>
    <w:rsid w:val="00860E55"/>
    <w:rsid w:val="00861EE6"/>
    <w:rsid w:val="00863D07"/>
    <w:rsid w:val="008650CC"/>
    <w:rsid w:val="00873BA9"/>
    <w:rsid w:val="00876B4C"/>
    <w:rsid w:val="00880199"/>
    <w:rsid w:val="00881DD4"/>
    <w:rsid w:val="008825ED"/>
    <w:rsid w:val="00883BFB"/>
    <w:rsid w:val="0088583E"/>
    <w:rsid w:val="008874A9"/>
    <w:rsid w:val="00890711"/>
    <w:rsid w:val="00891465"/>
    <w:rsid w:val="008A3752"/>
    <w:rsid w:val="008A6435"/>
    <w:rsid w:val="008A6ABC"/>
    <w:rsid w:val="008A7510"/>
    <w:rsid w:val="008A7A0E"/>
    <w:rsid w:val="008B112A"/>
    <w:rsid w:val="008B3DAF"/>
    <w:rsid w:val="008C0A09"/>
    <w:rsid w:val="008C203F"/>
    <w:rsid w:val="008C29B6"/>
    <w:rsid w:val="008C3F0A"/>
    <w:rsid w:val="008D04DC"/>
    <w:rsid w:val="008D0F98"/>
    <w:rsid w:val="008D21C7"/>
    <w:rsid w:val="008D3744"/>
    <w:rsid w:val="008D4DCA"/>
    <w:rsid w:val="008E24CC"/>
    <w:rsid w:val="008E3E85"/>
    <w:rsid w:val="008E5697"/>
    <w:rsid w:val="008E61E9"/>
    <w:rsid w:val="008E66F3"/>
    <w:rsid w:val="008F0ADB"/>
    <w:rsid w:val="008F2D92"/>
    <w:rsid w:val="008F5748"/>
    <w:rsid w:val="008F595D"/>
    <w:rsid w:val="008F72E8"/>
    <w:rsid w:val="0090678B"/>
    <w:rsid w:val="00906FB3"/>
    <w:rsid w:val="009072F1"/>
    <w:rsid w:val="00910551"/>
    <w:rsid w:val="009124EB"/>
    <w:rsid w:val="009132E6"/>
    <w:rsid w:val="00914BCD"/>
    <w:rsid w:val="00916844"/>
    <w:rsid w:val="009210D6"/>
    <w:rsid w:val="009256CB"/>
    <w:rsid w:val="00926240"/>
    <w:rsid w:val="009267B6"/>
    <w:rsid w:val="0093023A"/>
    <w:rsid w:val="009363DE"/>
    <w:rsid w:val="0093690D"/>
    <w:rsid w:val="009404F7"/>
    <w:rsid w:val="00941EAB"/>
    <w:rsid w:val="0094433E"/>
    <w:rsid w:val="009452B9"/>
    <w:rsid w:val="009473D8"/>
    <w:rsid w:val="00951342"/>
    <w:rsid w:val="009555EB"/>
    <w:rsid w:val="009573C8"/>
    <w:rsid w:val="009648B1"/>
    <w:rsid w:val="00967825"/>
    <w:rsid w:val="00970590"/>
    <w:rsid w:val="00971D8C"/>
    <w:rsid w:val="0097660A"/>
    <w:rsid w:val="009779F0"/>
    <w:rsid w:val="00980202"/>
    <w:rsid w:val="0098653F"/>
    <w:rsid w:val="00986EC3"/>
    <w:rsid w:val="00991AFA"/>
    <w:rsid w:val="00991B7D"/>
    <w:rsid w:val="00991E75"/>
    <w:rsid w:val="00995641"/>
    <w:rsid w:val="00995858"/>
    <w:rsid w:val="00997771"/>
    <w:rsid w:val="009A1B70"/>
    <w:rsid w:val="009A349E"/>
    <w:rsid w:val="009A5440"/>
    <w:rsid w:val="009A69EC"/>
    <w:rsid w:val="009A78CD"/>
    <w:rsid w:val="009B06C6"/>
    <w:rsid w:val="009B0E90"/>
    <w:rsid w:val="009B45AF"/>
    <w:rsid w:val="009B659C"/>
    <w:rsid w:val="009B769F"/>
    <w:rsid w:val="009C295D"/>
    <w:rsid w:val="009C69A8"/>
    <w:rsid w:val="009C79DC"/>
    <w:rsid w:val="009D272E"/>
    <w:rsid w:val="009D2F4C"/>
    <w:rsid w:val="009D4310"/>
    <w:rsid w:val="009D77E3"/>
    <w:rsid w:val="009E05C0"/>
    <w:rsid w:val="009E2FBF"/>
    <w:rsid w:val="009E3F91"/>
    <w:rsid w:val="009E5549"/>
    <w:rsid w:val="009F150C"/>
    <w:rsid w:val="009F24B0"/>
    <w:rsid w:val="009F2F06"/>
    <w:rsid w:val="009F528A"/>
    <w:rsid w:val="00A03212"/>
    <w:rsid w:val="00A04485"/>
    <w:rsid w:val="00A06994"/>
    <w:rsid w:val="00A140B3"/>
    <w:rsid w:val="00A149E9"/>
    <w:rsid w:val="00A14EAC"/>
    <w:rsid w:val="00A24EB5"/>
    <w:rsid w:val="00A25DED"/>
    <w:rsid w:val="00A261CE"/>
    <w:rsid w:val="00A271C0"/>
    <w:rsid w:val="00A31DFA"/>
    <w:rsid w:val="00A32403"/>
    <w:rsid w:val="00A3390A"/>
    <w:rsid w:val="00A37377"/>
    <w:rsid w:val="00A45535"/>
    <w:rsid w:val="00A50C13"/>
    <w:rsid w:val="00A53639"/>
    <w:rsid w:val="00A53C27"/>
    <w:rsid w:val="00A54FF8"/>
    <w:rsid w:val="00A56066"/>
    <w:rsid w:val="00A57EA8"/>
    <w:rsid w:val="00A6222B"/>
    <w:rsid w:val="00A6310E"/>
    <w:rsid w:val="00A64473"/>
    <w:rsid w:val="00A64515"/>
    <w:rsid w:val="00A672BD"/>
    <w:rsid w:val="00A67C4A"/>
    <w:rsid w:val="00A73757"/>
    <w:rsid w:val="00A74F1A"/>
    <w:rsid w:val="00A75CDD"/>
    <w:rsid w:val="00A75E54"/>
    <w:rsid w:val="00A76F90"/>
    <w:rsid w:val="00A77974"/>
    <w:rsid w:val="00A80AD5"/>
    <w:rsid w:val="00A825BC"/>
    <w:rsid w:val="00A90522"/>
    <w:rsid w:val="00A90C2B"/>
    <w:rsid w:val="00A92688"/>
    <w:rsid w:val="00A95F54"/>
    <w:rsid w:val="00A95F90"/>
    <w:rsid w:val="00A97E7E"/>
    <w:rsid w:val="00AA150E"/>
    <w:rsid w:val="00AA21F4"/>
    <w:rsid w:val="00AA26B6"/>
    <w:rsid w:val="00AA3C52"/>
    <w:rsid w:val="00AA484E"/>
    <w:rsid w:val="00AA7D22"/>
    <w:rsid w:val="00AA7FB8"/>
    <w:rsid w:val="00AB3C85"/>
    <w:rsid w:val="00AB4DD6"/>
    <w:rsid w:val="00AB60A6"/>
    <w:rsid w:val="00AC0526"/>
    <w:rsid w:val="00AC0699"/>
    <w:rsid w:val="00AC1B61"/>
    <w:rsid w:val="00AC3E85"/>
    <w:rsid w:val="00AC3F04"/>
    <w:rsid w:val="00AC4215"/>
    <w:rsid w:val="00AC4D9B"/>
    <w:rsid w:val="00AC63A7"/>
    <w:rsid w:val="00AC70D5"/>
    <w:rsid w:val="00AD146C"/>
    <w:rsid w:val="00AD5B82"/>
    <w:rsid w:val="00AD63ED"/>
    <w:rsid w:val="00AD6983"/>
    <w:rsid w:val="00AE07B8"/>
    <w:rsid w:val="00AE62CA"/>
    <w:rsid w:val="00AE6BC1"/>
    <w:rsid w:val="00AF6105"/>
    <w:rsid w:val="00AF6FEF"/>
    <w:rsid w:val="00B002DD"/>
    <w:rsid w:val="00B022E1"/>
    <w:rsid w:val="00B048BA"/>
    <w:rsid w:val="00B0753E"/>
    <w:rsid w:val="00B07B58"/>
    <w:rsid w:val="00B07B82"/>
    <w:rsid w:val="00B11595"/>
    <w:rsid w:val="00B15B35"/>
    <w:rsid w:val="00B1602D"/>
    <w:rsid w:val="00B1644C"/>
    <w:rsid w:val="00B23686"/>
    <w:rsid w:val="00B2414A"/>
    <w:rsid w:val="00B2640A"/>
    <w:rsid w:val="00B276A4"/>
    <w:rsid w:val="00B3068F"/>
    <w:rsid w:val="00B37003"/>
    <w:rsid w:val="00B40CA5"/>
    <w:rsid w:val="00B4396B"/>
    <w:rsid w:val="00B43A7B"/>
    <w:rsid w:val="00B44134"/>
    <w:rsid w:val="00B45F3C"/>
    <w:rsid w:val="00B46CD6"/>
    <w:rsid w:val="00B6030C"/>
    <w:rsid w:val="00B60577"/>
    <w:rsid w:val="00B67A3D"/>
    <w:rsid w:val="00B719B0"/>
    <w:rsid w:val="00B7235A"/>
    <w:rsid w:val="00B72E9D"/>
    <w:rsid w:val="00B74305"/>
    <w:rsid w:val="00B7677D"/>
    <w:rsid w:val="00B77400"/>
    <w:rsid w:val="00B809E7"/>
    <w:rsid w:val="00B81DB9"/>
    <w:rsid w:val="00B8470B"/>
    <w:rsid w:val="00B85B17"/>
    <w:rsid w:val="00B92017"/>
    <w:rsid w:val="00B93A10"/>
    <w:rsid w:val="00B96EC7"/>
    <w:rsid w:val="00BA0F82"/>
    <w:rsid w:val="00BA498C"/>
    <w:rsid w:val="00BB2D52"/>
    <w:rsid w:val="00BB77AA"/>
    <w:rsid w:val="00BC716E"/>
    <w:rsid w:val="00BD1F0F"/>
    <w:rsid w:val="00BD2701"/>
    <w:rsid w:val="00BD7E44"/>
    <w:rsid w:val="00BE4EAA"/>
    <w:rsid w:val="00BE7872"/>
    <w:rsid w:val="00BE7D4E"/>
    <w:rsid w:val="00BF3552"/>
    <w:rsid w:val="00C02305"/>
    <w:rsid w:val="00C06E59"/>
    <w:rsid w:val="00C072D1"/>
    <w:rsid w:val="00C073BF"/>
    <w:rsid w:val="00C15493"/>
    <w:rsid w:val="00C17495"/>
    <w:rsid w:val="00C17E1F"/>
    <w:rsid w:val="00C20FAF"/>
    <w:rsid w:val="00C210C2"/>
    <w:rsid w:val="00C244DA"/>
    <w:rsid w:val="00C254BD"/>
    <w:rsid w:val="00C27922"/>
    <w:rsid w:val="00C31D69"/>
    <w:rsid w:val="00C3657A"/>
    <w:rsid w:val="00C400B6"/>
    <w:rsid w:val="00C459D4"/>
    <w:rsid w:val="00C45C42"/>
    <w:rsid w:val="00C46DCF"/>
    <w:rsid w:val="00C47728"/>
    <w:rsid w:val="00C50757"/>
    <w:rsid w:val="00C50A57"/>
    <w:rsid w:val="00C51301"/>
    <w:rsid w:val="00C5305B"/>
    <w:rsid w:val="00C533AA"/>
    <w:rsid w:val="00C6536A"/>
    <w:rsid w:val="00C653CC"/>
    <w:rsid w:val="00C757E5"/>
    <w:rsid w:val="00C75C85"/>
    <w:rsid w:val="00C76373"/>
    <w:rsid w:val="00C77710"/>
    <w:rsid w:val="00C81459"/>
    <w:rsid w:val="00C817E6"/>
    <w:rsid w:val="00C822A1"/>
    <w:rsid w:val="00C83AC7"/>
    <w:rsid w:val="00C83F49"/>
    <w:rsid w:val="00C85D96"/>
    <w:rsid w:val="00C861DF"/>
    <w:rsid w:val="00C92CAD"/>
    <w:rsid w:val="00C934D2"/>
    <w:rsid w:val="00C93737"/>
    <w:rsid w:val="00C94616"/>
    <w:rsid w:val="00C9787E"/>
    <w:rsid w:val="00CA1A6E"/>
    <w:rsid w:val="00CB225A"/>
    <w:rsid w:val="00CB33E4"/>
    <w:rsid w:val="00CB4D94"/>
    <w:rsid w:val="00CB6518"/>
    <w:rsid w:val="00CC16C8"/>
    <w:rsid w:val="00CC2960"/>
    <w:rsid w:val="00CC581F"/>
    <w:rsid w:val="00CC6431"/>
    <w:rsid w:val="00CD45B2"/>
    <w:rsid w:val="00CD520E"/>
    <w:rsid w:val="00CD57BA"/>
    <w:rsid w:val="00CE153A"/>
    <w:rsid w:val="00CE1606"/>
    <w:rsid w:val="00CE5E06"/>
    <w:rsid w:val="00CE72DC"/>
    <w:rsid w:val="00CF0490"/>
    <w:rsid w:val="00CF358F"/>
    <w:rsid w:val="00CF386C"/>
    <w:rsid w:val="00CF46D1"/>
    <w:rsid w:val="00CF4D05"/>
    <w:rsid w:val="00CF56B2"/>
    <w:rsid w:val="00CF7312"/>
    <w:rsid w:val="00D037D8"/>
    <w:rsid w:val="00D03B23"/>
    <w:rsid w:val="00D03E24"/>
    <w:rsid w:val="00D043E9"/>
    <w:rsid w:val="00D05C2C"/>
    <w:rsid w:val="00D10348"/>
    <w:rsid w:val="00D1380B"/>
    <w:rsid w:val="00D14DCB"/>
    <w:rsid w:val="00D17DF5"/>
    <w:rsid w:val="00D21572"/>
    <w:rsid w:val="00D24D5B"/>
    <w:rsid w:val="00D2765D"/>
    <w:rsid w:val="00D30207"/>
    <w:rsid w:val="00D31754"/>
    <w:rsid w:val="00D35BFD"/>
    <w:rsid w:val="00D37839"/>
    <w:rsid w:val="00D378FA"/>
    <w:rsid w:val="00D4046C"/>
    <w:rsid w:val="00D457DA"/>
    <w:rsid w:val="00D50C16"/>
    <w:rsid w:val="00D536B1"/>
    <w:rsid w:val="00D550EF"/>
    <w:rsid w:val="00D65B0B"/>
    <w:rsid w:val="00D6649F"/>
    <w:rsid w:val="00D66B9D"/>
    <w:rsid w:val="00D709C7"/>
    <w:rsid w:val="00D715F3"/>
    <w:rsid w:val="00D82757"/>
    <w:rsid w:val="00D86639"/>
    <w:rsid w:val="00D87567"/>
    <w:rsid w:val="00D91380"/>
    <w:rsid w:val="00D94AEE"/>
    <w:rsid w:val="00DA29D5"/>
    <w:rsid w:val="00DA38B5"/>
    <w:rsid w:val="00DA4062"/>
    <w:rsid w:val="00DA6B9D"/>
    <w:rsid w:val="00DA773B"/>
    <w:rsid w:val="00DB7F1E"/>
    <w:rsid w:val="00DC05B9"/>
    <w:rsid w:val="00DC071E"/>
    <w:rsid w:val="00DC097B"/>
    <w:rsid w:val="00DC160E"/>
    <w:rsid w:val="00DC19EA"/>
    <w:rsid w:val="00DC1BF0"/>
    <w:rsid w:val="00DC3021"/>
    <w:rsid w:val="00DC7B3D"/>
    <w:rsid w:val="00DD12F4"/>
    <w:rsid w:val="00DD1E56"/>
    <w:rsid w:val="00DD2072"/>
    <w:rsid w:val="00DD53F5"/>
    <w:rsid w:val="00DD74DA"/>
    <w:rsid w:val="00DE087F"/>
    <w:rsid w:val="00DE1E70"/>
    <w:rsid w:val="00DE2971"/>
    <w:rsid w:val="00DE4803"/>
    <w:rsid w:val="00DF22F2"/>
    <w:rsid w:val="00DF52BA"/>
    <w:rsid w:val="00E02411"/>
    <w:rsid w:val="00E05A39"/>
    <w:rsid w:val="00E05A60"/>
    <w:rsid w:val="00E10572"/>
    <w:rsid w:val="00E1418E"/>
    <w:rsid w:val="00E153DF"/>
    <w:rsid w:val="00E17C7D"/>
    <w:rsid w:val="00E201D3"/>
    <w:rsid w:val="00E20217"/>
    <w:rsid w:val="00E228B1"/>
    <w:rsid w:val="00E250AC"/>
    <w:rsid w:val="00E25137"/>
    <w:rsid w:val="00E258CC"/>
    <w:rsid w:val="00E25A7F"/>
    <w:rsid w:val="00E2639E"/>
    <w:rsid w:val="00E3057D"/>
    <w:rsid w:val="00E315CC"/>
    <w:rsid w:val="00E31805"/>
    <w:rsid w:val="00E37F88"/>
    <w:rsid w:val="00E40CC6"/>
    <w:rsid w:val="00E41F94"/>
    <w:rsid w:val="00E43EB2"/>
    <w:rsid w:val="00E4468E"/>
    <w:rsid w:val="00E456E9"/>
    <w:rsid w:val="00E467CA"/>
    <w:rsid w:val="00E52298"/>
    <w:rsid w:val="00E5314B"/>
    <w:rsid w:val="00E54166"/>
    <w:rsid w:val="00E5493A"/>
    <w:rsid w:val="00E576AA"/>
    <w:rsid w:val="00E66876"/>
    <w:rsid w:val="00E723EF"/>
    <w:rsid w:val="00E72F6B"/>
    <w:rsid w:val="00E7302B"/>
    <w:rsid w:val="00E76ED2"/>
    <w:rsid w:val="00E778F4"/>
    <w:rsid w:val="00E8049E"/>
    <w:rsid w:val="00E81D12"/>
    <w:rsid w:val="00E84C6F"/>
    <w:rsid w:val="00E854D3"/>
    <w:rsid w:val="00E85AF4"/>
    <w:rsid w:val="00E928EB"/>
    <w:rsid w:val="00E9404D"/>
    <w:rsid w:val="00E94B73"/>
    <w:rsid w:val="00E94D72"/>
    <w:rsid w:val="00E953CE"/>
    <w:rsid w:val="00E96DDC"/>
    <w:rsid w:val="00EA1D0A"/>
    <w:rsid w:val="00EA281C"/>
    <w:rsid w:val="00EA2CE9"/>
    <w:rsid w:val="00EA5303"/>
    <w:rsid w:val="00EA65FF"/>
    <w:rsid w:val="00EA6B89"/>
    <w:rsid w:val="00EB2DA5"/>
    <w:rsid w:val="00EB6B58"/>
    <w:rsid w:val="00EC3287"/>
    <w:rsid w:val="00EC3B30"/>
    <w:rsid w:val="00ED6795"/>
    <w:rsid w:val="00EE0E9F"/>
    <w:rsid w:val="00EE233C"/>
    <w:rsid w:val="00EF111E"/>
    <w:rsid w:val="00EF155A"/>
    <w:rsid w:val="00EF1CFB"/>
    <w:rsid w:val="00EF2959"/>
    <w:rsid w:val="00F008E4"/>
    <w:rsid w:val="00F02CDE"/>
    <w:rsid w:val="00F03936"/>
    <w:rsid w:val="00F074B7"/>
    <w:rsid w:val="00F10E41"/>
    <w:rsid w:val="00F17E17"/>
    <w:rsid w:val="00F21B01"/>
    <w:rsid w:val="00F23E2A"/>
    <w:rsid w:val="00F27AC4"/>
    <w:rsid w:val="00F3180F"/>
    <w:rsid w:val="00F325C5"/>
    <w:rsid w:val="00F3265D"/>
    <w:rsid w:val="00F35EB8"/>
    <w:rsid w:val="00F40D6B"/>
    <w:rsid w:val="00F42A8D"/>
    <w:rsid w:val="00F463C5"/>
    <w:rsid w:val="00F46547"/>
    <w:rsid w:val="00F53393"/>
    <w:rsid w:val="00F54984"/>
    <w:rsid w:val="00F551D6"/>
    <w:rsid w:val="00F61145"/>
    <w:rsid w:val="00F61A45"/>
    <w:rsid w:val="00F62451"/>
    <w:rsid w:val="00F6403C"/>
    <w:rsid w:val="00F662BA"/>
    <w:rsid w:val="00F70CBB"/>
    <w:rsid w:val="00F71683"/>
    <w:rsid w:val="00F72679"/>
    <w:rsid w:val="00F72729"/>
    <w:rsid w:val="00F74B2E"/>
    <w:rsid w:val="00F81EF0"/>
    <w:rsid w:val="00F829C3"/>
    <w:rsid w:val="00F859DE"/>
    <w:rsid w:val="00F87CB6"/>
    <w:rsid w:val="00F904CE"/>
    <w:rsid w:val="00F96ACE"/>
    <w:rsid w:val="00F96F68"/>
    <w:rsid w:val="00FA0330"/>
    <w:rsid w:val="00FA1B19"/>
    <w:rsid w:val="00FA379E"/>
    <w:rsid w:val="00FB1CA2"/>
    <w:rsid w:val="00FB2C39"/>
    <w:rsid w:val="00FB5AB6"/>
    <w:rsid w:val="00FB5CCC"/>
    <w:rsid w:val="00FB7B68"/>
    <w:rsid w:val="00FC0303"/>
    <w:rsid w:val="00FC0BB9"/>
    <w:rsid w:val="00FD22A2"/>
    <w:rsid w:val="00FD350A"/>
    <w:rsid w:val="00FD5559"/>
    <w:rsid w:val="00FD58CD"/>
    <w:rsid w:val="00FD71E3"/>
    <w:rsid w:val="00FE5282"/>
    <w:rsid w:val="00FE6FC3"/>
    <w:rsid w:val="00FF15CD"/>
    <w:rsid w:val="00FF26F3"/>
    <w:rsid w:val="00FF2F19"/>
    <w:rsid w:val="00FF5268"/>
    <w:rsid w:val="00FF5C93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29C5CC"/>
  <w15:docId w15:val="{AD5E77A4-2F3D-4E5F-8C30-8D6D92A8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D271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A37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271C"/>
    <w:rPr>
      <w:color w:val="0000FF" w:themeColor="hyperlink"/>
      <w:u w:val="single"/>
    </w:rPr>
  </w:style>
  <w:style w:type="paragraph" w:customStyle="1" w:styleId="Default">
    <w:name w:val="Default"/>
    <w:rsid w:val="003D27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83B4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ja-JP"/>
    </w:rPr>
  </w:style>
  <w:style w:type="paragraph" w:customStyle="1" w:styleId="EndNoteBibliographyTitle">
    <w:name w:val="EndNote Bibliography Title"/>
    <w:basedOn w:val="Normal"/>
    <w:link w:val="EndNoteBibliographyTitleChar"/>
    <w:rsid w:val="00791270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91270"/>
    <w:rPr>
      <w:rFonts w:ascii="Calibri" w:eastAsiaTheme="minorHAnsi" w:hAnsi="Calibri" w:cstheme="minorBidi"/>
      <w:noProof/>
      <w:sz w:val="22"/>
      <w:szCs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791270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91270"/>
    <w:rPr>
      <w:rFonts w:ascii="Calibri" w:eastAsiaTheme="minorHAnsi" w:hAnsi="Calibri" w:cstheme="minorBidi"/>
      <w:noProof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A7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75E5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A7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75E5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1">
    <w:name w:val="Body 1"/>
    <w:rsid w:val="00CB33E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outlineLvl w:val="0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en-US"/>
    </w:rPr>
  </w:style>
  <w:style w:type="character" w:styleId="LineNumber">
    <w:name w:val="line number"/>
    <w:basedOn w:val="DefaultParagraphFont"/>
    <w:rsid w:val="00CD45B2"/>
  </w:style>
  <w:style w:type="paragraph" w:styleId="CommentText">
    <w:name w:val="annotation text"/>
    <w:basedOn w:val="Normal"/>
    <w:link w:val="CommentTextChar"/>
    <w:rsid w:val="00916844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916844"/>
    <w:rPr>
      <w:rFonts w:ascii="Arial" w:hAnsi="Arial" w:cs="Arial"/>
    </w:rPr>
  </w:style>
  <w:style w:type="character" w:customStyle="1" w:styleId="highlight">
    <w:name w:val="highlight"/>
    <w:rsid w:val="00916844"/>
  </w:style>
  <w:style w:type="character" w:styleId="CommentReference">
    <w:name w:val="annotation reference"/>
    <w:basedOn w:val="DefaultParagraphFont"/>
    <w:rsid w:val="00AC3E8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C3E8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AC3E85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rsid w:val="00AC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3E85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C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rsid w:val="0041603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E96D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AC3F04"/>
    <w:pPr>
      <w:tabs>
        <w:tab w:val="left" w:pos="384"/>
      </w:tabs>
      <w:spacing w:after="240" w:line="240" w:lineRule="auto"/>
      <w:ind w:left="384" w:hanging="384"/>
    </w:pPr>
  </w:style>
  <w:style w:type="character" w:styleId="Strong">
    <w:name w:val="Strong"/>
    <w:basedOn w:val="DefaultParagraphFont"/>
    <w:uiPriority w:val="22"/>
    <w:qFormat/>
    <w:rsid w:val="004F2EF9"/>
    <w:rPr>
      <w:b/>
      <w:bCs/>
    </w:rPr>
  </w:style>
  <w:style w:type="paragraph" w:customStyle="1" w:styleId="p">
    <w:name w:val="p"/>
    <w:basedOn w:val="Normal"/>
    <w:rsid w:val="0041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Light1">
    <w:name w:val="Table Grid Light1"/>
    <w:basedOn w:val="TableNormal"/>
    <w:uiPriority w:val="40"/>
    <w:rsid w:val="008F5748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ne">
    <w:name w:val="None"/>
    <w:rsid w:val="008F5748"/>
  </w:style>
  <w:style w:type="paragraph" w:styleId="Revision">
    <w:name w:val="Revision"/>
    <w:hidden/>
    <w:uiPriority w:val="99"/>
    <w:semiHidden/>
    <w:rsid w:val="00663D2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37377"/>
    <w:rPr>
      <w:b/>
      <w:bCs/>
      <w:kern w:val="36"/>
      <w:sz w:val="48"/>
      <w:szCs w:val="48"/>
    </w:rPr>
  </w:style>
  <w:style w:type="table" w:styleId="TableGridLight">
    <w:name w:val="Grid Table Light"/>
    <w:basedOn w:val="TableNormal"/>
    <w:uiPriority w:val="40"/>
    <w:rsid w:val="002431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rsid w:val="0084492D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A5303"/>
    <w:rPr>
      <w:rFonts w:eastAsia="Calibri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4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17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41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8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1174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Marino, Luise</dc:creator>
  <cp:lastModifiedBy>ANGALESWARI M</cp:lastModifiedBy>
  <cp:revision>2</cp:revision>
  <cp:lastPrinted>2022-03-10T14:40:00Z</cp:lastPrinted>
  <dcterms:created xsi:type="dcterms:W3CDTF">2022-11-02T06:23:00Z</dcterms:created>
  <dcterms:modified xsi:type="dcterms:W3CDTF">2022-11-02T06:23:00Z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zotero-version="6.0.13"&gt;&lt;session id="ByupwdPw"/&gt;&lt;style id="http://www.zotero.org/styles/vancouver" locale="en-GB" hasBibliography="1" bibliographyStyleHasBeenSet="1"/&gt;&lt;prefs&gt;&lt;pref name="fieldType" value="Field"/&gt;&lt;pref name="automati</vt:lpwstr>
  </property>
  <property fmtid="{D5CDD505-2E9C-101B-9397-08002B2CF9AE}" pid="3" name="ZOTERO_PREF_2">
    <vt:lpwstr>cJournalAbbreviations" value="true"/&gt;&lt;/prefs&gt;&lt;/data&gt;</vt:lpwstr>
  </property>
  <property fmtid="{D5CDD505-2E9C-101B-9397-08002B2CF9AE}" pid="4" name="GrammarlyDocumentId">
    <vt:lpwstr>5ddc24dcaec26fcc3f3004fa8de81315f821464896ce71d580be7a757542dee7</vt:lpwstr>
  </property>
</Properties>
</file>