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964E" w14:textId="2687E664" w:rsidR="00877618" w:rsidRPr="00F65E53" w:rsidRDefault="00F65E5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5E53">
        <w:rPr>
          <w:rFonts w:asciiTheme="majorBidi" w:hAnsiTheme="majorBidi" w:cstheme="majorBidi"/>
          <w:b/>
          <w:bCs/>
          <w:sz w:val="24"/>
          <w:szCs w:val="24"/>
          <w:u w:val="single"/>
        </w:rPr>
        <w:t>Supplemental Material</w:t>
      </w:r>
    </w:p>
    <w:p w14:paraId="5AE3F1B9" w14:textId="51BB0D67" w:rsidR="00F65E53" w:rsidRPr="00F65E53" w:rsidRDefault="00F65E53" w:rsidP="00F65E53">
      <w:pPr>
        <w:rPr>
          <w:rFonts w:asciiTheme="majorBidi" w:hAnsiTheme="majorBidi" w:cstheme="majorBidi"/>
          <w:sz w:val="24"/>
          <w:szCs w:val="24"/>
        </w:rPr>
      </w:pPr>
      <w:r w:rsidRPr="00F65E53">
        <w:rPr>
          <w:rFonts w:asciiTheme="majorBidi" w:hAnsiTheme="majorBidi" w:cstheme="majorBidi"/>
          <w:sz w:val="24"/>
          <w:szCs w:val="24"/>
        </w:rPr>
        <w:t>Figure 1. BASIC Definition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5E53" w14:paraId="764621E3" w14:textId="77777777" w:rsidTr="005D4789">
        <w:tc>
          <w:tcPr>
            <w:tcW w:w="9350" w:type="dxa"/>
          </w:tcPr>
          <w:p w14:paraId="75BD3BEB" w14:textId="77777777" w:rsidR="00F65E53" w:rsidRPr="00264507" w:rsidRDefault="00F65E53" w:rsidP="005D4789">
            <w:pPr>
              <w:pStyle w:val="xxmsonormal"/>
              <w:rPr>
                <w:color w:val="000000"/>
                <w:sz w:val="21"/>
                <w:szCs w:val="21"/>
              </w:rPr>
            </w:pPr>
            <w:r w:rsidRPr="00264507">
              <w:rPr>
                <w:b/>
                <w:bCs/>
                <w:color w:val="000000"/>
                <w:sz w:val="21"/>
                <w:szCs w:val="21"/>
              </w:rPr>
              <w:t>Any</w:t>
            </w:r>
            <w:r w:rsidRPr="00264507">
              <w:rPr>
                <w:color w:val="000000"/>
                <w:sz w:val="21"/>
                <w:szCs w:val="21"/>
              </w:rPr>
              <w:t xml:space="preserve"> of the following criteria define </w:t>
            </w:r>
            <w:r w:rsidRPr="00264507">
              <w:rPr>
                <w:b/>
                <w:bCs/>
                <w:color w:val="000000"/>
                <w:sz w:val="21"/>
                <w:szCs w:val="21"/>
              </w:rPr>
              <w:t>severe bleeding</w:t>
            </w:r>
            <w:r w:rsidRPr="00264507">
              <w:rPr>
                <w:color w:val="000000"/>
                <w:sz w:val="21"/>
                <w:szCs w:val="21"/>
              </w:rPr>
              <w:t xml:space="preserve">: </w:t>
            </w:r>
          </w:p>
          <w:p w14:paraId="77B08DEB" w14:textId="77777777" w:rsidR="00F65E53" w:rsidRPr="00264507" w:rsidRDefault="00F65E53" w:rsidP="005D478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Bleeding that leads to at least one organ dysfunction, using PELOD-2 score criteria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of organ dysfunction</w:t>
            </w:r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, within 24 hours of the previous assessment (if there is no previous assessment, the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baseline</w:t>
            </w:r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results are presumed to be normal). The organ dysfunction should be associated with the bleeding, in absence of other causes.</w:t>
            </w:r>
          </w:p>
          <w:p w14:paraId="4B4171C6" w14:textId="77777777" w:rsidR="00F65E53" w:rsidRPr="00264507" w:rsidRDefault="00F65E53" w:rsidP="005D478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Bleeding that leads to hemodynamic instability, defined as an increase in heart rate (HR) by &gt; 20% from baseline or a decrease in blood pressure (BP) by &gt; 20% from baseline. The hemodynamic instability should be associated with the bleeding, in absence of other causes.</w:t>
            </w:r>
          </w:p>
          <w:p w14:paraId="28B68715" w14:textId="77777777" w:rsidR="00F65E53" w:rsidRDefault="00F65E53" w:rsidP="005D478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Bleeding leading to a drop in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hemoglobin (Hb)</w:t>
            </w:r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&gt;20% within 24 hours. The drop in Hb should be associated with the bleeding, in absence of other causes.</w:t>
            </w:r>
          </w:p>
          <w:p w14:paraId="7D68F569" w14:textId="77777777" w:rsidR="00F65E53" w:rsidRDefault="00F65E53" w:rsidP="005D478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Quantifiable bleeding ≥ 5 ml/kg/</w:t>
            </w:r>
            <w:proofErr w:type="spellStart"/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hr</w:t>
            </w:r>
            <w:proofErr w:type="spellEnd"/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for ≥ 1 hour (</w:t>
            </w:r>
            <w:proofErr w:type="spellStart"/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eg.</w:t>
            </w:r>
            <w:proofErr w:type="spellEnd"/>
            <w:r w:rsidRPr="0026450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chest tube, drain).</w:t>
            </w:r>
          </w:p>
          <w:p w14:paraId="3E9BB39B" w14:textId="77777777" w:rsidR="00F65E53" w:rsidRPr="00B712A6" w:rsidRDefault="00F65E53" w:rsidP="005D478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B712A6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Intraspinal bleeding leading to loss of neurologic function below</w:t>
            </w:r>
            <w:r w:rsidRPr="00B712A6">
              <w:rPr>
                <w:rFonts w:ascii="Times New Roman" w:eastAsia="Times New Roman" w:hAnsi="Times New Roman"/>
                <w:sz w:val="21"/>
                <w:szCs w:val="21"/>
              </w:rPr>
              <w:t xml:space="preserve"> the lesion</w:t>
            </w:r>
            <w:r w:rsidRPr="00B712A6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, non-traumatic intra-articular bleeding leading to decreased range of movement, or intraocular bleeding leading to impaired vision.</w:t>
            </w:r>
          </w:p>
        </w:tc>
      </w:tr>
    </w:tbl>
    <w:p w14:paraId="1DE7A64F" w14:textId="62C361F2" w:rsidR="00F65E53" w:rsidRDefault="00F65E53"/>
    <w:p w14:paraId="7C916B75" w14:textId="5BE8CB05" w:rsidR="00F65E53" w:rsidRPr="00F65E53" w:rsidRDefault="00F65E53">
      <w:pPr>
        <w:rPr>
          <w:rFonts w:asciiTheme="majorBidi" w:hAnsiTheme="majorBidi" w:cstheme="majorBidi"/>
          <w:sz w:val="24"/>
          <w:szCs w:val="24"/>
        </w:rPr>
      </w:pPr>
      <w:r w:rsidRPr="00F65E53">
        <w:rPr>
          <w:rFonts w:asciiTheme="majorBidi" w:hAnsiTheme="majorBidi" w:cstheme="majorBidi"/>
          <w:sz w:val="24"/>
          <w:szCs w:val="24"/>
        </w:rPr>
        <w:t xml:space="preserve">Table 1. Median Age of Subjects </w:t>
      </w:r>
      <w:proofErr w:type="gramStart"/>
      <w:r w:rsidRPr="00F65E53">
        <w:rPr>
          <w:rFonts w:asciiTheme="majorBidi" w:hAnsiTheme="majorBidi" w:cstheme="majorBidi"/>
          <w:sz w:val="24"/>
          <w:szCs w:val="24"/>
        </w:rPr>
        <w:t>By</w:t>
      </w:r>
      <w:proofErr w:type="gramEnd"/>
      <w:r w:rsidRPr="00F65E53">
        <w:rPr>
          <w:rFonts w:asciiTheme="majorBidi" w:hAnsiTheme="majorBidi" w:cstheme="majorBidi"/>
          <w:sz w:val="24"/>
          <w:szCs w:val="24"/>
        </w:rPr>
        <w:t xml:space="preserve"> RACHS Score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2"/>
        <w:gridCol w:w="3258"/>
        <w:gridCol w:w="1985"/>
      </w:tblGrid>
      <w:tr w:rsidR="00F65E53" w:rsidRPr="00074F80" w14:paraId="12C439A8" w14:textId="77777777" w:rsidTr="00F65E53">
        <w:tc>
          <w:tcPr>
            <w:tcW w:w="2412" w:type="dxa"/>
          </w:tcPr>
          <w:p w14:paraId="75413F59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RACHS score</w:t>
            </w:r>
          </w:p>
        </w:tc>
        <w:tc>
          <w:tcPr>
            <w:tcW w:w="3258" w:type="dxa"/>
          </w:tcPr>
          <w:p w14:paraId="632839FB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Median Age (months)</w:t>
            </w:r>
          </w:p>
        </w:tc>
        <w:tc>
          <w:tcPr>
            <w:tcW w:w="1985" w:type="dxa"/>
          </w:tcPr>
          <w:p w14:paraId="19454DBE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IQR</w:t>
            </w:r>
          </w:p>
        </w:tc>
      </w:tr>
      <w:tr w:rsidR="00F65E53" w:rsidRPr="00074F80" w14:paraId="448FBA75" w14:textId="77777777" w:rsidTr="00F65E53">
        <w:tc>
          <w:tcPr>
            <w:tcW w:w="2412" w:type="dxa"/>
          </w:tcPr>
          <w:p w14:paraId="0CE4AE63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58" w:type="dxa"/>
          </w:tcPr>
          <w:p w14:paraId="3C02C2F6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985" w:type="dxa"/>
          </w:tcPr>
          <w:p w14:paraId="50FE3DA5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34-105</w:t>
            </w:r>
          </w:p>
        </w:tc>
      </w:tr>
      <w:tr w:rsidR="00F65E53" w:rsidRPr="00074F80" w14:paraId="5E27D18A" w14:textId="77777777" w:rsidTr="00F65E53">
        <w:tc>
          <w:tcPr>
            <w:tcW w:w="2412" w:type="dxa"/>
          </w:tcPr>
          <w:p w14:paraId="58F0FA56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58" w:type="dxa"/>
          </w:tcPr>
          <w:p w14:paraId="2FC09B4C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5" w:type="dxa"/>
          </w:tcPr>
          <w:p w14:paraId="0B127539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4-50</w:t>
            </w:r>
          </w:p>
        </w:tc>
      </w:tr>
      <w:tr w:rsidR="00F65E53" w:rsidRPr="00074F80" w14:paraId="3A016A79" w14:textId="77777777" w:rsidTr="00F65E53">
        <w:tc>
          <w:tcPr>
            <w:tcW w:w="2412" w:type="dxa"/>
          </w:tcPr>
          <w:p w14:paraId="389E8010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58" w:type="dxa"/>
          </w:tcPr>
          <w:p w14:paraId="33A3B2FD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1985" w:type="dxa"/>
          </w:tcPr>
          <w:p w14:paraId="2A167133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8-126</w:t>
            </w:r>
          </w:p>
        </w:tc>
      </w:tr>
      <w:tr w:rsidR="00F65E53" w:rsidRPr="00074F80" w14:paraId="27989574" w14:textId="77777777" w:rsidTr="00F65E53">
        <w:tc>
          <w:tcPr>
            <w:tcW w:w="2412" w:type="dxa"/>
          </w:tcPr>
          <w:p w14:paraId="635E7F98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58" w:type="dxa"/>
          </w:tcPr>
          <w:p w14:paraId="3B51C9AE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14:paraId="4BB2DB6C" w14:textId="77777777" w:rsidR="00F65E53" w:rsidRPr="00F65E53" w:rsidRDefault="00F65E53" w:rsidP="005D4789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65E5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1-29</w:t>
            </w:r>
          </w:p>
        </w:tc>
      </w:tr>
    </w:tbl>
    <w:p w14:paraId="0CC178BA" w14:textId="38A7964E" w:rsidR="00F65E53" w:rsidRDefault="00F65E53"/>
    <w:p w14:paraId="103E0807" w14:textId="60278C39" w:rsidR="00F65E53" w:rsidRPr="00F65E53" w:rsidRDefault="00F65E53">
      <w:pPr>
        <w:rPr>
          <w:rFonts w:asciiTheme="majorBidi" w:hAnsiTheme="majorBidi" w:cstheme="majorBidi"/>
          <w:sz w:val="24"/>
          <w:szCs w:val="24"/>
        </w:rPr>
      </w:pPr>
      <w:r w:rsidRPr="00F65E53">
        <w:rPr>
          <w:rFonts w:asciiTheme="majorBidi" w:hAnsiTheme="majorBidi" w:cstheme="majorBidi"/>
          <w:sz w:val="24"/>
          <w:szCs w:val="24"/>
        </w:rPr>
        <w:t>Table 2. Criteria Met by Nine Subjects who did not have &gt; 5 mL/kg/</w:t>
      </w:r>
      <w:proofErr w:type="spellStart"/>
      <w:r w:rsidRPr="00F65E53">
        <w:rPr>
          <w:rFonts w:asciiTheme="majorBidi" w:hAnsiTheme="majorBidi" w:cstheme="majorBidi"/>
          <w:sz w:val="24"/>
          <w:szCs w:val="24"/>
        </w:rPr>
        <w:t>hr</w:t>
      </w:r>
      <w:proofErr w:type="spellEnd"/>
      <w:r w:rsidRPr="00F65E53">
        <w:rPr>
          <w:rFonts w:asciiTheme="majorBidi" w:hAnsiTheme="majorBidi" w:cstheme="majorBidi"/>
          <w:sz w:val="24"/>
          <w:szCs w:val="24"/>
        </w:rPr>
        <w:t xml:space="preserve"> chest tube output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693"/>
      </w:tblGrid>
      <w:tr w:rsidR="00F65E53" w:rsidRPr="00F65E53" w14:paraId="6BBE1409" w14:textId="77777777" w:rsidTr="00F65E53">
        <w:tc>
          <w:tcPr>
            <w:tcW w:w="846" w:type="dxa"/>
          </w:tcPr>
          <w:p w14:paraId="48E7F5D3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Patient</w:t>
            </w:r>
          </w:p>
        </w:tc>
        <w:tc>
          <w:tcPr>
            <w:tcW w:w="2835" w:type="dxa"/>
          </w:tcPr>
          <w:p w14:paraId="05CE8E8D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Bleeding leading to organ dysfunction</w:t>
            </w:r>
          </w:p>
        </w:tc>
        <w:tc>
          <w:tcPr>
            <w:tcW w:w="2835" w:type="dxa"/>
          </w:tcPr>
          <w:p w14:paraId="603F641A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Bleeding leading to hemodynamic instability</w:t>
            </w:r>
          </w:p>
        </w:tc>
        <w:tc>
          <w:tcPr>
            <w:tcW w:w="2693" w:type="dxa"/>
          </w:tcPr>
          <w:p w14:paraId="7AF03214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 xml:space="preserve">Bleeding leading to drop in hemoglobin </w:t>
            </w:r>
          </w:p>
        </w:tc>
      </w:tr>
      <w:tr w:rsidR="00F65E53" w:rsidRPr="00F65E53" w14:paraId="00614B53" w14:textId="77777777" w:rsidTr="00F65E53">
        <w:tc>
          <w:tcPr>
            <w:tcW w:w="846" w:type="dxa"/>
          </w:tcPr>
          <w:p w14:paraId="76139753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35" w:type="dxa"/>
          </w:tcPr>
          <w:p w14:paraId="68A1474E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835" w:type="dxa"/>
          </w:tcPr>
          <w:p w14:paraId="0E397ACB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693" w:type="dxa"/>
          </w:tcPr>
          <w:p w14:paraId="4E287019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</w:tr>
      <w:tr w:rsidR="00F65E53" w:rsidRPr="00F65E53" w14:paraId="66F98F93" w14:textId="77777777" w:rsidTr="00F65E53">
        <w:tc>
          <w:tcPr>
            <w:tcW w:w="846" w:type="dxa"/>
          </w:tcPr>
          <w:p w14:paraId="2F935345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835" w:type="dxa"/>
          </w:tcPr>
          <w:p w14:paraId="41EE46AC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14:paraId="6D1A1D15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1DDA9E59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</w:tr>
      <w:tr w:rsidR="00F65E53" w:rsidRPr="00F65E53" w14:paraId="57754BF9" w14:textId="77777777" w:rsidTr="00F65E53">
        <w:tc>
          <w:tcPr>
            <w:tcW w:w="846" w:type="dxa"/>
          </w:tcPr>
          <w:p w14:paraId="0F05F30A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835" w:type="dxa"/>
          </w:tcPr>
          <w:p w14:paraId="72498B0A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835" w:type="dxa"/>
          </w:tcPr>
          <w:p w14:paraId="0A67F89F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693" w:type="dxa"/>
          </w:tcPr>
          <w:p w14:paraId="51B99426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</w:tr>
      <w:tr w:rsidR="00F65E53" w:rsidRPr="00F65E53" w14:paraId="27070E7F" w14:textId="77777777" w:rsidTr="00F65E53">
        <w:tc>
          <w:tcPr>
            <w:tcW w:w="846" w:type="dxa"/>
          </w:tcPr>
          <w:p w14:paraId="49F064F3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835" w:type="dxa"/>
          </w:tcPr>
          <w:p w14:paraId="265DA1C9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14:paraId="711457E2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693" w:type="dxa"/>
          </w:tcPr>
          <w:p w14:paraId="347C7E53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</w:tr>
      <w:tr w:rsidR="00F65E53" w:rsidRPr="00F65E53" w14:paraId="634B1119" w14:textId="77777777" w:rsidTr="00F65E53">
        <w:tc>
          <w:tcPr>
            <w:tcW w:w="846" w:type="dxa"/>
          </w:tcPr>
          <w:p w14:paraId="54C3D788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835" w:type="dxa"/>
          </w:tcPr>
          <w:p w14:paraId="78305B7D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14:paraId="7232B781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693" w:type="dxa"/>
          </w:tcPr>
          <w:p w14:paraId="1EB6BBB0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</w:tr>
      <w:tr w:rsidR="00F65E53" w:rsidRPr="00F65E53" w14:paraId="5BEA42CC" w14:textId="77777777" w:rsidTr="00F65E53">
        <w:tc>
          <w:tcPr>
            <w:tcW w:w="846" w:type="dxa"/>
          </w:tcPr>
          <w:p w14:paraId="51DBD4D5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835" w:type="dxa"/>
          </w:tcPr>
          <w:p w14:paraId="7980C6AB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835" w:type="dxa"/>
          </w:tcPr>
          <w:p w14:paraId="5C527F69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693" w:type="dxa"/>
          </w:tcPr>
          <w:p w14:paraId="63EED18F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</w:tr>
      <w:tr w:rsidR="00F65E53" w:rsidRPr="00F65E53" w14:paraId="01F20BAC" w14:textId="77777777" w:rsidTr="00F65E53">
        <w:tc>
          <w:tcPr>
            <w:tcW w:w="846" w:type="dxa"/>
          </w:tcPr>
          <w:p w14:paraId="451182DF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835" w:type="dxa"/>
          </w:tcPr>
          <w:p w14:paraId="4BD67B07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14:paraId="7E3AA976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693" w:type="dxa"/>
          </w:tcPr>
          <w:p w14:paraId="2B83FF9E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</w:tr>
      <w:tr w:rsidR="00F65E53" w:rsidRPr="00F65E53" w14:paraId="0F7E363C" w14:textId="77777777" w:rsidTr="00F65E53">
        <w:tc>
          <w:tcPr>
            <w:tcW w:w="846" w:type="dxa"/>
          </w:tcPr>
          <w:p w14:paraId="3DB66C99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835" w:type="dxa"/>
          </w:tcPr>
          <w:p w14:paraId="1A70FC62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14:paraId="7B8EFB10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2693" w:type="dxa"/>
          </w:tcPr>
          <w:p w14:paraId="37428F3F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</w:tr>
      <w:tr w:rsidR="00F65E53" w:rsidRPr="00F65E53" w14:paraId="3F4FF972" w14:textId="77777777" w:rsidTr="00F65E53">
        <w:tc>
          <w:tcPr>
            <w:tcW w:w="846" w:type="dxa"/>
          </w:tcPr>
          <w:p w14:paraId="77F3672C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835" w:type="dxa"/>
          </w:tcPr>
          <w:p w14:paraId="4FC9F8D9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14:paraId="125C6C09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7EA94884" w14:textId="77777777" w:rsidR="00F65E53" w:rsidRPr="00F65E53" w:rsidRDefault="00F65E53" w:rsidP="005D4789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</w:rPr>
              <w:t>X</w:t>
            </w:r>
          </w:p>
        </w:tc>
      </w:tr>
    </w:tbl>
    <w:p w14:paraId="683B603D" w14:textId="3D7F36B3" w:rsidR="00F65E53" w:rsidRDefault="00F65E53"/>
    <w:p w14:paraId="2601D907" w14:textId="77777777" w:rsidR="00F65E53" w:rsidRDefault="00F65E53">
      <w:pPr>
        <w:rPr>
          <w:rFonts w:asciiTheme="majorBidi" w:hAnsiTheme="majorBidi" w:cstheme="majorBidi"/>
          <w:sz w:val="24"/>
          <w:szCs w:val="24"/>
        </w:rPr>
      </w:pPr>
    </w:p>
    <w:p w14:paraId="16E3DF18" w14:textId="77777777" w:rsidR="00F65E53" w:rsidRDefault="00F65E53">
      <w:pPr>
        <w:rPr>
          <w:rFonts w:asciiTheme="majorBidi" w:hAnsiTheme="majorBidi" w:cstheme="majorBidi"/>
          <w:sz w:val="24"/>
          <w:szCs w:val="24"/>
        </w:rPr>
      </w:pPr>
    </w:p>
    <w:p w14:paraId="5462332E" w14:textId="7EB71080" w:rsidR="00F65E53" w:rsidRPr="00F65E53" w:rsidRDefault="00F65E53">
      <w:pPr>
        <w:rPr>
          <w:rFonts w:asciiTheme="majorBidi" w:hAnsiTheme="majorBidi" w:cstheme="majorBidi"/>
          <w:sz w:val="24"/>
          <w:szCs w:val="24"/>
        </w:rPr>
      </w:pPr>
      <w:r w:rsidRPr="00F65E53">
        <w:rPr>
          <w:rFonts w:asciiTheme="majorBidi" w:hAnsiTheme="majorBidi" w:cstheme="majorBidi"/>
          <w:sz w:val="24"/>
          <w:szCs w:val="24"/>
        </w:rPr>
        <w:lastRenderedPageBreak/>
        <w:t>Table 4. Information on Four Subjects who Developed Organ Dysfunction Secondary to Bleeding</w:t>
      </w:r>
      <w:r w:rsidR="009B62B8">
        <w:rPr>
          <w:rFonts w:asciiTheme="majorBidi" w:hAnsiTheme="majorBidi" w:cstheme="majorBidi"/>
          <w:sz w:val="24"/>
          <w:szCs w:val="24"/>
        </w:rPr>
        <w:t xml:space="preserve">. </w:t>
      </w:r>
      <w:bookmarkStart w:id="0" w:name="_Hlk109110952"/>
      <w:r w:rsidR="009B62B8">
        <w:rPr>
          <w:rFonts w:asciiTheme="majorBidi" w:hAnsiTheme="majorBidi" w:cstheme="majorBidi"/>
          <w:sz w:val="24"/>
          <w:szCs w:val="24"/>
        </w:rPr>
        <w:t>Of note, one patient also had bleedi</w:t>
      </w:r>
      <w:r w:rsidR="005E69A8">
        <w:rPr>
          <w:rFonts w:asciiTheme="majorBidi" w:hAnsiTheme="majorBidi" w:cstheme="majorBidi"/>
          <w:sz w:val="24"/>
          <w:szCs w:val="24"/>
        </w:rPr>
        <w:t>ng &gt; 5mL/kg/hr.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5E53" w:rsidRPr="00F65E53" w14:paraId="5E2BD334" w14:textId="77777777" w:rsidTr="00F65E53">
        <w:tc>
          <w:tcPr>
            <w:tcW w:w="9350" w:type="dxa"/>
          </w:tcPr>
          <w:p w14:paraId="2B32FD4A" w14:textId="12EB4F5B" w:rsidR="00F65E53" w:rsidRPr="00F65E53" w:rsidRDefault="00F65E53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  <w:bdr w:val="none" w:sz="0" w:space="0" w:color="auto" w:frame="1"/>
              </w:rPr>
              <w:t>Patient 1: PELOD criteria (</w:t>
            </w:r>
            <w:proofErr w:type="spellStart"/>
            <w:r w:rsidRPr="00F65E53">
              <w:rPr>
                <w:rFonts w:asciiTheme="majorBidi" w:hAnsiTheme="majorBidi" w:cstheme="majorBidi"/>
                <w:bdr w:val="none" w:sz="0" w:space="0" w:color="auto" w:frame="1"/>
              </w:rPr>
              <w:t>Pulm</w:t>
            </w:r>
            <w:proofErr w:type="spellEnd"/>
            <w:r w:rsidRPr="00F65E53">
              <w:rPr>
                <w:rFonts w:asciiTheme="majorBidi" w:hAnsiTheme="majorBidi" w:cstheme="majorBidi"/>
                <w:bdr w:val="none" w:sz="0" w:space="0" w:color="auto" w:frame="1"/>
              </w:rPr>
              <w:t>, renal, CV): Had hemoperitoneum and bleeding which lead to oliguria due to increased abdominal pressures and hypotension with systolic BPs less than 65 for age (required a peritoneal drain to be placed</w:t>
            </w:r>
            <w:proofErr w:type="gramStart"/>
            <w:r w:rsidRPr="00F65E53">
              <w:rPr>
                <w:rFonts w:asciiTheme="majorBidi" w:hAnsiTheme="majorBidi" w:cstheme="majorBidi"/>
                <w:bdr w:val="none" w:sz="0" w:space="0" w:color="auto" w:frame="1"/>
              </w:rPr>
              <w:t>), and</w:t>
            </w:r>
            <w:proofErr w:type="gramEnd"/>
            <w:r w:rsidRPr="00F65E53">
              <w:rPr>
                <w:rFonts w:asciiTheme="majorBidi" w:hAnsiTheme="majorBidi" w:cstheme="majorBidi"/>
                <w:bdr w:val="none" w:sz="0" w:space="0" w:color="auto" w:frame="1"/>
              </w:rPr>
              <w:t xml:space="preserve"> did have increase in Cr to 0.7 (&gt; 0.62 per PELOD criteria), and remained mechanically ventilated. </w:t>
            </w:r>
          </w:p>
        </w:tc>
      </w:tr>
      <w:tr w:rsidR="00F65E53" w:rsidRPr="00F65E53" w14:paraId="3A1917A4" w14:textId="77777777" w:rsidTr="00F65E53">
        <w:tc>
          <w:tcPr>
            <w:tcW w:w="9350" w:type="dxa"/>
          </w:tcPr>
          <w:p w14:paraId="52524B21" w14:textId="2670D2F9" w:rsidR="00F65E53" w:rsidRPr="00F65E53" w:rsidRDefault="00F65E53" w:rsidP="00F65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65E53">
              <w:rPr>
                <w:rFonts w:asciiTheme="majorBidi" w:hAnsiTheme="majorBidi" w:cstheme="majorBidi"/>
                <w:sz w:val="22"/>
                <w:szCs w:val="22"/>
              </w:rPr>
              <w:t xml:space="preserve">Patient 2: </w:t>
            </w:r>
            <w:r w:rsidRPr="00F65E53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  <w:shd w:val="clear" w:color="auto" w:fill="FFFFFF"/>
              </w:rPr>
              <w:t>PELOD criteria (</w:t>
            </w:r>
            <w:proofErr w:type="spellStart"/>
            <w:r w:rsidRPr="00F65E53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  <w:shd w:val="clear" w:color="auto" w:fill="FFFFFF"/>
              </w:rPr>
              <w:t>Pulm</w:t>
            </w:r>
            <w:proofErr w:type="spellEnd"/>
            <w:r w:rsidRPr="00F65E53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and CV): Had bleeding requiring multiple transfusions and required high FiO2 including 100% FiO2 and PaO2/FiO2 was &lt;70 based on several arterial gases, remained mechanical ventilated and then also had systolic BPs in between less than 65 for age. </w:t>
            </w:r>
          </w:p>
        </w:tc>
      </w:tr>
      <w:tr w:rsidR="00F65E53" w:rsidRPr="00F65E53" w14:paraId="51B14CA1" w14:textId="77777777" w:rsidTr="00F65E53">
        <w:tc>
          <w:tcPr>
            <w:tcW w:w="9350" w:type="dxa"/>
          </w:tcPr>
          <w:p w14:paraId="6FACC292" w14:textId="2AFFEB1C" w:rsidR="00F65E53" w:rsidRPr="00F65E53" w:rsidRDefault="00F65E53" w:rsidP="00F65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65E53">
              <w:rPr>
                <w:rFonts w:asciiTheme="majorBidi" w:hAnsiTheme="majorBidi" w:cstheme="majorBidi"/>
                <w:sz w:val="22"/>
                <w:szCs w:val="22"/>
              </w:rPr>
              <w:t xml:space="preserve">Patient 3: </w:t>
            </w:r>
            <w:r w:rsidRPr="00F65E53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>PELOD criteria (</w:t>
            </w:r>
            <w:proofErr w:type="spellStart"/>
            <w:r w:rsidRPr="00F65E53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>Pulm</w:t>
            </w:r>
            <w:proofErr w:type="spellEnd"/>
            <w:r w:rsidRPr="00F65E53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 xml:space="preserve">, CV, Hepatic): Had </w:t>
            </w:r>
            <w:proofErr w:type="spellStart"/>
            <w:r w:rsidRPr="00F65E53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>hemothorax</w:t>
            </w:r>
            <w:proofErr w:type="spellEnd"/>
            <w:r w:rsidRPr="00F65E53">
              <w:rPr>
                <w:rFonts w:asciiTheme="majorBidi" w:hAnsiTheme="majorBidi" w:cstheme="majorBidi"/>
                <w:sz w:val="22"/>
                <w:szCs w:val="22"/>
                <w:bdr w:val="none" w:sz="0" w:space="0" w:color="auto" w:frame="1"/>
              </w:rPr>
              <w:t xml:space="preserve"> and blood loss leading to hypotension (systolic BPs in 40s), and elevated PT and INR of 1.6. Also remained mechanically ventilated. </w:t>
            </w:r>
          </w:p>
        </w:tc>
      </w:tr>
      <w:tr w:rsidR="00F65E53" w:rsidRPr="00F65E53" w14:paraId="34114DE0" w14:textId="77777777" w:rsidTr="00F65E53">
        <w:tc>
          <w:tcPr>
            <w:tcW w:w="9350" w:type="dxa"/>
          </w:tcPr>
          <w:p w14:paraId="19D5A46B" w14:textId="791AB710" w:rsidR="00F65E53" w:rsidRPr="00F65E53" w:rsidRDefault="00F65E53" w:rsidP="00F65E53">
            <w:pPr>
              <w:rPr>
                <w:rFonts w:asciiTheme="majorBidi" w:hAnsiTheme="majorBidi" w:cstheme="majorBidi"/>
              </w:rPr>
            </w:pPr>
            <w:r w:rsidRPr="00F65E53">
              <w:rPr>
                <w:rFonts w:asciiTheme="majorBidi" w:hAnsiTheme="majorBidi" w:cstheme="majorBidi"/>
                <w:bdr w:val="none" w:sz="0" w:space="0" w:color="auto" w:frame="1"/>
              </w:rPr>
              <w:t xml:space="preserve">Patient 4: PELOD criteria (CV, </w:t>
            </w:r>
            <w:proofErr w:type="spellStart"/>
            <w:r w:rsidRPr="00F65E53">
              <w:rPr>
                <w:rFonts w:asciiTheme="majorBidi" w:hAnsiTheme="majorBidi" w:cstheme="majorBidi"/>
                <w:bdr w:val="none" w:sz="0" w:space="0" w:color="auto" w:frame="1"/>
              </w:rPr>
              <w:t>Pulm</w:t>
            </w:r>
            <w:proofErr w:type="spellEnd"/>
            <w:r w:rsidRPr="00F65E53">
              <w:rPr>
                <w:rFonts w:asciiTheme="majorBidi" w:hAnsiTheme="majorBidi" w:cstheme="majorBidi"/>
                <w:bdr w:val="none" w:sz="0" w:space="0" w:color="auto" w:frame="1"/>
              </w:rPr>
              <w:t>): Had bleeding with significant hypotension (systolic 70s for age) requiring multiple transfusions and fluid resuscitation. Remained mechanically ventilated (had high FIO2 but also high PaO2s).</w:t>
            </w:r>
          </w:p>
        </w:tc>
      </w:tr>
    </w:tbl>
    <w:p w14:paraId="51D95ECD" w14:textId="19BCA930" w:rsidR="00F65E53" w:rsidRDefault="00F65E53" w:rsidP="00F65E53"/>
    <w:sectPr w:rsidR="00F65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FB"/>
    <w:multiLevelType w:val="multilevel"/>
    <w:tmpl w:val="153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53"/>
    <w:rsid w:val="005E69A8"/>
    <w:rsid w:val="006C173F"/>
    <w:rsid w:val="00877618"/>
    <w:rsid w:val="009B62B8"/>
    <w:rsid w:val="00D51BFC"/>
    <w:rsid w:val="00F6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52C6"/>
  <w15:chartTrackingRefBased/>
  <w15:docId w15:val="{52CE35C1-8069-493C-B1B8-7D14BC05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E5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F65E53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F6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2334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Elizabeth Nellis</dc:creator>
  <cp:keywords/>
  <dc:description/>
  <cp:lastModifiedBy>Marianne Elizabeth Nellis</cp:lastModifiedBy>
  <cp:revision>2</cp:revision>
  <dcterms:created xsi:type="dcterms:W3CDTF">2022-05-22T12:58:00Z</dcterms:created>
  <dcterms:modified xsi:type="dcterms:W3CDTF">2022-07-20T05:54:00Z</dcterms:modified>
</cp:coreProperties>
</file>