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32"/>
        <w:gridCol w:w="7089"/>
      </w:tblGrid>
      <w:tr w:rsidR="004F6551" w:rsidRPr="000925C1" w:rsidTr="00A55BF5">
        <w:trPr>
          <w:jc w:val="center"/>
        </w:trPr>
        <w:tc>
          <w:tcPr>
            <w:tcW w:w="10321" w:type="dxa"/>
            <w:gridSpan w:val="2"/>
          </w:tcPr>
          <w:p w:rsidR="004F6551" w:rsidRPr="000925C1" w:rsidRDefault="00A55BF5" w:rsidP="00A55B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Appendix 2.</w:t>
            </w:r>
            <w:r w:rsidR="004F6551" w:rsidRPr="000925C1">
              <w:rPr>
                <w:rFonts w:ascii="Times New Roman" w:hAnsi="Times New Roman"/>
                <w:b/>
              </w:rPr>
              <w:t xml:space="preserve"> List of</w:t>
            </w:r>
            <w:r w:rsidR="004F6551" w:rsidRPr="00A55BF5">
              <w:rPr>
                <w:rFonts w:ascii="Times New Roman" w:hAnsi="Times New Roman"/>
                <w:b/>
              </w:rPr>
              <w:t xml:space="preserve"> </w:t>
            </w:r>
            <w:r w:rsidRPr="00A55BF5">
              <w:rPr>
                <w:rFonts w:ascii="Times New Roman" w:hAnsi="Times New Roman"/>
                <w:b/>
              </w:rPr>
              <w:t>A</w:t>
            </w:r>
            <w:r w:rsidR="004F6551" w:rsidRPr="00A55BF5">
              <w:rPr>
                <w:rFonts w:ascii="Times New Roman" w:hAnsi="Times New Roman"/>
                <w:b/>
              </w:rPr>
              <w:t>ccountability</w:t>
            </w:r>
            <w:r w:rsidR="004F6551" w:rsidRPr="000925C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 w:rsidR="004F6551" w:rsidRPr="000925C1">
              <w:rPr>
                <w:rFonts w:ascii="Times New Roman" w:hAnsi="Times New Roman"/>
                <w:b/>
              </w:rPr>
              <w:t>nstruments.</w:t>
            </w:r>
          </w:p>
        </w:tc>
      </w:tr>
      <w:tr w:rsidR="004F6551" w:rsidRPr="000925C1" w:rsidTr="00A55BF5">
        <w:trPr>
          <w:trHeight w:val="330"/>
          <w:jc w:val="center"/>
        </w:trPr>
        <w:tc>
          <w:tcPr>
            <w:tcW w:w="3232" w:type="dxa"/>
            <w:shd w:val="clear" w:color="auto" w:fill="auto"/>
          </w:tcPr>
          <w:p w:rsidR="004F6551" w:rsidRPr="000925C1" w:rsidRDefault="004F6551" w:rsidP="00A55BF5">
            <w:pPr>
              <w:rPr>
                <w:rFonts w:ascii="Times New Roman" w:hAnsi="Times New Roman"/>
                <w:b/>
                <w:u w:val="single"/>
              </w:rPr>
            </w:pPr>
            <w:r w:rsidRPr="000925C1">
              <w:rPr>
                <w:rFonts w:ascii="Times New Roman" w:hAnsi="Times New Roman"/>
                <w:b/>
                <w:u w:val="single"/>
              </w:rPr>
              <w:t>Organization</w:t>
            </w:r>
          </w:p>
        </w:tc>
        <w:tc>
          <w:tcPr>
            <w:tcW w:w="7089" w:type="dxa"/>
            <w:shd w:val="clear" w:color="auto" w:fill="auto"/>
          </w:tcPr>
          <w:p w:rsidR="004F6551" w:rsidRPr="000925C1" w:rsidRDefault="004F6551" w:rsidP="00A55BF5">
            <w:pPr>
              <w:rPr>
                <w:rFonts w:ascii="Times New Roman" w:hAnsi="Times New Roman"/>
                <w:b/>
                <w:u w:val="single"/>
              </w:rPr>
            </w:pPr>
            <w:r w:rsidRPr="000925C1">
              <w:rPr>
                <w:rFonts w:ascii="Times New Roman" w:hAnsi="Times New Roman"/>
                <w:b/>
                <w:u w:val="single"/>
              </w:rPr>
              <w:t>Instrument / Articles with Accountability Frameworks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proofErr w:type="spellStart"/>
            <w:r w:rsidRPr="000925C1">
              <w:rPr>
                <w:rFonts w:ascii="Times New Roman" w:hAnsi="Times New Roman"/>
              </w:rPr>
              <w:t>ActionAid</w:t>
            </w:r>
            <w:proofErr w:type="spellEnd"/>
            <w:r w:rsidRPr="000925C1">
              <w:rPr>
                <w:rFonts w:ascii="Times New Roman" w:hAnsi="Times New Roman"/>
              </w:rPr>
              <w:t xml:space="preserve"> International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Accountability, Learning and Planning System (Alps)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Consortium of British Humanitarian Agencies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Core Humanitarian Competencies Guide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2</w:t>
            </w:r>
          </w:p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Core Humanitarian Competencies Framework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3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Disasters Emergency Committee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DEC Accountability Framework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4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The E</w:t>
            </w:r>
            <w:r w:rsidR="00A55BF5">
              <w:rPr>
                <w:rFonts w:ascii="Times New Roman" w:hAnsi="Times New Roman"/>
              </w:rPr>
              <w:t>mergency Capacity Building</w:t>
            </w:r>
            <w:r w:rsidRPr="000925C1">
              <w:rPr>
                <w:rFonts w:ascii="Times New Roman" w:hAnsi="Times New Roman"/>
              </w:rPr>
              <w:t xml:space="preserve"> Project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Impact Measurement and Accountability in Emergencies: The Good Enough Guide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5</w:t>
            </w:r>
          </w:p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Common Humanitarian Accountability Framework for Inter-Agency Working Group (IWG) Agencies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6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Good Humanitarian </w:t>
            </w:r>
            <w:proofErr w:type="spellStart"/>
            <w:r w:rsidRPr="000925C1">
              <w:rPr>
                <w:rFonts w:ascii="Times New Roman" w:hAnsi="Times New Roman"/>
              </w:rPr>
              <w:t>Donorship</w:t>
            </w:r>
            <w:proofErr w:type="spellEnd"/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Principles and Good Practice of Humanitarian </w:t>
            </w:r>
            <w:proofErr w:type="spellStart"/>
            <w:r w:rsidRPr="000925C1">
              <w:rPr>
                <w:rFonts w:ascii="Times New Roman" w:hAnsi="Times New Roman"/>
              </w:rPr>
              <w:t>Donorship</w:t>
            </w:r>
            <w:proofErr w:type="spellEnd"/>
            <w:r w:rsidRPr="000925C1">
              <w:rPr>
                <w:rFonts w:ascii="Times New Roman" w:hAnsi="Times New Roman"/>
              </w:rPr>
              <w:t xml:space="preserve">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7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Humanitarian A</w:t>
            </w:r>
            <w:r w:rsidR="00A55BF5">
              <w:rPr>
                <w:rFonts w:ascii="Times New Roman" w:hAnsi="Times New Roman"/>
              </w:rPr>
              <w:t xml:space="preserve">ccountability Partnership </w:t>
            </w:r>
            <w:r w:rsidRPr="000925C1">
              <w:rPr>
                <w:rFonts w:ascii="Times New Roman" w:hAnsi="Times New Roman"/>
              </w:rPr>
              <w:t>International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HAP Standard in Accountability and Quality Management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8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proofErr w:type="spellStart"/>
            <w:r w:rsidRPr="000925C1">
              <w:rPr>
                <w:rFonts w:ascii="Times New Roman" w:hAnsi="Times New Roman"/>
              </w:rPr>
              <w:t>InterAction</w:t>
            </w:r>
            <w:proofErr w:type="spellEnd"/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proofErr w:type="spellStart"/>
            <w:r w:rsidRPr="000925C1">
              <w:rPr>
                <w:rFonts w:ascii="Times New Roman" w:hAnsi="Times New Roman"/>
              </w:rPr>
              <w:t>InterAction</w:t>
            </w:r>
            <w:proofErr w:type="spellEnd"/>
            <w:r w:rsidRPr="000925C1">
              <w:rPr>
                <w:rFonts w:ascii="Times New Roman" w:hAnsi="Times New Roman"/>
              </w:rPr>
              <w:t xml:space="preserve"> PVO Standards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9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Inter-Agency Network for Education in Emergencies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Minimum Standards for Education in Emergencies, Chronic Crises and Early Reconstruction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10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International Committee of the Red Cross</w:t>
            </w:r>
          </w:p>
        </w:tc>
        <w:tc>
          <w:tcPr>
            <w:tcW w:w="7089" w:type="dxa"/>
            <w:vAlign w:val="center"/>
          </w:tcPr>
          <w:p w:rsidR="004F6551" w:rsidRPr="000925C1" w:rsidRDefault="004F6551" w:rsidP="00A55BF5">
            <w:pPr>
              <w:pStyle w:val="NormalWeb"/>
              <w:spacing w:beforeLines="0" w:afterLines="0"/>
              <w:rPr>
                <w:rFonts w:ascii="Times New Roman" w:hAnsi="Times New Roman" w:cstheme="minorBidi"/>
                <w:sz w:val="24"/>
                <w:szCs w:val="24"/>
              </w:rPr>
            </w:pPr>
            <w:r w:rsidRPr="000925C1">
              <w:rPr>
                <w:rFonts w:ascii="Times New Roman" w:hAnsi="Times New Roman" w:cstheme="minorBidi"/>
                <w:sz w:val="24"/>
                <w:szCs w:val="24"/>
              </w:rPr>
              <w:t xml:space="preserve">The Code of Conduct for the International Red Cross and Red Crescent Movement and NGOs in Disaster Relief </w:t>
            </w:r>
            <w:r w:rsidRPr="000925C1">
              <w:rPr>
                <w:rFonts w:ascii="Times New Roman" w:hAnsi="Times New Roman" w:cstheme="minorBidi"/>
                <w:noProof/>
                <w:sz w:val="24"/>
                <w:szCs w:val="24"/>
                <w:vertAlign w:val="superscript"/>
              </w:rPr>
              <w:t>11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International Medical Corps (IMC)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Accountability Framework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12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International Non Government </w:t>
            </w:r>
            <w:r w:rsidR="00A55BF5" w:rsidRPr="000925C1">
              <w:rPr>
                <w:rFonts w:ascii="Times New Roman" w:hAnsi="Times New Roman"/>
              </w:rPr>
              <w:t>Organizations</w:t>
            </w:r>
            <w:r w:rsidRPr="000925C1">
              <w:rPr>
                <w:rFonts w:ascii="Times New Roman" w:hAnsi="Times New Roman"/>
              </w:rPr>
              <w:t xml:space="preserve"> Accountability Charter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INGO Accountability Charter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13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proofErr w:type="spellStart"/>
            <w:r w:rsidRPr="000925C1">
              <w:rPr>
                <w:rFonts w:ascii="Times New Roman" w:hAnsi="Times New Roman"/>
              </w:rPr>
              <w:t>Médecins</w:t>
            </w:r>
            <w:proofErr w:type="spellEnd"/>
            <w:r w:rsidRPr="000925C1">
              <w:rPr>
                <w:rFonts w:ascii="Times New Roman" w:hAnsi="Times New Roman"/>
              </w:rPr>
              <w:t xml:space="preserve"> Sans </w:t>
            </w:r>
            <w:proofErr w:type="spellStart"/>
            <w:r w:rsidRPr="000925C1">
              <w:rPr>
                <w:rFonts w:ascii="Times New Roman" w:hAnsi="Times New Roman"/>
              </w:rPr>
              <w:t>Frontières</w:t>
            </w:r>
            <w:proofErr w:type="spellEnd"/>
          </w:p>
        </w:tc>
        <w:tc>
          <w:tcPr>
            <w:tcW w:w="7089" w:type="dxa"/>
            <w:vAlign w:val="center"/>
          </w:tcPr>
          <w:p w:rsidR="004F6551" w:rsidRPr="000925C1" w:rsidRDefault="004F6551" w:rsidP="00A55BF5">
            <w:pPr>
              <w:rPr>
                <w:rFonts w:ascii="Times New Roman" w:hAnsi="Times New Roman"/>
                <w:szCs w:val="20"/>
              </w:rPr>
            </w:pPr>
            <w:r w:rsidRPr="000925C1">
              <w:rPr>
                <w:rFonts w:ascii="Times New Roman" w:hAnsi="Times New Roman"/>
                <w:szCs w:val="20"/>
              </w:rPr>
              <w:t xml:space="preserve">Accountability - An MSF perspective </w:t>
            </w:r>
            <w:r w:rsidRPr="000925C1">
              <w:rPr>
                <w:rFonts w:ascii="Times New Roman" w:hAnsi="Times New Roman"/>
                <w:noProof/>
                <w:szCs w:val="20"/>
                <w:vertAlign w:val="superscript"/>
              </w:rPr>
              <w:t>14</w:t>
            </w:r>
          </w:p>
          <w:p w:rsidR="004F6551" w:rsidRPr="000925C1" w:rsidRDefault="004F6551" w:rsidP="00A55BF5">
            <w:pPr>
              <w:rPr>
                <w:rFonts w:ascii="Times New Roman" w:hAnsi="Times New Roman"/>
                <w:szCs w:val="20"/>
              </w:rPr>
            </w:pPr>
            <w:r w:rsidRPr="000925C1">
              <w:rPr>
                <w:rFonts w:ascii="Times New Roman" w:hAnsi="Times New Roman"/>
                <w:szCs w:val="20"/>
              </w:rPr>
              <w:t xml:space="preserve">MSF and accountability: from global buzzwords to specific solutions </w:t>
            </w:r>
            <w:r w:rsidRPr="000925C1">
              <w:rPr>
                <w:rFonts w:ascii="Times New Roman" w:hAnsi="Times New Roman"/>
                <w:noProof/>
                <w:szCs w:val="20"/>
                <w:vertAlign w:val="superscript"/>
              </w:rPr>
              <w:t>15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One World Trust</w:t>
            </w:r>
          </w:p>
        </w:tc>
        <w:tc>
          <w:tcPr>
            <w:tcW w:w="7089" w:type="dxa"/>
            <w:vAlign w:val="center"/>
          </w:tcPr>
          <w:p w:rsidR="004F6551" w:rsidRPr="000925C1" w:rsidRDefault="004F6551" w:rsidP="00A55BF5">
            <w:pPr>
              <w:spacing w:beforeLines="1" w:afterLines="1"/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Pathways to Accountability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16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People in Aid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Code of Good Practice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17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The Sphere Project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Humanitarian Charter and Minimum Standards in Humanitarian Response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18</w:t>
            </w:r>
          </w:p>
        </w:tc>
      </w:tr>
      <w:tr w:rsidR="004F6551" w:rsidRPr="000925C1" w:rsidTr="00A55BF5">
        <w:trPr>
          <w:jc w:val="center"/>
        </w:trPr>
        <w:tc>
          <w:tcPr>
            <w:tcW w:w="3232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>Tsunami Evaluation Coalition</w:t>
            </w:r>
          </w:p>
        </w:tc>
        <w:tc>
          <w:tcPr>
            <w:tcW w:w="7089" w:type="dxa"/>
          </w:tcPr>
          <w:p w:rsidR="004F6551" w:rsidRPr="000925C1" w:rsidRDefault="004F6551" w:rsidP="00A55BF5">
            <w:pPr>
              <w:rPr>
                <w:rFonts w:ascii="Times New Roman" w:hAnsi="Times New Roman"/>
              </w:rPr>
            </w:pPr>
            <w:r w:rsidRPr="000925C1">
              <w:rPr>
                <w:rFonts w:ascii="Times New Roman" w:hAnsi="Times New Roman"/>
              </w:rPr>
              <w:t xml:space="preserve">Joint Evaluation of the International Response to the Indian Ocean Tsunami </w:t>
            </w:r>
            <w:r w:rsidRPr="000925C1">
              <w:rPr>
                <w:rFonts w:ascii="Times New Roman" w:hAnsi="Times New Roman"/>
                <w:noProof/>
                <w:vertAlign w:val="superscript"/>
              </w:rPr>
              <w:t>19</w:t>
            </w:r>
          </w:p>
        </w:tc>
      </w:tr>
    </w:tbl>
    <w:p w:rsidR="000925C1" w:rsidRDefault="000925C1" w:rsidP="00123FD9">
      <w:pPr>
        <w:spacing w:before="90" w:after="90" w:line="360" w:lineRule="auto"/>
        <w:rPr>
          <w:rFonts w:ascii="Times New Roman" w:hAnsi="Times New Roman"/>
          <w:b/>
          <w:u w:val="single"/>
        </w:rPr>
      </w:pPr>
    </w:p>
    <w:p w:rsidR="004F6551" w:rsidRPr="00A55BF5" w:rsidRDefault="000925C1" w:rsidP="00123FD9">
      <w:pPr>
        <w:spacing w:before="90" w:after="90" w:line="360" w:lineRule="auto"/>
        <w:rPr>
          <w:rFonts w:ascii="Times New Roman" w:hAnsi="Times New Roman"/>
          <w:b/>
          <w:sz w:val="28"/>
        </w:rPr>
      </w:pPr>
      <w:r w:rsidRPr="00A55BF5">
        <w:rPr>
          <w:rFonts w:ascii="Times New Roman" w:hAnsi="Times New Roman"/>
          <w:b/>
          <w:sz w:val="28"/>
        </w:rPr>
        <w:t>References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International A. Accountability, Learning</w:t>
      </w:r>
      <w:r w:rsidR="00A55BF5">
        <w:rPr>
          <w:rFonts w:ascii="Times New Roman" w:hAnsi="Times New Roman"/>
          <w:noProof/>
        </w:rPr>
        <w:t>,</w:t>
      </w:r>
      <w:r w:rsidRPr="000925C1">
        <w:rPr>
          <w:rFonts w:ascii="Times New Roman" w:hAnsi="Times New Roman"/>
          <w:noProof/>
        </w:rPr>
        <w:t xml:space="preserve"> and Planning System - 2011 Update. South Africa: ActionAid International; 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2.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CBHA. Core Humanitarian Competencies Guide. Consortium of British Humanitarian Agencies; 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3.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CBHA. Core Humanitarian Competencies Framework. Consortium of British Humanitarian Agencies; 2012.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4.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DEC. DEC Accountability Framework. Disasters Emergency Committee; 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5.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Project ECB. </w:t>
      </w:r>
      <w:r w:rsidRPr="000925C1">
        <w:rPr>
          <w:rFonts w:ascii="Times New Roman" w:hAnsi="Times New Roman"/>
          <w:i/>
          <w:noProof/>
        </w:rPr>
        <w:t>Impact Measurement and Accountability in Emergencies. The Good Enough Guide.</w:t>
      </w:r>
      <w:r w:rsidRPr="000925C1">
        <w:rPr>
          <w:rFonts w:ascii="Times New Roman" w:hAnsi="Times New Roman"/>
          <w:noProof/>
        </w:rPr>
        <w:t xml:space="preserve"> Oxford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Oxfam GB; 2007.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lastRenderedPageBreak/>
        <w:t>6.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Bhattacharjee A. </w:t>
      </w:r>
      <w:r w:rsidRPr="000925C1">
        <w:rPr>
          <w:rFonts w:ascii="Times New Roman" w:hAnsi="Times New Roman"/>
          <w:i/>
          <w:noProof/>
        </w:rPr>
        <w:t>Common Humanitarian Accountability Framework for IWG Agencies.</w:t>
      </w:r>
      <w:r w:rsidRPr="000925C1">
        <w:rPr>
          <w:rFonts w:ascii="Times New Roman" w:hAnsi="Times New Roman"/>
          <w:noProof/>
        </w:rPr>
        <w:t xml:space="preserve"> Results Matter Consulting and Emergency Capacity Building Project;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2007.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7.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Donorship GH. Principles and Good Practice of Humanitarian Donorship. Stockholm</w:t>
      </w:r>
      <w:r w:rsidR="00A55BF5">
        <w:rPr>
          <w:rFonts w:ascii="Times New Roman" w:hAnsi="Times New Roman"/>
          <w:noProof/>
        </w:rPr>
        <w:t xml:space="preserve">, Sweden; </w:t>
      </w:r>
      <w:r w:rsidRPr="000925C1">
        <w:rPr>
          <w:rFonts w:ascii="Times New Roman" w:hAnsi="Times New Roman"/>
          <w:noProof/>
        </w:rPr>
        <w:t>2003.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8.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International HAP. The 2010 HAP Standard in Accountability and Quality Management. Geneva</w:t>
      </w:r>
      <w:r w:rsidR="00A55BF5">
        <w:rPr>
          <w:rFonts w:ascii="Times New Roman" w:hAnsi="Times New Roman"/>
          <w:noProof/>
        </w:rPr>
        <w:t>, Switzerland</w:t>
      </w:r>
      <w:r w:rsidRPr="000925C1">
        <w:rPr>
          <w:rFonts w:ascii="Times New Roman" w:hAnsi="Times New Roman"/>
          <w:noProof/>
        </w:rPr>
        <w:t>: HAP International; 2010.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9.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InterAction. InterAction PVO Standards. InterAction; 2013.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10.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INEE. Minimum Standards for Education in Emergencies, Chronic Crises and Early Reconstruction. London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INEE; 2004.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11.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ICRC. The Code of Conduct for the International Red Cross and Red Crescent Movement and NGOs in Disaster Relief. International Committee of the Red Cross; 1996.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12.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IMC. Accountability Framework. International Medical Corps; 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13.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Charter IA. INGO Accountability Charter Text. INGO Accountability Charter; 2005.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14.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MSF. International Activity Report 2007: Accountability - An MSF Perspective. </w:t>
      </w:r>
      <w:r w:rsidRPr="000925C1">
        <w:rPr>
          <w:rFonts w:ascii="Times New Roman" w:hAnsi="Times New Roman"/>
          <w:i/>
          <w:noProof/>
        </w:rPr>
        <w:t xml:space="preserve">International Activity Report 2007. </w:t>
      </w:r>
      <w:r w:rsidR="00A55BF5" w:rsidRPr="00A55BF5">
        <w:rPr>
          <w:rFonts w:ascii="Times New Roman" w:hAnsi="Times New Roman"/>
          <w:noProof/>
        </w:rPr>
        <w:t xml:space="preserve">Published </w:t>
      </w:r>
      <w:r w:rsidRPr="000925C1">
        <w:rPr>
          <w:rFonts w:ascii="Times New Roman" w:hAnsi="Times New Roman"/>
          <w:noProof/>
        </w:rPr>
        <w:t xml:space="preserve">2007. http://www.msf.org/international-activity-report-2007-accountability-msf-perspective. Accessed March </w:t>
      </w:r>
      <w:r w:rsidR="003D510A">
        <w:rPr>
          <w:rFonts w:ascii="Times New Roman" w:hAnsi="Times New Roman"/>
          <w:noProof/>
        </w:rPr>
        <w:t xml:space="preserve">18, </w:t>
      </w:r>
      <w:r w:rsidRPr="000925C1">
        <w:rPr>
          <w:rFonts w:ascii="Times New Roman" w:hAnsi="Times New Roman"/>
          <w:noProof/>
        </w:rPr>
        <w:t>2014.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15.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Stobbaerts E, Torrenté Nd. MSF and accountability: from global buzzwords to specific solutions. </w:t>
      </w:r>
      <w:r w:rsidRPr="000925C1">
        <w:rPr>
          <w:rFonts w:ascii="Times New Roman" w:hAnsi="Times New Roman"/>
          <w:i/>
          <w:noProof/>
        </w:rPr>
        <w:t>Humanitarian Exchange Magazine</w:t>
      </w:r>
      <w:r w:rsidRPr="000925C1">
        <w:rPr>
          <w:rFonts w:ascii="Times New Roman" w:hAnsi="Times New Roman"/>
          <w:noProof/>
        </w:rPr>
        <w:t>. London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Humanitarian Practice Network; 2008:46-49.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16.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Hammer M, Lloyd R. </w:t>
      </w:r>
      <w:r w:rsidRPr="000925C1">
        <w:rPr>
          <w:rFonts w:ascii="Times New Roman" w:hAnsi="Times New Roman"/>
          <w:i/>
          <w:noProof/>
        </w:rPr>
        <w:t xml:space="preserve">Pathways to Accountability II: The 2011 </w:t>
      </w:r>
      <w:r w:rsidR="00A55BF5">
        <w:rPr>
          <w:rFonts w:ascii="Times New Roman" w:hAnsi="Times New Roman"/>
          <w:i/>
          <w:noProof/>
        </w:rPr>
        <w:t>R</w:t>
      </w:r>
      <w:r w:rsidRPr="000925C1">
        <w:rPr>
          <w:rFonts w:ascii="Times New Roman" w:hAnsi="Times New Roman"/>
          <w:i/>
          <w:noProof/>
        </w:rPr>
        <w:t xml:space="preserve">evised Global Accountability Framework. </w:t>
      </w:r>
      <w:r w:rsidRPr="000925C1">
        <w:rPr>
          <w:rFonts w:ascii="Times New Roman" w:hAnsi="Times New Roman"/>
          <w:noProof/>
        </w:rPr>
        <w:t>London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One World Trust;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17.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Aid Pi. Code of Good Practice. London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Humanitarian Practice Network; 2003.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18.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Project TS. Humanitarian Charter and Minimum Standards in Humanitarian Response. United Kingdom: Practical Action Publishing; 2011.</w:t>
      </w:r>
    </w:p>
    <w:p w:rsidR="004F6551" w:rsidRPr="000925C1" w:rsidRDefault="004F6551" w:rsidP="00A55BF5">
      <w:pPr>
        <w:pStyle w:val="EndNoteBibliography"/>
        <w:spacing w:line="480" w:lineRule="auto"/>
        <w:ind w:left="288" w:hanging="288"/>
        <w:jc w:val="left"/>
        <w:rPr>
          <w:rFonts w:ascii="Times New Roman" w:hAnsi="Times New Roman"/>
          <w:noProof/>
        </w:rPr>
      </w:pPr>
      <w:r w:rsidRPr="000925C1">
        <w:rPr>
          <w:rFonts w:ascii="Times New Roman" w:hAnsi="Times New Roman"/>
          <w:noProof/>
        </w:rPr>
        <w:t>19.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 xml:space="preserve">Cosgrave J. </w:t>
      </w:r>
      <w:r w:rsidRPr="000925C1">
        <w:rPr>
          <w:rFonts w:ascii="Times New Roman" w:hAnsi="Times New Roman"/>
          <w:i/>
          <w:noProof/>
        </w:rPr>
        <w:t xml:space="preserve">Synthesis Report: Expanded Summary. Joint evaluation of the international response to the Indian Ocean tsunami. </w:t>
      </w:r>
      <w:r w:rsidRPr="000925C1">
        <w:rPr>
          <w:rFonts w:ascii="Times New Roman" w:hAnsi="Times New Roman"/>
          <w:noProof/>
        </w:rPr>
        <w:t>London</w:t>
      </w:r>
      <w:r w:rsidR="00A55BF5">
        <w:rPr>
          <w:rFonts w:ascii="Times New Roman" w:hAnsi="Times New Roman"/>
          <w:noProof/>
        </w:rPr>
        <w:t>, UK</w:t>
      </w:r>
      <w:r w:rsidRPr="000925C1">
        <w:rPr>
          <w:rFonts w:ascii="Times New Roman" w:hAnsi="Times New Roman"/>
          <w:noProof/>
        </w:rPr>
        <w:t>: Tsunami Evaluation Coalition;</w:t>
      </w:r>
      <w:r w:rsidR="00A55BF5">
        <w:rPr>
          <w:rFonts w:ascii="Times New Roman" w:hAnsi="Times New Roman"/>
          <w:noProof/>
        </w:rPr>
        <w:t xml:space="preserve"> </w:t>
      </w:r>
      <w:r w:rsidRPr="000925C1">
        <w:rPr>
          <w:rFonts w:ascii="Times New Roman" w:hAnsi="Times New Roman"/>
          <w:noProof/>
        </w:rPr>
        <w:t>2007.</w:t>
      </w:r>
    </w:p>
    <w:p w:rsidR="004F6551" w:rsidRPr="000925C1" w:rsidRDefault="004F6551" w:rsidP="00123FD9">
      <w:pPr>
        <w:spacing w:before="90" w:after="90" w:line="360" w:lineRule="auto"/>
        <w:rPr>
          <w:rFonts w:ascii="Times New Roman" w:hAnsi="Times New Roman"/>
        </w:rPr>
      </w:pPr>
    </w:p>
    <w:p w:rsidR="00DE7DB9" w:rsidRPr="000925C1" w:rsidRDefault="00A55BF5" w:rsidP="00123FD9">
      <w:pPr>
        <w:spacing w:before="90" w:after="90" w:line="360" w:lineRule="auto"/>
        <w:rPr>
          <w:rFonts w:ascii="Times New Roman" w:hAnsi="Times New Roman"/>
        </w:rPr>
      </w:pPr>
    </w:p>
    <w:sectPr w:rsidR="00DE7DB9" w:rsidRPr="000925C1" w:rsidSect="000925C1">
      <w:pgSz w:w="11900" w:h="16840"/>
      <w:pgMar w:top="794" w:right="851" w:bottom="794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943"/>
    <w:multiLevelType w:val="multilevel"/>
    <w:tmpl w:val="92B0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E6999"/>
    <w:multiLevelType w:val="multilevel"/>
    <w:tmpl w:val="C06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C6FA2"/>
    <w:multiLevelType w:val="multilevel"/>
    <w:tmpl w:val="C3E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207EF"/>
    <w:multiLevelType w:val="hybridMultilevel"/>
    <w:tmpl w:val="31D64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FA9"/>
    <w:multiLevelType w:val="hybridMultilevel"/>
    <w:tmpl w:val="A03212D8"/>
    <w:lvl w:ilvl="0" w:tplc="C332F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025"/>
    <w:multiLevelType w:val="hybridMultilevel"/>
    <w:tmpl w:val="6E78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80E0E"/>
    <w:multiLevelType w:val="hybridMultilevel"/>
    <w:tmpl w:val="CFC69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F0AD2"/>
    <w:multiLevelType w:val="multilevel"/>
    <w:tmpl w:val="73A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CE5DC7"/>
    <w:multiLevelType w:val="hybridMultilevel"/>
    <w:tmpl w:val="EB2E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F5D"/>
    <w:multiLevelType w:val="hybridMultilevel"/>
    <w:tmpl w:val="98EAB5BA"/>
    <w:lvl w:ilvl="0" w:tplc="C332F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5D44"/>
    <w:multiLevelType w:val="hybridMultilevel"/>
    <w:tmpl w:val="8794E3B8"/>
    <w:lvl w:ilvl="0" w:tplc="C6D8C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323E2"/>
    <w:multiLevelType w:val="hybridMultilevel"/>
    <w:tmpl w:val="E5A8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44C27"/>
    <w:multiLevelType w:val="hybridMultilevel"/>
    <w:tmpl w:val="7610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F3551"/>
    <w:multiLevelType w:val="hybridMultilevel"/>
    <w:tmpl w:val="C4D2618C"/>
    <w:lvl w:ilvl="0" w:tplc="C4547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44550C"/>
    <w:multiLevelType w:val="hybridMultilevel"/>
    <w:tmpl w:val="8B42D994"/>
    <w:lvl w:ilvl="0" w:tplc="C332F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07333"/>
    <w:multiLevelType w:val="hybridMultilevel"/>
    <w:tmpl w:val="67E2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F8"/>
    <w:multiLevelType w:val="hybridMultilevel"/>
    <w:tmpl w:val="7354F1CA"/>
    <w:lvl w:ilvl="0" w:tplc="61042BB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6"/>
  </w:num>
  <w:num w:numId="10">
    <w:abstractNumId w:val="15"/>
  </w:num>
  <w:num w:numId="11">
    <w:abstractNumId w:val="0"/>
  </w:num>
  <w:num w:numId="12">
    <w:abstractNumId w:val="10"/>
  </w:num>
  <w:num w:numId="13">
    <w:abstractNumId w:val="13"/>
  </w:num>
  <w:num w:numId="14">
    <w:abstractNumId w:val="16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F6551"/>
    <w:rsid w:val="000925C1"/>
    <w:rsid w:val="00123FD9"/>
    <w:rsid w:val="002F1912"/>
    <w:rsid w:val="003D510A"/>
    <w:rsid w:val="00471A09"/>
    <w:rsid w:val="00481CE2"/>
    <w:rsid w:val="004F6551"/>
    <w:rsid w:val="0088771E"/>
    <w:rsid w:val="00A55BF5"/>
    <w:rsid w:val="00EC23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51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rsid w:val="004F6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en-US"/>
    </w:rPr>
  </w:style>
  <w:style w:type="character" w:customStyle="1" w:styleId="Heading3Char">
    <w:name w:val="Heading 3 Char"/>
    <w:basedOn w:val="DefaultParagraphFont"/>
    <w:link w:val="Heading3"/>
    <w:rsid w:val="004F6551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4F6551"/>
  </w:style>
  <w:style w:type="paragraph" w:styleId="EndnoteText">
    <w:name w:val="endnote text"/>
    <w:basedOn w:val="Normal"/>
    <w:link w:val="EndnoteTextChar"/>
    <w:uiPriority w:val="99"/>
    <w:semiHidden/>
    <w:unhideWhenUsed/>
    <w:rsid w:val="004F655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551"/>
    <w:rPr>
      <w:rFonts w:eastAsiaTheme="minorEastAsia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F65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6551"/>
    <w:pPr>
      <w:ind w:left="720"/>
      <w:contextualSpacing/>
    </w:pPr>
  </w:style>
  <w:style w:type="paragraph" w:styleId="NormalWeb">
    <w:name w:val="Normal (Web)"/>
    <w:basedOn w:val="Normal"/>
    <w:uiPriority w:val="99"/>
    <w:rsid w:val="004F655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F6551"/>
    <w:rPr>
      <w:color w:val="0000FF" w:themeColor="hyperlink"/>
      <w:u w:val="single"/>
    </w:rPr>
  </w:style>
  <w:style w:type="table" w:styleId="TableGrid">
    <w:name w:val="Table Grid"/>
    <w:basedOn w:val="TableNormal"/>
    <w:rsid w:val="004F6551"/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F6551"/>
  </w:style>
  <w:style w:type="character" w:customStyle="1" w:styleId="FootnoteTextChar">
    <w:name w:val="Footnote Text Char"/>
    <w:basedOn w:val="DefaultParagraphFont"/>
    <w:link w:val="FootnoteText"/>
    <w:rsid w:val="004F6551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rsid w:val="004F6551"/>
    <w:rPr>
      <w:vertAlign w:val="superscript"/>
    </w:rPr>
  </w:style>
  <w:style w:type="paragraph" w:customStyle="1" w:styleId="EndNoteBibliographyTitle">
    <w:name w:val="EndNote Bibliography Title"/>
    <w:basedOn w:val="Normal"/>
    <w:rsid w:val="004F6551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4F6551"/>
    <w:pPr>
      <w:jc w:val="both"/>
    </w:pPr>
    <w:rPr>
      <w:rFonts w:ascii="Cambria" w:hAnsi="Cambria"/>
    </w:rPr>
  </w:style>
  <w:style w:type="character" w:styleId="Emphasis">
    <w:name w:val="Emphasis"/>
    <w:basedOn w:val="DefaultParagraphFont"/>
    <w:uiPriority w:val="20"/>
    <w:rsid w:val="004F6551"/>
    <w:rPr>
      <w:i/>
    </w:rPr>
  </w:style>
  <w:style w:type="character" w:styleId="CommentReference">
    <w:name w:val="annotation reference"/>
    <w:basedOn w:val="DefaultParagraphFont"/>
    <w:rsid w:val="004F65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4F6551"/>
  </w:style>
  <w:style w:type="character" w:customStyle="1" w:styleId="CommentTextChar">
    <w:name w:val="Comment Text Char"/>
    <w:basedOn w:val="DefaultParagraphFont"/>
    <w:link w:val="CommentText"/>
    <w:rsid w:val="004F6551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F65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65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F6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6551"/>
    <w:rPr>
      <w:rFonts w:ascii="Lucida Grande" w:eastAsiaTheme="minorEastAsia" w:hAnsi="Lucida Grande" w:cs="Lucida Grande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3493</Characters>
  <Application>Microsoft Office Word</Application>
  <DocSecurity>0</DocSecurity>
  <Lines>29</Lines>
  <Paragraphs>8</Paragraphs>
  <ScaleCrop>false</ScaleCrop>
  <Company>Toshiba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Tan</dc:creator>
  <cp:lastModifiedBy>Ellen</cp:lastModifiedBy>
  <cp:revision>3</cp:revision>
  <dcterms:created xsi:type="dcterms:W3CDTF">2015-01-06T20:18:00Z</dcterms:created>
  <dcterms:modified xsi:type="dcterms:W3CDTF">2015-02-04T18:51:00Z</dcterms:modified>
</cp:coreProperties>
</file>