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125"/>
        <w:gridCol w:w="1080"/>
        <w:gridCol w:w="1350"/>
        <w:gridCol w:w="1170"/>
      </w:tblGrid>
      <w:tr w:rsidR="00373CDC" w:rsidRPr="00373CDC" w14:paraId="3FD1F157" w14:textId="77777777" w:rsidTr="00FB31AB">
        <w:trPr>
          <w:trHeight w:val="440"/>
        </w:trPr>
        <w:tc>
          <w:tcPr>
            <w:tcW w:w="10170" w:type="dxa"/>
            <w:gridSpan w:val="5"/>
            <w:shd w:val="clear" w:color="auto" w:fill="auto"/>
            <w:vAlign w:val="center"/>
          </w:tcPr>
          <w:p w14:paraId="1AF839E6" w14:textId="1B1F3596" w:rsidR="00373CDC" w:rsidRPr="00FB31AB" w:rsidRDefault="00373CDC" w:rsidP="00FB31AB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373CDC">
              <w:rPr>
                <w:rFonts w:ascii="Times New Roman" w:hAnsi="Times New Roman" w:cs="Times New Roman"/>
                <w:lang w:val="en-US"/>
              </w:rPr>
              <w:t>Annex 1.  Proxy indicators and sub-indexes in the four assessed indexes</w:t>
            </w:r>
          </w:p>
        </w:tc>
      </w:tr>
      <w:tr w:rsidR="00F6706D" w:rsidRPr="00373CDC" w14:paraId="313D3934" w14:textId="77777777" w:rsidTr="00FB31AB">
        <w:trPr>
          <w:trHeight w:val="932"/>
        </w:trPr>
        <w:tc>
          <w:tcPr>
            <w:tcW w:w="5445" w:type="dxa"/>
            <w:shd w:val="clear" w:color="000000" w:fill="DCE6F1"/>
            <w:vAlign w:val="center"/>
            <w:hideMark/>
          </w:tcPr>
          <w:p w14:paraId="4D02C7B0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Type of indicators/measurements</w:t>
            </w:r>
          </w:p>
        </w:tc>
        <w:tc>
          <w:tcPr>
            <w:tcW w:w="1125" w:type="dxa"/>
            <w:shd w:val="clear" w:color="000000" w:fill="DCE6F1"/>
            <w:vAlign w:val="center"/>
            <w:hideMark/>
          </w:tcPr>
          <w:p w14:paraId="7EB39003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7eed-KI</w:t>
            </w:r>
          </w:p>
        </w:tc>
        <w:tc>
          <w:tcPr>
            <w:tcW w:w="1080" w:type="dxa"/>
            <w:shd w:val="clear" w:color="000000" w:fill="DCE6F1"/>
            <w:vAlign w:val="center"/>
            <w:hideMark/>
          </w:tcPr>
          <w:p w14:paraId="49A8C491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GNA</w:t>
            </w:r>
          </w:p>
        </w:tc>
        <w:tc>
          <w:tcPr>
            <w:tcW w:w="1350" w:type="dxa"/>
            <w:shd w:val="clear" w:color="000000" w:fill="DCE6F1"/>
            <w:vAlign w:val="center"/>
            <w:hideMark/>
          </w:tcPr>
          <w:p w14:paraId="6A89C3B8" w14:textId="13CB1E13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GDACS earthquake</w:t>
            </w:r>
          </w:p>
        </w:tc>
        <w:tc>
          <w:tcPr>
            <w:tcW w:w="1170" w:type="dxa"/>
            <w:shd w:val="clear" w:color="000000" w:fill="DCE6F1"/>
            <w:vAlign w:val="center"/>
            <w:hideMark/>
          </w:tcPr>
          <w:p w14:paraId="51EDF783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INFORM</w:t>
            </w:r>
          </w:p>
        </w:tc>
      </w:tr>
      <w:tr w:rsidR="005E15C4" w:rsidRPr="00373CDC" w14:paraId="20B469AB" w14:textId="77777777" w:rsidTr="00FB31AB">
        <w:trPr>
          <w:trHeight w:val="252"/>
        </w:trPr>
        <w:tc>
          <w:tcPr>
            <w:tcW w:w="10170" w:type="dxa"/>
            <w:gridSpan w:val="5"/>
            <w:shd w:val="clear" w:color="auto" w:fill="auto"/>
            <w:noWrap/>
            <w:vAlign w:val="bottom"/>
          </w:tcPr>
          <w:p w14:paraId="73AF21E6" w14:textId="28ED9A0E" w:rsidR="005E15C4" w:rsidRPr="00373CDC" w:rsidRDefault="005E15C4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 xml:space="preserve">V: Vulnerability, O: Outcome, M: Magnitude, E: Exposure, C: Coping </w:t>
            </w:r>
          </w:p>
        </w:tc>
      </w:tr>
      <w:tr w:rsidR="00F6706D" w:rsidRPr="00373CDC" w14:paraId="76059495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14C846DA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GNI per inhabitant on PPP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252CD32" w14:textId="0F510105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96D341" w14:textId="0060EA90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332128" w14:textId="7A08B2D0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02C7EB3" w14:textId="38E82E4D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68DE1612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4F220633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Mortality rate, U5/ 1000 live  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754A5EC" w14:textId="7BD6B3EA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6E2EF1" w14:textId="65412A06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F0BB614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E867FB4" w14:textId="707B14A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123D439B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2B01B025" w14:textId="2C8B8D5B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Literacy adult as proportion of &gt;14y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ACF3BBA" w14:textId="341303BF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3348ED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9819DC3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5F34F7C" w14:textId="49A2B9DB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6F8BB993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53575904" w14:textId="67AB2A88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Malnutrition weight for age as proportion of U5 population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8FEC1C6" w14:textId="3BD52195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5CA22B" w14:textId="2086C9DA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CC63246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122CFD3" w14:textId="3B557D92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3E394494" w14:textId="77777777" w:rsidTr="00FB31AB">
        <w:trPr>
          <w:trHeight w:val="331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5E5B3A21" w14:textId="00BAAFC2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Number Uprooted</w:t>
            </w:r>
            <w:r w:rsidR="00BC0062"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in million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CD1FC65" w14:textId="1143E948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CCAAEC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CC5FFDF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94EC71B" w14:textId="7730B6EB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01EE1293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3608BF94" w14:textId="3401604C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Uprooted people as proportion of pop (</w:t>
            </w:r>
            <w:r w:rsidR="00BC0062"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internally displaced, </w:t>
            </w: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refug</w:t>
            </w:r>
            <w:r w:rsidR="00BC0062"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ees</w:t>
            </w: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, return</w:t>
            </w:r>
            <w:r w:rsidR="00BC0062"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ees</w:t>
            </w: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8AA5421" w14:textId="775CD1F1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6A34C8" w14:textId="731D8433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A779860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8BD518B" w14:textId="2A08B69C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00E69DA2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254B330C" w14:textId="72568379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Number affected/in need often in million in million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0F21C31" w14:textId="115C884A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30638E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2684409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202CFB1" w14:textId="67C382D2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276944AE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2A3A0BA5" w14:textId="424DF9CE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Proportion of affected/in need of the total population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FDD90D6" w14:textId="5ED21D21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0A2331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F4EEE6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5354372" w14:textId="4BEA6662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7377D05A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0C7CA001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Human development index (HDI)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4130335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6ECE9E" w14:textId="4D81B393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DF92605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140F15A" w14:textId="4E6C1574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76E601E7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5680F18C" w14:textId="63EE0D5F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Multidimensional poverty index 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BBF7495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E8411B" w14:textId="79D1EBEC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B16A5DD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618F7C5" w14:textId="1FD849D1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6A49B84D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70E3E3BD" w14:textId="062BD2A6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Access to health care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1A4CE5B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8D6D45" w14:textId="2829C79E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EA5E5C6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67A3B82" w14:textId="3BAA7084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6AEE48A7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29304627" w14:textId="793E16D9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Prevalence of HIV-AIDS, tuberculosis and malaria 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C001A63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012818" w14:textId="0A8A94A3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66C22A5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975E565" w14:textId="7F30AC8B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4FB167BA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52661D43" w14:textId="45750A05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Gender Inequality Index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27D7114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67C8A9" w14:textId="1B7327DF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589BE4E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513B271" w14:textId="18EFDF1C" w:rsidR="00F6706D" w:rsidRPr="00373CDC" w:rsidRDefault="005E15C4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48602459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63E519C5" w14:textId="64FB4CDC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GINI - index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71A742E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E7EBD6" w14:textId="793C4236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4F7CDB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EE6693D" w14:textId="03592AC7" w:rsidR="00F6706D" w:rsidRPr="00373CDC" w:rsidRDefault="005E15C4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005C5214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2B5F4658" w14:textId="1C04E566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Specific Crisis index - own specific scoring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11A79E9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C38E3F" w14:textId="6A2789E0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C350657" w14:textId="7777777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1D981FB" w14:textId="203711D1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381E9A0F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70C57F36" w14:textId="313FDEEB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Earthquake magnitude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3AE326D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D178E8" w14:textId="167E3348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B18390A" w14:textId="2778AA5F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M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4A71007" w14:textId="6160D2C8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6ADE7666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0909102A" w14:textId="4BD3A5D0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Earthquake depth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BBDBF26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5AEEDE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08AA13A" w14:textId="74A3B1E4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M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74B9D4D" w14:textId="75954161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19071DCF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737128AE" w14:textId="31494DF6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Height of wave, m (tsunami)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7327E57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25B56F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AE3766" w14:textId="0AC7443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M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6F2BB45" w14:textId="5D9B4600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7048EEBF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</w:tcPr>
          <w:p w14:paraId="4FBB799D" w14:textId="424ACD59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Number of</w:t>
            </w:r>
            <w:bookmarkStart w:id="0" w:name="_GoBack"/>
            <w:bookmarkEnd w:id="0"/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gramStart"/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population</w:t>
            </w:r>
            <w:proofErr w:type="gramEnd"/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within 100 km of epicentre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14:paraId="66356CCD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A9BDC7A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865EC4B" w14:textId="369F66FF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E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ADF97D" w14:textId="3C478294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00A779AB" w14:textId="77777777" w:rsidTr="00FB31AB">
        <w:trPr>
          <w:trHeight w:val="328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410F5C93" w14:textId="54910245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GNA index for vulnerability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55F4D18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1D5574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46424C5" w14:textId="47CFDFED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B4A193" w14:textId="671B89D2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</w:tr>
      <w:tr w:rsidR="00F6706D" w:rsidRPr="00373CDC" w14:paraId="14E5467A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0965C8B0" w14:textId="2B0C1594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HIIKs annual Conflict Barometer national and subnational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0D0ADB4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A49ADA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5D5431C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B6B0D2D" w14:textId="61AAB98D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E</w:t>
            </w:r>
          </w:p>
        </w:tc>
      </w:tr>
      <w:tr w:rsidR="00F6706D" w:rsidRPr="00373CDC" w14:paraId="32585E8B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3ACD629B" w14:textId="4138821C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Global Conflict Risk Index,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44C9532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04848B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D5D9931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3CE09BD" w14:textId="437779E8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E</w:t>
            </w:r>
          </w:p>
        </w:tc>
      </w:tr>
      <w:tr w:rsidR="00F6706D" w:rsidRPr="00373CDC" w14:paraId="4C3E459C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032FCDE5" w14:textId="204E3C34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Several Natural disaster risk assessments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BFA8409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A82FCE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33EB6D9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51D331B" w14:textId="7F4B7112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E</w:t>
            </w:r>
          </w:p>
        </w:tc>
      </w:tr>
      <w:tr w:rsidR="00F6706D" w:rsidRPr="00373CDC" w14:paraId="04B24409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0C01515C" w14:textId="74F9B864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Development aid/capita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99AE82D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C9D134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76B7CF9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357410" w14:textId="374AF546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1FFBD58F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45E8C5EA" w14:textId="54756EFC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Net ODA received (as % of GDP)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DFD8823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5C704B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F4CD552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7C4B261" w14:textId="71C4A870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4D2A941D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1B3C9546" w14:textId="1466C9A5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Recent shocks - % of total population affected by natural disasters in 3 recent years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E3750BE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2174F6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D90BAD6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D1F19B9" w14:textId="3BEFAED9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55EF246A" w14:textId="77777777" w:rsidTr="00FB31AB">
        <w:trPr>
          <w:trHeight w:val="23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7581086E" w14:textId="44C759DA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Average Dietary Energy Supply Adequacy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22D5360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E48DF9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E276C4A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9C6426D" w14:textId="0C40F064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7044B9CA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5C0A2F7B" w14:textId="581E31A1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Domestic Food Price Volatility Index 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DCC6C63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66B840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B7687C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420FADD" w14:textId="1A3900EE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V</w:t>
            </w:r>
          </w:p>
        </w:tc>
      </w:tr>
      <w:tr w:rsidR="00F6706D" w:rsidRPr="00373CDC" w14:paraId="0E9B60CC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17985B7E" w14:textId="3013EA3A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Access to Electricity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AFAB3D5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D1E206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4D8CC62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9B923B3" w14:textId="586AEE2A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77FE2EC4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79DD329F" w14:textId="6E695160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Internet Users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5EBE6AA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FCC6A0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D5CAAD0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E276297" w14:textId="3A220940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3A2873C5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6D551567" w14:textId="6BC63D96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Mobile Cellular Subscriptions Adult Literacy Rate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4230886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0B0379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4913077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DBF979E" w14:textId="45104E5F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1079DF93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3CEE31A5" w14:textId="364BAA10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Roads Density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8F3620F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058821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B443A0D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8A51741" w14:textId="6CA460DE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2E9B0E31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2E82BE67" w14:textId="22808D9D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Access to Improved Water Source (or use)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8CF5181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76A4C4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69BEA6B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A93AE86" w14:textId="1F2C262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310EF687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0D7C3A88" w14:textId="6C8E79B6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Access to Improved Sanitation Facilities (or use)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1DE26E1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867DC5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C93EE78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226AEDB" w14:textId="21C52C5E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3694417F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26147342" w14:textId="71D0C115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Physicians Density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9967920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B1ABC6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179B2D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0D06A8B" w14:textId="5A6B357B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23DCDDAE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70A1674C" w14:textId="4C61A375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Health Expenditure per capita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B04B75B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FB1BDC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68C63B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AB16E30" w14:textId="4B64555E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1AD51C16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6B3113EB" w14:textId="5184BB18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Measles Immunization Coverage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4D60D4D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C92CFF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AD00D4C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A70F789" w14:textId="216ADDB1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1B139E7B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7CA33F3F" w14:textId="2CE7439D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Hyogo Framework for Action Scores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DBE4A20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2E7961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F34A38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7F4F2CE" w14:textId="50191C27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41D214E8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5AB39FC3" w14:textId="2DB01A4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lastRenderedPageBreak/>
              <w:t>Government Effectiveness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804D5D4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8C05A0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2C09C47" w14:textId="77777777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841727E" w14:textId="0B6FA454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  <w:tr w:rsidR="00F6706D" w:rsidRPr="00373CDC" w14:paraId="448383ED" w14:textId="77777777" w:rsidTr="00FB31AB">
        <w:trPr>
          <w:trHeight w:val="252"/>
        </w:trPr>
        <w:tc>
          <w:tcPr>
            <w:tcW w:w="5445" w:type="dxa"/>
            <w:shd w:val="clear" w:color="auto" w:fill="auto"/>
            <w:noWrap/>
            <w:vAlign w:val="bottom"/>
            <w:hideMark/>
          </w:tcPr>
          <w:p w14:paraId="3378DD8D" w14:textId="54FEB403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Corruption Perception Index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ED838D3" w14:textId="78F993AA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08BEE3" w14:textId="169D6623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8FC1D6" w14:textId="2C147634" w:rsidR="00F6706D" w:rsidRPr="00373CDC" w:rsidRDefault="00F6706D" w:rsidP="00FB31A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A081E6A" w14:textId="62E70F6D" w:rsidR="00F6706D" w:rsidRPr="00373CDC" w:rsidRDefault="00F6706D" w:rsidP="00FB31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</w:pPr>
            <w:r w:rsidRPr="00373CDC">
              <w:rPr>
                <w:rFonts w:ascii="Times New Roman" w:eastAsia="Times New Roman" w:hAnsi="Times New Roman" w:cs="Times New Roman"/>
                <w:i/>
                <w:color w:val="000000"/>
                <w:lang w:val="en-GB"/>
              </w:rPr>
              <w:t>C</w:t>
            </w:r>
          </w:p>
        </w:tc>
      </w:tr>
    </w:tbl>
    <w:p w14:paraId="0DEDD10C" w14:textId="77777777" w:rsidR="005E15C4" w:rsidRPr="00373CDC" w:rsidRDefault="005E15C4" w:rsidP="00FB31AB">
      <w:pPr>
        <w:rPr>
          <w:rFonts w:ascii="Times New Roman" w:hAnsi="Times New Roman" w:cs="Times New Roman"/>
          <w:lang w:val="en-GB"/>
        </w:rPr>
      </w:pPr>
    </w:p>
    <w:p w14:paraId="5C7A3554" w14:textId="4015560F" w:rsidR="00074CBB" w:rsidRPr="00373CDC" w:rsidRDefault="0037694B" w:rsidP="00FB31AB">
      <w:pPr>
        <w:rPr>
          <w:rFonts w:ascii="Times New Roman" w:hAnsi="Times New Roman" w:cs="Times New Roman"/>
          <w:lang w:val="en-GB"/>
        </w:rPr>
      </w:pPr>
      <w:r w:rsidRPr="00373CDC">
        <w:rPr>
          <w:rFonts w:ascii="Times New Roman" w:hAnsi="Times New Roman" w:cs="Times New Roman"/>
          <w:lang w:val="en-GB"/>
        </w:rPr>
        <w:t xml:space="preserve">The indexes tended to change the proxy-indicators and sub-indexes between years. As GNA no longer was produced after 2015, GDAC Earthquake alerts changed from the use of GNA as a proxy for vulnerability to INFORM’s vulnerability sub-score. From late 2017 the GDACs earthquake alert again changed to INFORM’s coping capacity sub-score and in addition included </w:t>
      </w:r>
      <w:r w:rsidRPr="00373CDC">
        <w:rPr>
          <w:rFonts w:ascii="Times New Roman" w:hAnsi="Times New Roman" w:cs="Times New Roman"/>
          <w:lang w:val="en-US"/>
        </w:rPr>
        <w:t xml:space="preserve">USGS shake maps as a measurement of magnitude.  </w:t>
      </w:r>
    </w:p>
    <w:sectPr w:rsidR="00074CBB" w:rsidRPr="00373CDC" w:rsidSect="00074C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6A28" w14:textId="77777777" w:rsidR="00716570" w:rsidRDefault="00716570" w:rsidP="00B25FD2">
      <w:r>
        <w:separator/>
      </w:r>
    </w:p>
  </w:endnote>
  <w:endnote w:type="continuationSeparator" w:id="0">
    <w:p w14:paraId="7B7FDA0C" w14:textId="77777777" w:rsidR="00716570" w:rsidRDefault="00716570" w:rsidP="00B2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AD84" w14:textId="77777777" w:rsidR="00716570" w:rsidRDefault="00716570" w:rsidP="00B25FD2">
      <w:r>
        <w:separator/>
      </w:r>
    </w:p>
  </w:footnote>
  <w:footnote w:type="continuationSeparator" w:id="0">
    <w:p w14:paraId="2FD0193F" w14:textId="77777777" w:rsidR="00716570" w:rsidRDefault="00716570" w:rsidP="00B2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BB"/>
    <w:rsid w:val="00044867"/>
    <w:rsid w:val="00074CBB"/>
    <w:rsid w:val="00074DFC"/>
    <w:rsid w:val="000B03A3"/>
    <w:rsid w:val="000B214B"/>
    <w:rsid w:val="001030BC"/>
    <w:rsid w:val="00151D58"/>
    <w:rsid w:val="001528E6"/>
    <w:rsid w:val="00166585"/>
    <w:rsid w:val="0019772C"/>
    <w:rsid w:val="001C240D"/>
    <w:rsid w:val="0029584F"/>
    <w:rsid w:val="002B2BE0"/>
    <w:rsid w:val="002E523E"/>
    <w:rsid w:val="0033370E"/>
    <w:rsid w:val="00372D33"/>
    <w:rsid w:val="00373CDC"/>
    <w:rsid w:val="00375AC6"/>
    <w:rsid w:val="0037694B"/>
    <w:rsid w:val="00382E28"/>
    <w:rsid w:val="003A056B"/>
    <w:rsid w:val="003D449F"/>
    <w:rsid w:val="00433A6A"/>
    <w:rsid w:val="0046241A"/>
    <w:rsid w:val="004B1865"/>
    <w:rsid w:val="004C2B07"/>
    <w:rsid w:val="004D2B21"/>
    <w:rsid w:val="004E60BB"/>
    <w:rsid w:val="004F3689"/>
    <w:rsid w:val="005004F1"/>
    <w:rsid w:val="00556DC8"/>
    <w:rsid w:val="0059034F"/>
    <w:rsid w:val="005A342D"/>
    <w:rsid w:val="005A630C"/>
    <w:rsid w:val="005E0894"/>
    <w:rsid w:val="005E15C4"/>
    <w:rsid w:val="0062518D"/>
    <w:rsid w:val="00636109"/>
    <w:rsid w:val="00654866"/>
    <w:rsid w:val="006D2D34"/>
    <w:rsid w:val="006E2558"/>
    <w:rsid w:val="00705829"/>
    <w:rsid w:val="00716570"/>
    <w:rsid w:val="007428AE"/>
    <w:rsid w:val="007C21AB"/>
    <w:rsid w:val="007E563F"/>
    <w:rsid w:val="007E5B15"/>
    <w:rsid w:val="008900CC"/>
    <w:rsid w:val="008A636C"/>
    <w:rsid w:val="008A6A8C"/>
    <w:rsid w:val="009025C2"/>
    <w:rsid w:val="009347D9"/>
    <w:rsid w:val="009619D5"/>
    <w:rsid w:val="0096263F"/>
    <w:rsid w:val="009A61E5"/>
    <w:rsid w:val="00A03A6D"/>
    <w:rsid w:val="00A2625B"/>
    <w:rsid w:val="00A8571B"/>
    <w:rsid w:val="00A871E2"/>
    <w:rsid w:val="00AA4A6F"/>
    <w:rsid w:val="00B24820"/>
    <w:rsid w:val="00B25FD2"/>
    <w:rsid w:val="00B54577"/>
    <w:rsid w:val="00B73635"/>
    <w:rsid w:val="00BA0C1F"/>
    <w:rsid w:val="00BC0062"/>
    <w:rsid w:val="00BC00D4"/>
    <w:rsid w:val="00C76C1B"/>
    <w:rsid w:val="00C96723"/>
    <w:rsid w:val="00CD00AB"/>
    <w:rsid w:val="00CE37EE"/>
    <w:rsid w:val="00CF0A97"/>
    <w:rsid w:val="00CF6CA6"/>
    <w:rsid w:val="00D200EC"/>
    <w:rsid w:val="00D42D83"/>
    <w:rsid w:val="00D54EAB"/>
    <w:rsid w:val="00D55D75"/>
    <w:rsid w:val="00D67117"/>
    <w:rsid w:val="00D67EA0"/>
    <w:rsid w:val="00DD0A39"/>
    <w:rsid w:val="00DF2EBD"/>
    <w:rsid w:val="00E235D6"/>
    <w:rsid w:val="00E62137"/>
    <w:rsid w:val="00E64570"/>
    <w:rsid w:val="00EB0C12"/>
    <w:rsid w:val="00EB51E6"/>
    <w:rsid w:val="00ED0319"/>
    <w:rsid w:val="00F43A85"/>
    <w:rsid w:val="00F55980"/>
    <w:rsid w:val="00F6706D"/>
    <w:rsid w:val="00F814FA"/>
    <w:rsid w:val="00F865C5"/>
    <w:rsid w:val="00FB31AB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3577"/>
  <w15:chartTrackingRefBased/>
  <w15:docId w15:val="{B77F3C91-642D-D140-A32A-0A1B2D1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F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D2"/>
  </w:style>
  <w:style w:type="paragraph" w:styleId="Footer">
    <w:name w:val="footer"/>
    <w:basedOn w:val="Normal"/>
    <w:link w:val="FooterChar"/>
    <w:uiPriority w:val="99"/>
    <w:unhideWhenUsed/>
    <w:rsid w:val="00B25F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Eriksson</dc:creator>
  <cp:keywords/>
  <dc:description/>
  <cp:lastModifiedBy>Ellen Johnson</cp:lastModifiedBy>
  <cp:revision>3</cp:revision>
  <dcterms:created xsi:type="dcterms:W3CDTF">2019-12-17T18:48:00Z</dcterms:created>
  <dcterms:modified xsi:type="dcterms:W3CDTF">2020-01-28T18:41:00Z</dcterms:modified>
</cp:coreProperties>
</file>