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E852B" w14:textId="26526968" w:rsidR="00EE7578" w:rsidRDefault="006F5262">
      <w:r>
        <w:t>Supplementary Material 1: Variable development</w:t>
      </w:r>
    </w:p>
    <w:p w14:paraId="6D8EFE96" w14:textId="77777777" w:rsidR="006F5262" w:rsidRPr="009D003E" w:rsidRDefault="006F5262" w:rsidP="006F5262">
      <w:pPr>
        <w:pStyle w:val="Heading5"/>
        <w:spacing w:line="480" w:lineRule="auto"/>
        <w:rPr>
          <w:rFonts w:ascii="Times New Roman" w:hAnsi="Times New Roman" w:cs="Times New Roman"/>
        </w:rPr>
      </w:pPr>
      <w:r w:rsidRPr="009D003E">
        <w:rPr>
          <w:rFonts w:ascii="Times New Roman" w:hAnsi="Times New Roman" w:cs="Times New Roman"/>
        </w:rPr>
        <w:t>Colleague preparedness</w:t>
      </w:r>
    </w:p>
    <w:p w14:paraId="21C99FA7" w14:textId="77777777" w:rsidR="006F5262" w:rsidRPr="009D003E" w:rsidRDefault="006F5262" w:rsidP="006F5262">
      <w:pPr>
        <w:spacing w:line="480" w:lineRule="auto"/>
        <w:jc w:val="both"/>
        <w:rPr>
          <w:rFonts w:cs="Times New Roman"/>
        </w:rPr>
      </w:pPr>
      <w:r w:rsidRPr="009D003E">
        <w:rPr>
          <w:rFonts w:cs="Times New Roman"/>
        </w:rPr>
        <w:t>Participants were asked to rate the preparedness of their colleagues on a 5-point Likert scale from 1 (</w:t>
      </w:r>
      <w:r w:rsidRPr="009D003E">
        <w:rPr>
          <w:rFonts w:cs="Times New Roman"/>
          <w:i/>
          <w:iCs/>
        </w:rPr>
        <w:t>not at all prepared</w:t>
      </w:r>
      <w:r w:rsidRPr="009D003E">
        <w:rPr>
          <w:rFonts w:cs="Times New Roman"/>
        </w:rPr>
        <w:t>) to 5 (</w:t>
      </w:r>
      <w:r w:rsidRPr="009D003E">
        <w:rPr>
          <w:rFonts w:cs="Times New Roman"/>
          <w:i/>
          <w:iCs/>
        </w:rPr>
        <w:t>very prepared</w:t>
      </w:r>
      <w:r w:rsidRPr="009D003E">
        <w:rPr>
          <w:rFonts w:cs="Times New Roman"/>
        </w:rPr>
        <w:t xml:space="preserve">). Participants were required to use this scale to assess the preparedness of their 1) pharmacy colleagues, 2) other health professionals they worked with, 3) their supervisor or manager, and 4) the company or institute they worked for. These ratings from each participant were added together to create a new variable ‘colleague preparedness’. The lowest score that could be awarded for colleague preparedness was 4 (all colleagues assessed as ‘not at all prepared’), while the maximum score could be up to 20 (all colleagues assessed as ‘very prepared’). </w:t>
      </w:r>
    </w:p>
    <w:p w14:paraId="42A275D3" w14:textId="7B277414" w:rsidR="006F5262" w:rsidRPr="006F5262" w:rsidRDefault="006F5262">
      <w:pPr>
        <w:rPr>
          <w:b/>
          <w:bCs/>
        </w:rPr>
      </w:pPr>
      <w:r w:rsidRPr="006F5262">
        <w:rPr>
          <w:b/>
          <w:bCs/>
        </w:rPr>
        <w:t>Exploratory Factor Analysis</w:t>
      </w:r>
    </w:p>
    <w:p w14:paraId="77B4CFE7" w14:textId="77777777" w:rsidR="006F5262" w:rsidRDefault="006F5262" w:rsidP="006F5262">
      <w:pPr>
        <w:spacing w:line="480" w:lineRule="auto"/>
        <w:rPr>
          <w:rFonts w:cs="Times New Roman"/>
        </w:rPr>
      </w:pPr>
      <w:r w:rsidRPr="006F5262">
        <w:rPr>
          <w:rFonts w:cs="Times New Roman"/>
        </w:rPr>
        <w:t xml:space="preserve">In total seven factors were created 1) ‘overall preparedness’, 2) ‘self-efficacy’, 3) ‘protective response costs’, 4) ‘threat appraisal’, 5) ‘health care responsibility’, 6) ‘professional responsibility and sense of community’, and 7) ‘trust of information sources’. </w:t>
      </w:r>
    </w:p>
    <w:p w14:paraId="10F051DE" w14:textId="1F96BB60" w:rsidR="006F5262" w:rsidRPr="009D003E" w:rsidRDefault="006F5262" w:rsidP="006F5262">
      <w:pPr>
        <w:spacing w:line="480" w:lineRule="auto"/>
        <w:rPr>
          <w:rFonts w:cs="Times New Roman"/>
        </w:rPr>
      </w:pPr>
      <w:r w:rsidRPr="009D003E">
        <w:rPr>
          <w:rFonts w:cs="Times New Roman"/>
        </w:rPr>
        <w:t>For all EFA conducted as part of this research the following was observed. Firstly, all items correlated ≥0.3 with at least one other item, suggesting reasonable factorability. Factorability is the assumption that there are at least some correlations amongst the variables so that coherent factors can be identified.</w:t>
      </w:r>
      <w:bookmarkStart w:id="0" w:name="_GoBack"/>
      <w:bookmarkEnd w:id="0"/>
      <w:r w:rsidRPr="009D003E">
        <w:rPr>
          <w:rFonts w:cs="Times New Roman"/>
        </w:rPr>
        <w:t xml:space="preserve"> A correlation coefficient of ≥0.3 indicates the generally accepted minimal correlation required for EFA to be performed. The determinants of the correlation matrixes were greater than zero indicating that there was no multicollinearity in the data. Secondly, the Kaiser-Myer-Olkin (KMO) measure of sampling adequacy was above the commonly recommended value of 0.6 for all EFA run. Bartlett’s test of sphericity was significant, and all communalities were above 0.3, further confirming that each item shared some common variance with other items.</w:t>
      </w:r>
      <w:r w:rsidRPr="009D003E">
        <w:rPr>
          <w:rFonts w:cs="Times New Roman"/>
        </w:rPr>
        <w:t xml:space="preserve"> </w:t>
      </w:r>
    </w:p>
    <w:p w14:paraId="032C7346" w14:textId="01A168D7" w:rsidR="006F5262" w:rsidRPr="006F5262" w:rsidRDefault="006F5262" w:rsidP="006F5262">
      <w:pPr>
        <w:pStyle w:val="Heading5"/>
        <w:spacing w:line="480" w:lineRule="auto"/>
        <w:rPr>
          <w:rFonts w:asciiTheme="minorHAnsi" w:eastAsiaTheme="minorHAnsi" w:hAnsiTheme="minorHAnsi" w:cs="Times New Roman"/>
          <w:color w:val="auto"/>
          <w:sz w:val="22"/>
        </w:rPr>
      </w:pPr>
    </w:p>
    <w:p w14:paraId="57935C34" w14:textId="08496821" w:rsidR="006F5262" w:rsidRPr="009D003E" w:rsidRDefault="006F5262" w:rsidP="006F5262">
      <w:pPr>
        <w:pStyle w:val="Heading5"/>
        <w:spacing w:line="480" w:lineRule="auto"/>
        <w:rPr>
          <w:rFonts w:ascii="Times New Roman" w:hAnsi="Times New Roman" w:cs="Times New Roman"/>
        </w:rPr>
      </w:pPr>
      <w:r w:rsidRPr="009D003E">
        <w:rPr>
          <w:rFonts w:ascii="Times New Roman" w:hAnsi="Times New Roman" w:cs="Times New Roman"/>
        </w:rPr>
        <w:t>Self-efficacy</w:t>
      </w:r>
    </w:p>
    <w:p w14:paraId="4B451F31" w14:textId="77777777" w:rsidR="006F5262" w:rsidRPr="009D003E" w:rsidRDefault="006F5262" w:rsidP="006F5262">
      <w:pPr>
        <w:spacing w:line="480" w:lineRule="auto"/>
        <w:rPr>
          <w:rFonts w:cs="Times New Roman"/>
        </w:rPr>
      </w:pPr>
      <w:r w:rsidRPr="009D003E">
        <w:rPr>
          <w:rFonts w:cs="Times New Roman"/>
        </w:rPr>
        <w:t>‘Self-efficacy’ is the ability of a participant to produce a desired result.</w:t>
      </w:r>
      <w:r w:rsidRPr="009D003E">
        <w:rPr>
          <w:rFonts w:cs="Times New Roman"/>
        </w:rPr>
        <w:fldChar w:fldCharType="begin"/>
      </w:r>
      <w:r w:rsidRPr="009D003E">
        <w:rPr>
          <w:rFonts w:cs="Times New Roman"/>
        </w:rPr>
        <w:instrText xml:space="preserve"> ADDIN EN.CITE &lt;EndNote&gt;&lt;Cite&gt;&lt;Author&gt;Corwin&lt;/Author&gt;&lt;Year&gt;2017&lt;/Year&gt;&lt;RecNum&gt;21&lt;/RecNum&gt;&lt;DisplayText&gt;&lt;style face="superscript"&gt;13&lt;/style&gt;&lt;/DisplayText&gt;&lt;record&gt;&lt;rec-number&gt;21&lt;/rec-number&gt;&lt;foreign-keys&gt;&lt;key app="EN" db-id="pxaz9d9dq5p9xxeae9dxvffdwzdet059e59p" timestamp="1591127380"&gt;21&lt;/key&gt;&lt;/foreign-keys&gt;&lt;ref-type name="Journal Article"&gt;17&lt;/ref-type&gt;&lt;contributors&gt;&lt;authors&gt;&lt;author&gt;Corwin, Kimberley A.&lt;/author&gt;&lt;author&gt;Brand, Brittany D.&lt;/author&gt;&lt;author&gt;Hubbard, Monica L.&lt;/author&gt;&lt;author&gt;Johnston, David M.&lt;/author&gt;&lt;/authors&gt;&lt;/contributors&gt;&lt;titles&gt;&lt;title&gt;Household preparedness motivation in lahar hazard zones: assessing the adoption of preparedness behaviors among laypeople and response professionals in communities downstream from Mount Baker and Glacier Peak (USA) volcanoes&lt;/title&gt;&lt;secondary-title&gt;Journal of Applied Volcanology&lt;/secondary-title&gt;&lt;/titles&gt;&lt;periodical&gt;&lt;full-title&gt;Journal of Applied Volcanology&lt;/full-title&gt;&lt;/periodical&gt;&lt;volume&gt;6&lt;/volume&gt;&lt;number&gt;1&lt;/number&gt;&lt;dates&gt;&lt;year&gt;2017&lt;/year&gt;&lt;/dates&gt;&lt;isbn&gt;2191-5040&lt;/isbn&gt;&lt;urls&gt;&lt;/urls&gt;&lt;electronic-resource-num&gt;10.1186/s13617-017-0055-8&lt;/electronic-resource-num&gt;&lt;/record&gt;&lt;/Cite&gt;&lt;/EndNote&gt;</w:instrText>
      </w:r>
      <w:r w:rsidRPr="009D003E">
        <w:rPr>
          <w:rFonts w:cs="Times New Roman"/>
        </w:rPr>
        <w:fldChar w:fldCharType="separate"/>
      </w:r>
      <w:r w:rsidRPr="009D003E">
        <w:rPr>
          <w:rFonts w:cs="Times New Roman"/>
          <w:noProof/>
          <w:vertAlign w:val="superscript"/>
        </w:rPr>
        <w:t>13</w:t>
      </w:r>
      <w:r w:rsidRPr="009D003E">
        <w:rPr>
          <w:rFonts w:cs="Times New Roman"/>
        </w:rPr>
        <w:fldChar w:fldCharType="end"/>
      </w:r>
      <w:r w:rsidRPr="009D003E">
        <w:rPr>
          <w:rFonts w:cs="Times New Roman"/>
        </w:rPr>
        <w:t xml:space="preserve"> For this research the ‘desired result’ was for pharmacists to be prepared for a disaster, able to practise in a disaster aftermath, and able to keep their primary place of practice open and operational in the aftermath of an event. The factor ‘self-efficacy’ consisted of participants assessments of their knowledge skills and abilities to prepare themselves, practise as a pharmacist, keep their place of practice open, know how to practice, anticipate problems, and adapt work practices in a disaster aftermath. </w:t>
      </w:r>
    </w:p>
    <w:p w14:paraId="35CA6EA6" w14:textId="77777777" w:rsidR="006F5262" w:rsidRPr="009D003E" w:rsidRDefault="006F5262" w:rsidP="006F5262">
      <w:pPr>
        <w:pStyle w:val="Heading5"/>
        <w:spacing w:line="480" w:lineRule="auto"/>
        <w:rPr>
          <w:rFonts w:ascii="Times New Roman" w:hAnsi="Times New Roman" w:cs="Times New Roman"/>
        </w:rPr>
      </w:pPr>
      <w:r w:rsidRPr="009D003E">
        <w:rPr>
          <w:rFonts w:ascii="Times New Roman" w:hAnsi="Times New Roman" w:cs="Times New Roman"/>
        </w:rPr>
        <w:t>Protective response costs</w:t>
      </w:r>
    </w:p>
    <w:p w14:paraId="32039399" w14:textId="77777777" w:rsidR="006F5262" w:rsidRPr="009D003E" w:rsidRDefault="006F5262" w:rsidP="006F5262">
      <w:pPr>
        <w:spacing w:line="480" w:lineRule="auto"/>
        <w:rPr>
          <w:rFonts w:cs="Times New Roman"/>
        </w:rPr>
      </w:pPr>
      <w:r w:rsidRPr="009D003E">
        <w:rPr>
          <w:rFonts w:cs="Times New Roman"/>
        </w:rPr>
        <w:t>‘Protective response costs’ were the perceived costs of undertaking a preparedness activity.</w:t>
      </w:r>
      <w:r w:rsidRPr="009D003E">
        <w:rPr>
          <w:rFonts w:cs="Times New Roman"/>
        </w:rPr>
        <w:fldChar w:fldCharType="begin"/>
      </w:r>
      <w:r w:rsidRPr="009D003E">
        <w:rPr>
          <w:rFonts w:cs="Times New Roman"/>
        </w:rPr>
        <w:instrText xml:space="preserve"> ADDIN EN.CITE &lt;EndNote&gt;&lt;Cite&gt;&lt;Author&gt;Becker&lt;/Author&gt;&lt;Year&gt;2014&lt;/Year&gt;&lt;RecNum&gt;11&lt;/RecNum&gt;&lt;DisplayText&gt;&lt;style face="superscript"&gt;22&lt;/style&gt;&lt;/DisplayText&gt;&lt;record&gt;&lt;rec-number&gt;11&lt;/rec-number&gt;&lt;foreign-keys&gt;&lt;key app="EN" db-id="pxaz9d9dq5p9xxeae9dxvffdwzdet059e59p" timestamp="1579847002"&gt;11&lt;/key&gt;&lt;/foreign-keys&gt;&lt;ref-type name="Journal Article"&gt;17&lt;/ref-type&gt;&lt;contributors&gt;&lt;authors&gt;&lt;author&gt;Becker, G.&lt;/author&gt;&lt;author&gt;Aerts, J. C. J. H.&lt;/author&gt;&lt;author&gt;Huitema, D.&lt;/author&gt;&lt;/authors&gt;&lt;/contributors&gt;&lt;titles&gt;&lt;title&gt;Influence of flood risk perception and other factors on risk-reducing behaviour: a survey of municipalities along the Rhine&lt;/title&gt;&lt;secondary-title&gt;Journal of Flood Risk Management&lt;/secondary-title&gt;&lt;/titles&gt;&lt;periodical&gt;&lt;full-title&gt;Journal of Flood Risk Management&lt;/full-title&gt;&lt;/periodical&gt;&lt;pages&gt;16-30&lt;/pages&gt;&lt;volume&gt;7&lt;/volume&gt;&lt;number&gt;1&lt;/number&gt;&lt;dates&gt;&lt;year&gt;2014&lt;/year&gt;&lt;/dates&gt;&lt;isbn&gt;1753318X&lt;/isbn&gt;&lt;urls&gt;&lt;/urls&gt;&lt;electronic-resource-num&gt;10.1111/jfr3.12025&lt;/electronic-resource-num&gt;&lt;/record&gt;&lt;/Cite&gt;&lt;/EndNote&gt;</w:instrText>
      </w:r>
      <w:r w:rsidRPr="009D003E">
        <w:rPr>
          <w:rFonts w:cs="Times New Roman"/>
        </w:rPr>
        <w:fldChar w:fldCharType="separate"/>
      </w:r>
      <w:r w:rsidRPr="009D003E">
        <w:rPr>
          <w:rFonts w:cs="Times New Roman"/>
          <w:noProof/>
          <w:vertAlign w:val="superscript"/>
        </w:rPr>
        <w:t>22</w:t>
      </w:r>
      <w:r w:rsidRPr="009D003E">
        <w:rPr>
          <w:rFonts w:cs="Times New Roman"/>
        </w:rPr>
        <w:fldChar w:fldCharType="end"/>
      </w:r>
      <w:r w:rsidRPr="009D003E">
        <w:rPr>
          <w:rFonts w:cs="Times New Roman"/>
        </w:rPr>
        <w:t xml:space="preserve"> For this research costs related to time, money, knowledge and skills, effort, and supports available that were required to prepare oneself, or one’s primary place of practice for a disaster. ‘Protective response costs’ consisted of three factors ‘time, money, effort’, ‘supports’, and ‘knowledge and </w:t>
      </w:r>
      <w:proofErr w:type="gramStart"/>
      <w:r w:rsidRPr="009D003E">
        <w:rPr>
          <w:rFonts w:cs="Times New Roman"/>
        </w:rPr>
        <w:t>skills’</w:t>
      </w:r>
      <w:proofErr w:type="gramEnd"/>
      <w:r w:rsidRPr="009D003E">
        <w:rPr>
          <w:rFonts w:cs="Times New Roman"/>
        </w:rPr>
        <w:t xml:space="preserve">. These factors consisted of participants assessments of the time, money, effort, knowledge and skills, and support availability to prepare themselves and their primary place of practice for a disaster. </w:t>
      </w:r>
    </w:p>
    <w:p w14:paraId="4E421E63" w14:textId="77777777" w:rsidR="006F5262" w:rsidRPr="009D003E" w:rsidRDefault="006F5262" w:rsidP="006F5262">
      <w:pPr>
        <w:pStyle w:val="Heading5"/>
        <w:spacing w:line="480" w:lineRule="auto"/>
        <w:rPr>
          <w:rFonts w:ascii="Times New Roman" w:hAnsi="Times New Roman" w:cs="Times New Roman"/>
        </w:rPr>
      </w:pPr>
      <w:r w:rsidRPr="009D003E">
        <w:rPr>
          <w:rFonts w:ascii="Times New Roman" w:hAnsi="Times New Roman" w:cs="Times New Roman"/>
        </w:rPr>
        <w:t>Threat appraisal</w:t>
      </w:r>
    </w:p>
    <w:p w14:paraId="59949295" w14:textId="77777777" w:rsidR="006F5262" w:rsidRPr="009D003E" w:rsidRDefault="006F5262" w:rsidP="006F5262">
      <w:pPr>
        <w:spacing w:line="480" w:lineRule="auto"/>
        <w:rPr>
          <w:rFonts w:cs="Times New Roman"/>
        </w:rPr>
      </w:pPr>
      <w:r w:rsidRPr="009D003E">
        <w:rPr>
          <w:rFonts w:cs="Times New Roman"/>
        </w:rPr>
        <w:t>‘Threat appraisal’ is the assessment of a disaster event occurring and its effect on an individual.</w:t>
      </w:r>
      <w:r w:rsidRPr="009D003E">
        <w:rPr>
          <w:rFonts w:cs="Times New Roman"/>
        </w:rPr>
        <w:fldChar w:fldCharType="begin"/>
      </w:r>
      <w:r w:rsidRPr="009D003E">
        <w:rPr>
          <w:rFonts w:cs="Times New Roman"/>
        </w:rPr>
        <w:instrText xml:space="preserve"> ADDIN EN.CITE &lt;EndNote&gt;&lt;Cite&gt;&lt;Author&gt;Maddux&lt;/Author&gt;&lt;Year&gt;1983&lt;/Year&gt;&lt;RecNum&gt;28&lt;/RecNum&gt;&lt;DisplayText&gt;&lt;style face="superscript"&gt;23&lt;/style&gt;&lt;/DisplayText&gt;&lt;record&gt;&lt;rec-number&gt;28&lt;/rec-number&gt;&lt;foreign-keys&gt;&lt;key app="EN" db-id="pxaz9d9dq5p9xxeae9dxvffdwzdet059e59p" timestamp="1595897524"&gt;28&lt;/key&gt;&lt;/foreign-keys&gt;&lt;ref-type name="Journal Article"&gt;17&lt;/ref-type&gt;&lt;contributors&gt;&lt;authors&gt;&lt;author&gt;Maddux, James E.&lt;/author&gt;&lt;author&gt;Rogers, Ronald W.&lt;/author&gt;&lt;/authors&gt;&lt;/contributors&gt;&lt;titles&gt;&lt;title&gt;Protection motivation and self-efficacy: A revised theory of fear appeals and attitude change&lt;/title&gt;&lt;secondary-title&gt;Journal of Experimental Social Psychology&lt;/secondary-title&gt;&lt;/titles&gt;&lt;periodical&gt;&lt;full-title&gt;Journal of Experimental Social Psychology&lt;/full-title&gt;&lt;/periodical&gt;&lt;pages&gt;469-479&lt;/pages&gt;&lt;volume&gt;19&lt;/volume&gt;&lt;number&gt;5&lt;/number&gt;&lt;dates&gt;&lt;year&gt;1983&lt;/year&gt;&lt;/dates&gt;&lt;isbn&gt;00221031&lt;/isbn&gt;&lt;urls&gt;&lt;/urls&gt;&lt;electronic-resource-num&gt;10.1016/0022-1031(83)90023-9&lt;/electronic-resource-num&gt;&lt;/record&gt;&lt;/Cite&gt;&lt;/EndNote&gt;</w:instrText>
      </w:r>
      <w:r w:rsidRPr="009D003E">
        <w:rPr>
          <w:rFonts w:cs="Times New Roman"/>
        </w:rPr>
        <w:fldChar w:fldCharType="separate"/>
      </w:r>
      <w:r w:rsidRPr="009D003E">
        <w:rPr>
          <w:rFonts w:cs="Times New Roman"/>
          <w:noProof/>
          <w:vertAlign w:val="superscript"/>
        </w:rPr>
        <w:t>23</w:t>
      </w:r>
      <w:r w:rsidRPr="009D003E">
        <w:rPr>
          <w:rFonts w:cs="Times New Roman"/>
        </w:rPr>
        <w:fldChar w:fldCharType="end"/>
      </w:r>
      <w:r w:rsidRPr="009D003E">
        <w:rPr>
          <w:rFonts w:cs="Times New Roman"/>
        </w:rPr>
        <w:t xml:space="preserve"> ‘Threat appraisal’ consisted of three factors, ‘fear of disaster’, ‘likelihood of disaster’, and ‘severity of damage’. These factors consisted of participants assessments of their fear, the likelihood, and the believed severity of a disaster event on themselves, their primary place of practice, and their local community. </w:t>
      </w:r>
    </w:p>
    <w:p w14:paraId="33C83712" w14:textId="77777777" w:rsidR="006F5262" w:rsidRPr="009D003E" w:rsidRDefault="006F5262" w:rsidP="006F5262">
      <w:pPr>
        <w:pStyle w:val="Heading5"/>
        <w:spacing w:line="480" w:lineRule="auto"/>
        <w:rPr>
          <w:rFonts w:ascii="Times New Roman" w:hAnsi="Times New Roman" w:cs="Times New Roman"/>
        </w:rPr>
      </w:pPr>
      <w:r w:rsidRPr="009D003E">
        <w:rPr>
          <w:rFonts w:ascii="Times New Roman" w:hAnsi="Times New Roman" w:cs="Times New Roman"/>
        </w:rPr>
        <w:t>Health care responsibility</w:t>
      </w:r>
    </w:p>
    <w:p w14:paraId="22F57852" w14:textId="77777777" w:rsidR="006F5262" w:rsidRPr="009D003E" w:rsidRDefault="006F5262" w:rsidP="006F5262">
      <w:pPr>
        <w:spacing w:line="480" w:lineRule="auto"/>
        <w:rPr>
          <w:rFonts w:cs="Times New Roman"/>
        </w:rPr>
      </w:pPr>
      <w:r w:rsidRPr="009D003E">
        <w:rPr>
          <w:rFonts w:cs="Times New Roman"/>
        </w:rPr>
        <w:t xml:space="preserve">‘Health care responsibility’ consisted of two factors ‘institutes’ responsibility’ and ‘profession’s responsibility’. ‘Institutes’ responsibility’ consisted of participants belief of the responsibility of relief </w:t>
      </w:r>
      <w:r w:rsidRPr="009D003E">
        <w:rPr>
          <w:rFonts w:cs="Times New Roman"/>
        </w:rPr>
        <w:lastRenderedPageBreak/>
        <w:t xml:space="preserve">agencies, Defence Australia, local emergency services, and hospitals to provide ongoing healthcare to their community in a disaster aftermath. ‘Profession’s responsibility’ consisted of participants’ belief of the responsibility of community pharmacists, hospital pharmacists, and general practitioners to provide ongoing healthcare to their community in a disaster aftermath. </w:t>
      </w:r>
    </w:p>
    <w:p w14:paraId="3E159FE8" w14:textId="77777777" w:rsidR="006F5262" w:rsidRPr="009D003E" w:rsidRDefault="006F5262" w:rsidP="006F5262">
      <w:pPr>
        <w:pStyle w:val="Heading5"/>
        <w:spacing w:line="480" w:lineRule="auto"/>
        <w:rPr>
          <w:rFonts w:ascii="Times New Roman" w:hAnsi="Times New Roman" w:cs="Times New Roman"/>
        </w:rPr>
      </w:pPr>
      <w:r w:rsidRPr="009D003E">
        <w:rPr>
          <w:rFonts w:ascii="Times New Roman" w:hAnsi="Times New Roman" w:cs="Times New Roman"/>
        </w:rPr>
        <w:t>Professional responsibility and sense of community</w:t>
      </w:r>
    </w:p>
    <w:p w14:paraId="5EA45102" w14:textId="77777777" w:rsidR="006F5262" w:rsidRPr="009D003E" w:rsidRDefault="006F5262" w:rsidP="006F5262">
      <w:pPr>
        <w:spacing w:line="480" w:lineRule="auto"/>
        <w:rPr>
          <w:rFonts w:cs="Times New Roman"/>
        </w:rPr>
      </w:pPr>
      <w:r w:rsidRPr="009D003E">
        <w:rPr>
          <w:rFonts w:cs="Times New Roman"/>
        </w:rPr>
        <w:t xml:space="preserve">‘Professional responsibility and sense of community’ consisted of two factors, ‘professional responsibility’ and ‘sense of community at work’. ‘Professional responsibility’ consisted of participants’ assessment of their responsibility to prepare themselves and their primary place of practice for a disaster, their perceived professional expectations in a disaster aftermath, and their belief that they could contribute positively in a disaster aftermath to the health of their community.  ‘Sense of community at work’ consisted of participants’ sense of community among their colleagues and where their primary place of practice was located. </w:t>
      </w:r>
    </w:p>
    <w:p w14:paraId="60C4AFBD" w14:textId="77777777" w:rsidR="006F5262" w:rsidRPr="009D003E" w:rsidRDefault="006F5262" w:rsidP="006F5262">
      <w:pPr>
        <w:pStyle w:val="Heading5"/>
        <w:spacing w:line="480" w:lineRule="auto"/>
        <w:rPr>
          <w:rFonts w:ascii="Times New Roman" w:hAnsi="Times New Roman" w:cs="Times New Roman"/>
        </w:rPr>
      </w:pPr>
      <w:r w:rsidRPr="009D003E">
        <w:rPr>
          <w:rFonts w:ascii="Times New Roman" w:hAnsi="Times New Roman" w:cs="Times New Roman"/>
        </w:rPr>
        <w:t>Trust of information sources</w:t>
      </w:r>
    </w:p>
    <w:p w14:paraId="7496C2B8" w14:textId="77777777" w:rsidR="006F5262" w:rsidRPr="009D003E" w:rsidRDefault="006F5262" w:rsidP="006F5262">
      <w:pPr>
        <w:spacing w:line="480" w:lineRule="auto"/>
        <w:rPr>
          <w:rFonts w:cs="Times New Roman"/>
        </w:rPr>
      </w:pPr>
      <w:r w:rsidRPr="009D003E">
        <w:rPr>
          <w:rFonts w:cs="Times New Roman"/>
        </w:rPr>
        <w:t xml:space="preserve">‘Trust of information sources’ consisted of two factors, ‘trust of external sources’ and ‘trust of </w:t>
      </w:r>
      <w:proofErr w:type="gramStart"/>
      <w:r w:rsidRPr="009D003E">
        <w:rPr>
          <w:rFonts w:cs="Times New Roman"/>
        </w:rPr>
        <w:t>superiors’</w:t>
      </w:r>
      <w:proofErr w:type="gramEnd"/>
      <w:r w:rsidRPr="009D003E">
        <w:rPr>
          <w:rFonts w:cs="Times New Roman"/>
        </w:rPr>
        <w:t xml:space="preserve">. These factors were made up of participants’ level of trust in their superiors at their place of work or officials and pharmacy associations to provide information and timely instruction and advice in a disaster aftermath. </w:t>
      </w:r>
    </w:p>
    <w:p w14:paraId="417C45ED" w14:textId="77777777" w:rsidR="006F5262" w:rsidRDefault="006F5262"/>
    <w:sectPr w:rsidR="006F5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20"/>
    <w:rsid w:val="003C6902"/>
    <w:rsid w:val="004974A8"/>
    <w:rsid w:val="006F5262"/>
    <w:rsid w:val="00856C5B"/>
    <w:rsid w:val="00C75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42BE"/>
  <w15:chartTrackingRefBased/>
  <w15:docId w15:val="{3FECECB5-96F3-4BAA-A2D6-3356DB3D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6F5262"/>
    <w:pPr>
      <w:keepNext/>
      <w:keepLines/>
      <w:spacing w:before="40" w:after="0"/>
      <w:outlineLvl w:val="4"/>
    </w:pPr>
    <w:rPr>
      <w:rFonts w:asciiTheme="majorHAnsi" w:eastAsiaTheme="majorEastAsia" w:hAnsiTheme="majorHAnsi"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F5262"/>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McCourt</dc:creator>
  <cp:keywords/>
  <dc:description/>
  <cp:lastModifiedBy>Elizabeth McCourt</cp:lastModifiedBy>
  <cp:revision>2</cp:revision>
  <dcterms:created xsi:type="dcterms:W3CDTF">2020-10-01T04:39:00Z</dcterms:created>
  <dcterms:modified xsi:type="dcterms:W3CDTF">2020-10-01T05:35:00Z</dcterms:modified>
</cp:coreProperties>
</file>