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CDC7F" w14:textId="77777777" w:rsidR="00F308DD" w:rsidRDefault="00632F41" w:rsidP="00F2274D">
      <w:pPr>
        <w:pBdr>
          <w:top w:val="nil"/>
          <w:left w:val="nil"/>
          <w:bottom w:val="nil"/>
          <w:right w:val="nil"/>
          <w:between w:val="nil"/>
        </w:pBdr>
        <w:spacing w:before="120" w:line="240" w:lineRule="auto"/>
        <w:ind w:left="1" w:hanging="3"/>
        <w:jc w:val="center"/>
        <w:rPr>
          <w:rFonts w:ascii="Cambria" w:eastAsia="Cambria" w:hAnsi="Cambria" w:cs="Cambria"/>
          <w:b/>
          <w:color w:val="000000"/>
        </w:rPr>
      </w:pPr>
      <w:r>
        <w:rPr>
          <w:rFonts w:ascii="Cambria" w:eastAsia="Cambria" w:hAnsi="Cambria" w:cs="Cambria"/>
          <w:b/>
          <w:color w:val="000000"/>
          <w:sz w:val="32"/>
          <w:szCs w:val="32"/>
        </w:rPr>
        <w:t>CONSORT 2010 checklist of information to include when reporting a randomised trial</w:t>
      </w:r>
      <w:r>
        <w:rPr>
          <w:rFonts w:ascii="Cambria" w:eastAsia="Cambria" w:hAnsi="Cambria" w:cs="Cambria"/>
          <w:b/>
          <w:color w:val="000000"/>
        </w:rPr>
        <w:t>*</w:t>
      </w:r>
    </w:p>
    <w:p w14:paraId="3283B16E" w14:textId="77777777" w:rsidR="00F308DD" w:rsidRDefault="00F308DD" w:rsidP="00F2274D">
      <w:pPr>
        <w:pBdr>
          <w:top w:val="nil"/>
          <w:left w:val="nil"/>
          <w:bottom w:val="nil"/>
          <w:right w:val="nil"/>
          <w:between w:val="nil"/>
        </w:pBdr>
        <w:tabs>
          <w:tab w:val="left" w:pos="2160"/>
        </w:tabs>
        <w:spacing w:before="120" w:line="240" w:lineRule="auto"/>
        <w:jc w:val="center"/>
        <w:rPr>
          <w:rFonts w:ascii="Cambria" w:eastAsia="Cambria" w:hAnsi="Cambria" w:cs="Cambria"/>
          <w:b/>
          <w:color w:val="000000"/>
          <w:sz w:val="8"/>
          <w:szCs w:val="8"/>
        </w:rPr>
      </w:pPr>
    </w:p>
    <w:tbl>
      <w:tblPr>
        <w:tblStyle w:val="TableGrid"/>
        <w:tblW w:w="15498" w:type="dxa"/>
        <w:tblLayout w:type="fixed"/>
        <w:tblLook w:val="0000" w:firstRow="0" w:lastRow="0" w:firstColumn="0" w:lastColumn="0" w:noHBand="0" w:noVBand="0"/>
      </w:tblPr>
      <w:tblGrid>
        <w:gridCol w:w="2088"/>
        <w:gridCol w:w="720"/>
        <w:gridCol w:w="11070"/>
        <w:gridCol w:w="1620"/>
      </w:tblGrid>
      <w:tr w:rsidR="00F308DD" w14:paraId="28177650" w14:textId="77777777" w:rsidTr="00265FBD">
        <w:tc>
          <w:tcPr>
            <w:tcW w:w="2088" w:type="dxa"/>
          </w:tcPr>
          <w:p w14:paraId="013A92C5" w14:textId="77777777" w:rsidR="00F308DD" w:rsidRDefault="00632F41" w:rsidP="00F2274D">
            <w:pPr>
              <w:pBdr>
                <w:top w:val="nil"/>
                <w:left w:val="nil"/>
                <w:bottom w:val="nil"/>
                <w:right w:val="nil"/>
                <w:between w:val="nil"/>
              </w:pBdr>
              <w:spacing w:before="120" w:line="240" w:lineRule="auto"/>
              <w:ind w:left="0" w:hanging="2"/>
              <w:rPr>
                <w:rFonts w:ascii="Arial" w:eastAsia="Arial" w:hAnsi="Arial" w:cs="Arial"/>
                <w:b/>
                <w:color w:val="000000"/>
              </w:rPr>
            </w:pPr>
            <w:r>
              <w:rPr>
                <w:rFonts w:ascii="Arial" w:eastAsia="Arial" w:hAnsi="Arial" w:cs="Arial"/>
                <w:b/>
                <w:color w:val="000000"/>
              </w:rPr>
              <w:t>Section/Topic</w:t>
            </w:r>
          </w:p>
        </w:tc>
        <w:tc>
          <w:tcPr>
            <w:tcW w:w="720" w:type="dxa"/>
          </w:tcPr>
          <w:p w14:paraId="3F1D3FD2" w14:textId="77777777" w:rsidR="00F308DD" w:rsidRDefault="00632F41" w:rsidP="00F2274D">
            <w:pPr>
              <w:pBdr>
                <w:top w:val="nil"/>
                <w:left w:val="nil"/>
                <w:bottom w:val="nil"/>
                <w:right w:val="nil"/>
                <w:between w:val="nil"/>
              </w:pBdr>
              <w:spacing w:before="120" w:line="240" w:lineRule="auto"/>
              <w:ind w:left="0" w:hanging="2"/>
              <w:jc w:val="center"/>
              <w:rPr>
                <w:rFonts w:ascii="Arial" w:eastAsia="Arial" w:hAnsi="Arial" w:cs="Arial"/>
                <w:b/>
                <w:color w:val="000000"/>
              </w:rPr>
            </w:pPr>
            <w:r>
              <w:rPr>
                <w:rFonts w:ascii="Arial" w:eastAsia="Arial" w:hAnsi="Arial" w:cs="Arial"/>
                <w:b/>
                <w:color w:val="000000"/>
              </w:rPr>
              <w:t>Item No</w:t>
            </w:r>
          </w:p>
        </w:tc>
        <w:tc>
          <w:tcPr>
            <w:tcW w:w="11070" w:type="dxa"/>
          </w:tcPr>
          <w:p w14:paraId="6026343A" w14:textId="77777777" w:rsidR="00F308DD" w:rsidRDefault="00632F41" w:rsidP="00F2274D">
            <w:pPr>
              <w:pBdr>
                <w:top w:val="nil"/>
                <w:left w:val="nil"/>
                <w:bottom w:val="nil"/>
                <w:right w:val="nil"/>
                <w:between w:val="nil"/>
              </w:pBdr>
              <w:spacing w:before="120" w:line="240" w:lineRule="auto"/>
              <w:ind w:left="0" w:hanging="2"/>
              <w:rPr>
                <w:rFonts w:ascii="Arial" w:eastAsia="Arial" w:hAnsi="Arial" w:cs="Arial"/>
                <w:b/>
                <w:color w:val="000000"/>
              </w:rPr>
            </w:pPr>
            <w:r>
              <w:rPr>
                <w:rFonts w:ascii="Arial" w:eastAsia="Arial" w:hAnsi="Arial" w:cs="Arial"/>
                <w:b/>
                <w:color w:val="000000"/>
              </w:rPr>
              <w:t>Checklist item</w:t>
            </w:r>
          </w:p>
        </w:tc>
        <w:tc>
          <w:tcPr>
            <w:tcW w:w="1620" w:type="dxa"/>
          </w:tcPr>
          <w:p w14:paraId="34AE91AD" w14:textId="77777777" w:rsidR="00F308DD" w:rsidRDefault="00632F41" w:rsidP="00F2274D">
            <w:pPr>
              <w:pBdr>
                <w:top w:val="nil"/>
                <w:left w:val="nil"/>
                <w:bottom w:val="nil"/>
                <w:right w:val="nil"/>
                <w:between w:val="nil"/>
              </w:pBdr>
              <w:spacing w:before="120" w:line="240" w:lineRule="auto"/>
              <w:ind w:left="0" w:hanging="2"/>
              <w:jc w:val="center"/>
              <w:rPr>
                <w:rFonts w:ascii="Arial" w:eastAsia="Arial" w:hAnsi="Arial" w:cs="Arial"/>
                <w:b/>
                <w:color w:val="000000"/>
              </w:rPr>
            </w:pPr>
            <w:r>
              <w:rPr>
                <w:rFonts w:ascii="Arial" w:eastAsia="Arial" w:hAnsi="Arial" w:cs="Arial"/>
                <w:b/>
                <w:color w:val="000000"/>
              </w:rPr>
              <w:t>Reported on page No</w:t>
            </w:r>
          </w:p>
        </w:tc>
      </w:tr>
      <w:tr w:rsidR="00F308DD" w14:paraId="7497CC3B" w14:textId="77777777" w:rsidTr="00265FBD">
        <w:tc>
          <w:tcPr>
            <w:tcW w:w="15498" w:type="dxa"/>
            <w:gridSpan w:val="4"/>
          </w:tcPr>
          <w:p w14:paraId="27229416" w14:textId="77777777" w:rsidR="00F308DD" w:rsidRDefault="00632F41" w:rsidP="00F2274D">
            <w:pPr>
              <w:pBdr>
                <w:top w:val="nil"/>
                <w:left w:val="nil"/>
                <w:bottom w:val="nil"/>
                <w:right w:val="nil"/>
                <w:between w:val="nil"/>
              </w:pBdr>
              <w:spacing w:before="120" w:line="240" w:lineRule="auto"/>
              <w:ind w:left="0" w:hanging="2"/>
              <w:rPr>
                <w:rFonts w:ascii="Arial" w:eastAsia="Arial" w:hAnsi="Arial" w:cs="Arial"/>
                <w:b/>
                <w:color w:val="000000"/>
                <w:sz w:val="22"/>
                <w:szCs w:val="22"/>
              </w:rPr>
            </w:pPr>
            <w:r>
              <w:rPr>
                <w:rFonts w:ascii="Arial" w:eastAsia="Arial" w:hAnsi="Arial" w:cs="Arial"/>
                <w:b/>
                <w:color w:val="000000"/>
                <w:sz w:val="22"/>
                <w:szCs w:val="22"/>
              </w:rPr>
              <w:t>Title and abstract</w:t>
            </w:r>
          </w:p>
        </w:tc>
      </w:tr>
      <w:tr w:rsidR="00F308DD" w14:paraId="1D4764C9" w14:textId="77777777" w:rsidTr="00265FBD">
        <w:tc>
          <w:tcPr>
            <w:tcW w:w="2088" w:type="dxa"/>
            <w:vMerge w:val="restart"/>
          </w:tcPr>
          <w:p w14:paraId="7E82F522" w14:textId="77777777" w:rsidR="00F308DD" w:rsidRDefault="00F308DD" w:rsidP="00F2274D">
            <w:pPr>
              <w:ind w:left="0" w:hanging="2"/>
              <w:rPr>
                <w:rFonts w:ascii="Arial" w:eastAsia="Arial" w:hAnsi="Arial" w:cs="Arial"/>
                <w:sz w:val="22"/>
                <w:szCs w:val="22"/>
              </w:rPr>
            </w:pPr>
          </w:p>
        </w:tc>
        <w:tc>
          <w:tcPr>
            <w:tcW w:w="720" w:type="dxa"/>
          </w:tcPr>
          <w:p w14:paraId="01030361"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1a</w:t>
            </w:r>
          </w:p>
        </w:tc>
        <w:tc>
          <w:tcPr>
            <w:tcW w:w="11070" w:type="dxa"/>
          </w:tcPr>
          <w:p w14:paraId="6BA5549C"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Identification as a randomised trial in the title</w:t>
            </w:r>
          </w:p>
        </w:tc>
        <w:tc>
          <w:tcPr>
            <w:tcW w:w="1620" w:type="dxa"/>
          </w:tcPr>
          <w:p w14:paraId="40ABE39A"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1</w:t>
            </w:r>
          </w:p>
        </w:tc>
      </w:tr>
      <w:tr w:rsidR="00F308DD" w14:paraId="7015DF16" w14:textId="77777777" w:rsidTr="00265FBD">
        <w:tc>
          <w:tcPr>
            <w:tcW w:w="2088" w:type="dxa"/>
            <w:vMerge/>
          </w:tcPr>
          <w:p w14:paraId="56F244B1" w14:textId="77777777" w:rsidR="00F308DD" w:rsidRDefault="00F308DD" w:rsidP="00F2274D">
            <w:pPr>
              <w:widowControl w:val="0"/>
              <w:pBdr>
                <w:top w:val="nil"/>
                <w:left w:val="nil"/>
                <w:bottom w:val="nil"/>
                <w:right w:val="nil"/>
                <w:between w:val="nil"/>
              </w:pBdr>
              <w:spacing w:line="276" w:lineRule="auto"/>
              <w:ind w:left="0" w:hanging="2"/>
              <w:rPr>
                <w:rFonts w:ascii="Arial" w:eastAsia="Arial" w:hAnsi="Arial" w:cs="Arial"/>
                <w:sz w:val="22"/>
                <w:szCs w:val="22"/>
              </w:rPr>
            </w:pPr>
          </w:p>
        </w:tc>
        <w:tc>
          <w:tcPr>
            <w:tcW w:w="720" w:type="dxa"/>
          </w:tcPr>
          <w:p w14:paraId="274213B1"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1b</w:t>
            </w:r>
          </w:p>
        </w:tc>
        <w:tc>
          <w:tcPr>
            <w:tcW w:w="11070" w:type="dxa"/>
          </w:tcPr>
          <w:p w14:paraId="2CFA3B87"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 xml:space="preserve">Structured summary of trial design, methods, results, and conclusions </w:t>
            </w:r>
            <w:r>
              <w:rPr>
                <w:rFonts w:ascii="Arial" w:eastAsia="Arial" w:hAnsi="Arial" w:cs="Arial"/>
                <w:sz w:val="16"/>
                <w:szCs w:val="16"/>
              </w:rPr>
              <w:t>(for specific guidance see CONSORT for abstracts)</w:t>
            </w:r>
          </w:p>
        </w:tc>
        <w:tc>
          <w:tcPr>
            <w:tcW w:w="1620" w:type="dxa"/>
          </w:tcPr>
          <w:p w14:paraId="16CA75CC"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1</w:t>
            </w:r>
          </w:p>
        </w:tc>
      </w:tr>
      <w:tr w:rsidR="00F308DD" w14:paraId="5E6578F8" w14:textId="77777777" w:rsidTr="00265FBD">
        <w:tc>
          <w:tcPr>
            <w:tcW w:w="15498" w:type="dxa"/>
            <w:gridSpan w:val="4"/>
          </w:tcPr>
          <w:p w14:paraId="121C2FE1" w14:textId="77777777" w:rsidR="00F308DD" w:rsidRDefault="00632F41" w:rsidP="00F2274D">
            <w:pPr>
              <w:pBdr>
                <w:top w:val="nil"/>
                <w:left w:val="nil"/>
                <w:bottom w:val="nil"/>
                <w:right w:val="nil"/>
                <w:between w:val="nil"/>
              </w:pBdr>
              <w:spacing w:before="120" w:line="240" w:lineRule="auto"/>
              <w:ind w:left="0" w:hanging="2"/>
              <w:rPr>
                <w:rFonts w:ascii="Arial" w:eastAsia="Arial" w:hAnsi="Arial" w:cs="Arial"/>
                <w:b/>
                <w:color w:val="000000"/>
                <w:sz w:val="22"/>
                <w:szCs w:val="22"/>
              </w:rPr>
            </w:pPr>
            <w:r>
              <w:rPr>
                <w:rFonts w:ascii="Arial" w:eastAsia="Arial" w:hAnsi="Arial" w:cs="Arial"/>
                <w:b/>
                <w:color w:val="000000"/>
                <w:sz w:val="22"/>
                <w:szCs w:val="22"/>
              </w:rPr>
              <w:t>Introduction</w:t>
            </w:r>
          </w:p>
        </w:tc>
      </w:tr>
      <w:tr w:rsidR="00F308DD" w14:paraId="2CB7303C" w14:textId="77777777" w:rsidTr="00265FBD">
        <w:tc>
          <w:tcPr>
            <w:tcW w:w="2088" w:type="dxa"/>
            <w:vMerge w:val="restart"/>
          </w:tcPr>
          <w:p w14:paraId="75DE9EB4"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Background and objectives</w:t>
            </w:r>
          </w:p>
        </w:tc>
        <w:tc>
          <w:tcPr>
            <w:tcW w:w="720" w:type="dxa"/>
          </w:tcPr>
          <w:p w14:paraId="787B4CB5"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2a</w:t>
            </w:r>
          </w:p>
        </w:tc>
        <w:tc>
          <w:tcPr>
            <w:tcW w:w="11070" w:type="dxa"/>
          </w:tcPr>
          <w:p w14:paraId="2D3ABC8F"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Scientific background and explanation of rationale</w:t>
            </w:r>
          </w:p>
        </w:tc>
        <w:tc>
          <w:tcPr>
            <w:tcW w:w="1620" w:type="dxa"/>
          </w:tcPr>
          <w:p w14:paraId="416076B7" w14:textId="77777777" w:rsidR="00F308DD" w:rsidRDefault="00214390" w:rsidP="00F2274D">
            <w:pPr>
              <w:ind w:left="0" w:hanging="2"/>
              <w:rPr>
                <w:rFonts w:ascii="Arial" w:eastAsia="Arial" w:hAnsi="Arial" w:cs="Arial"/>
                <w:sz w:val="22"/>
                <w:szCs w:val="22"/>
              </w:rPr>
            </w:pPr>
            <w:r>
              <w:rPr>
                <w:rFonts w:ascii="Arial" w:eastAsia="Arial" w:hAnsi="Arial" w:cs="Arial"/>
                <w:sz w:val="22"/>
                <w:szCs w:val="22"/>
              </w:rPr>
              <w:t>1-2</w:t>
            </w:r>
          </w:p>
        </w:tc>
      </w:tr>
      <w:tr w:rsidR="00F308DD" w14:paraId="3AD45B0B" w14:textId="77777777" w:rsidTr="00265FBD">
        <w:trPr>
          <w:trHeight w:val="413"/>
        </w:trPr>
        <w:tc>
          <w:tcPr>
            <w:tcW w:w="2088" w:type="dxa"/>
            <w:vMerge/>
          </w:tcPr>
          <w:p w14:paraId="0AC23AE7" w14:textId="77777777" w:rsidR="00F308DD" w:rsidRDefault="00F308DD" w:rsidP="00F2274D">
            <w:pPr>
              <w:widowControl w:val="0"/>
              <w:pBdr>
                <w:top w:val="nil"/>
                <w:left w:val="nil"/>
                <w:bottom w:val="nil"/>
                <w:right w:val="nil"/>
                <w:between w:val="nil"/>
              </w:pBdr>
              <w:spacing w:line="276" w:lineRule="auto"/>
              <w:ind w:left="0" w:hanging="2"/>
              <w:rPr>
                <w:rFonts w:ascii="Arial" w:eastAsia="Arial" w:hAnsi="Arial" w:cs="Arial"/>
                <w:sz w:val="22"/>
                <w:szCs w:val="22"/>
              </w:rPr>
            </w:pPr>
          </w:p>
        </w:tc>
        <w:tc>
          <w:tcPr>
            <w:tcW w:w="720" w:type="dxa"/>
          </w:tcPr>
          <w:p w14:paraId="585A5FDF"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2b</w:t>
            </w:r>
          </w:p>
        </w:tc>
        <w:tc>
          <w:tcPr>
            <w:tcW w:w="11070" w:type="dxa"/>
          </w:tcPr>
          <w:p w14:paraId="1E1CD172"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Specific objectives or hypotheses</w:t>
            </w:r>
          </w:p>
        </w:tc>
        <w:tc>
          <w:tcPr>
            <w:tcW w:w="1620" w:type="dxa"/>
          </w:tcPr>
          <w:p w14:paraId="529BB750" w14:textId="77777777" w:rsidR="00F308DD" w:rsidRDefault="00214390" w:rsidP="00214390">
            <w:pPr>
              <w:ind w:leftChars="0" w:left="0" w:firstLineChars="0" w:firstLine="0"/>
              <w:rPr>
                <w:rFonts w:ascii="Arial" w:eastAsia="Arial" w:hAnsi="Arial" w:cs="Arial"/>
                <w:sz w:val="22"/>
                <w:szCs w:val="22"/>
              </w:rPr>
            </w:pPr>
            <w:r>
              <w:rPr>
                <w:rFonts w:ascii="Arial" w:eastAsia="Arial" w:hAnsi="Arial" w:cs="Arial"/>
                <w:sz w:val="22"/>
                <w:szCs w:val="22"/>
              </w:rPr>
              <w:t>2</w:t>
            </w:r>
          </w:p>
        </w:tc>
      </w:tr>
      <w:tr w:rsidR="00F308DD" w14:paraId="72E7DCE7" w14:textId="77777777" w:rsidTr="00265FBD">
        <w:tc>
          <w:tcPr>
            <w:tcW w:w="15498" w:type="dxa"/>
            <w:gridSpan w:val="4"/>
          </w:tcPr>
          <w:p w14:paraId="7FB58CCF" w14:textId="77777777" w:rsidR="00F308DD" w:rsidRDefault="00632F41" w:rsidP="00F2274D">
            <w:pPr>
              <w:pBdr>
                <w:top w:val="nil"/>
                <w:left w:val="nil"/>
                <w:bottom w:val="nil"/>
                <w:right w:val="nil"/>
                <w:between w:val="nil"/>
              </w:pBdr>
              <w:spacing w:before="120" w:line="240" w:lineRule="auto"/>
              <w:ind w:left="0" w:hanging="2"/>
              <w:rPr>
                <w:rFonts w:ascii="Arial" w:eastAsia="Arial" w:hAnsi="Arial" w:cs="Arial"/>
                <w:b/>
                <w:color w:val="000000"/>
                <w:sz w:val="22"/>
                <w:szCs w:val="22"/>
              </w:rPr>
            </w:pPr>
            <w:r>
              <w:rPr>
                <w:rFonts w:ascii="Arial" w:eastAsia="Arial" w:hAnsi="Arial" w:cs="Arial"/>
                <w:b/>
                <w:color w:val="000000"/>
                <w:sz w:val="22"/>
                <w:szCs w:val="22"/>
              </w:rPr>
              <w:t>Methods</w:t>
            </w:r>
          </w:p>
        </w:tc>
      </w:tr>
      <w:tr w:rsidR="00F308DD" w14:paraId="7486BE8B" w14:textId="77777777" w:rsidTr="00265FBD">
        <w:tc>
          <w:tcPr>
            <w:tcW w:w="2088" w:type="dxa"/>
            <w:vMerge w:val="restart"/>
          </w:tcPr>
          <w:p w14:paraId="441285ED"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Trial design</w:t>
            </w:r>
          </w:p>
        </w:tc>
        <w:tc>
          <w:tcPr>
            <w:tcW w:w="720" w:type="dxa"/>
          </w:tcPr>
          <w:p w14:paraId="15A8A041"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3a</w:t>
            </w:r>
          </w:p>
        </w:tc>
        <w:tc>
          <w:tcPr>
            <w:tcW w:w="11070" w:type="dxa"/>
          </w:tcPr>
          <w:p w14:paraId="01189836"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Description of trial design (such as parallel, factorial) including allocation ratio</w:t>
            </w:r>
          </w:p>
        </w:tc>
        <w:tc>
          <w:tcPr>
            <w:tcW w:w="1620" w:type="dxa"/>
          </w:tcPr>
          <w:p w14:paraId="279404BE" w14:textId="77777777" w:rsidR="00F308DD" w:rsidRDefault="00214390" w:rsidP="00F2274D">
            <w:pPr>
              <w:ind w:left="0" w:hanging="2"/>
              <w:rPr>
                <w:rFonts w:ascii="Arial" w:eastAsia="Arial" w:hAnsi="Arial" w:cs="Arial"/>
                <w:sz w:val="22"/>
                <w:szCs w:val="22"/>
              </w:rPr>
            </w:pPr>
            <w:r>
              <w:rPr>
                <w:rFonts w:ascii="Arial" w:eastAsia="Arial" w:hAnsi="Arial" w:cs="Arial"/>
                <w:sz w:val="22"/>
                <w:szCs w:val="22"/>
              </w:rPr>
              <w:t>2</w:t>
            </w:r>
          </w:p>
        </w:tc>
      </w:tr>
      <w:tr w:rsidR="00F308DD" w14:paraId="47B55E53" w14:textId="77777777" w:rsidTr="00265FBD">
        <w:trPr>
          <w:trHeight w:val="305"/>
        </w:trPr>
        <w:tc>
          <w:tcPr>
            <w:tcW w:w="2088" w:type="dxa"/>
            <w:vMerge/>
          </w:tcPr>
          <w:p w14:paraId="7048D7D0" w14:textId="77777777" w:rsidR="00F308DD" w:rsidRDefault="00F308DD" w:rsidP="00F2274D">
            <w:pPr>
              <w:widowControl w:val="0"/>
              <w:pBdr>
                <w:top w:val="nil"/>
                <w:left w:val="nil"/>
                <w:bottom w:val="nil"/>
                <w:right w:val="nil"/>
                <w:between w:val="nil"/>
              </w:pBdr>
              <w:spacing w:line="276" w:lineRule="auto"/>
              <w:ind w:left="0" w:hanging="2"/>
              <w:rPr>
                <w:rFonts w:ascii="Arial" w:eastAsia="Arial" w:hAnsi="Arial" w:cs="Arial"/>
                <w:sz w:val="22"/>
                <w:szCs w:val="22"/>
              </w:rPr>
            </w:pPr>
          </w:p>
        </w:tc>
        <w:tc>
          <w:tcPr>
            <w:tcW w:w="720" w:type="dxa"/>
          </w:tcPr>
          <w:p w14:paraId="358C2BCB"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3b</w:t>
            </w:r>
          </w:p>
        </w:tc>
        <w:tc>
          <w:tcPr>
            <w:tcW w:w="11070" w:type="dxa"/>
          </w:tcPr>
          <w:p w14:paraId="5D78CD81"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Important changes to methods after trial commencement (such as eligibility criteria), with reasons</w:t>
            </w:r>
          </w:p>
        </w:tc>
        <w:tc>
          <w:tcPr>
            <w:tcW w:w="1620" w:type="dxa"/>
          </w:tcPr>
          <w:p w14:paraId="7E70C7FE" w14:textId="77777777" w:rsidR="00F308DD" w:rsidRDefault="004A0212" w:rsidP="00F2274D">
            <w:pPr>
              <w:ind w:left="0" w:hanging="2"/>
              <w:rPr>
                <w:rFonts w:ascii="Arial" w:eastAsia="Arial" w:hAnsi="Arial" w:cs="Arial"/>
                <w:sz w:val="22"/>
                <w:szCs w:val="22"/>
              </w:rPr>
            </w:pPr>
            <w:r>
              <w:rPr>
                <w:rFonts w:ascii="Arial" w:eastAsia="Arial" w:hAnsi="Arial" w:cs="Arial"/>
                <w:sz w:val="22"/>
                <w:szCs w:val="22"/>
              </w:rPr>
              <w:t>No changes to methods</w:t>
            </w:r>
          </w:p>
        </w:tc>
      </w:tr>
      <w:tr w:rsidR="00F308DD" w14:paraId="5C2A02EA" w14:textId="77777777" w:rsidTr="00265FBD">
        <w:tc>
          <w:tcPr>
            <w:tcW w:w="2088" w:type="dxa"/>
            <w:vMerge w:val="restart"/>
          </w:tcPr>
          <w:p w14:paraId="13F06428"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Participants</w:t>
            </w:r>
          </w:p>
        </w:tc>
        <w:tc>
          <w:tcPr>
            <w:tcW w:w="720" w:type="dxa"/>
          </w:tcPr>
          <w:p w14:paraId="083F0962"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4a</w:t>
            </w:r>
          </w:p>
        </w:tc>
        <w:tc>
          <w:tcPr>
            <w:tcW w:w="11070" w:type="dxa"/>
          </w:tcPr>
          <w:p w14:paraId="7557A693"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Eligibility criteria for participants</w:t>
            </w:r>
          </w:p>
        </w:tc>
        <w:tc>
          <w:tcPr>
            <w:tcW w:w="1620" w:type="dxa"/>
          </w:tcPr>
          <w:p w14:paraId="3E9E5B86" w14:textId="77777777" w:rsidR="00F308DD" w:rsidRDefault="00214390" w:rsidP="00D41A63">
            <w:pPr>
              <w:tabs>
                <w:tab w:val="center" w:pos="701"/>
              </w:tabs>
              <w:ind w:left="0" w:hanging="2"/>
              <w:rPr>
                <w:rFonts w:ascii="Arial" w:eastAsia="Arial" w:hAnsi="Arial" w:cs="Arial"/>
                <w:sz w:val="22"/>
                <w:szCs w:val="22"/>
              </w:rPr>
            </w:pPr>
            <w:r>
              <w:rPr>
                <w:rFonts w:ascii="Arial" w:eastAsia="Arial" w:hAnsi="Arial" w:cs="Arial"/>
                <w:sz w:val="22"/>
                <w:szCs w:val="22"/>
              </w:rPr>
              <w:t>2</w:t>
            </w:r>
            <w:r w:rsidR="00D41A63">
              <w:rPr>
                <w:rFonts w:ascii="Arial" w:eastAsia="Arial" w:hAnsi="Arial" w:cs="Arial"/>
                <w:sz w:val="22"/>
                <w:szCs w:val="22"/>
              </w:rPr>
              <w:tab/>
            </w:r>
          </w:p>
        </w:tc>
      </w:tr>
      <w:tr w:rsidR="00F308DD" w14:paraId="78922665" w14:textId="77777777" w:rsidTr="00265FBD">
        <w:tc>
          <w:tcPr>
            <w:tcW w:w="2088" w:type="dxa"/>
            <w:vMerge/>
          </w:tcPr>
          <w:p w14:paraId="52BE9FAD" w14:textId="77777777" w:rsidR="00F308DD" w:rsidRDefault="00F308DD" w:rsidP="00F2274D">
            <w:pPr>
              <w:widowControl w:val="0"/>
              <w:pBdr>
                <w:top w:val="nil"/>
                <w:left w:val="nil"/>
                <w:bottom w:val="nil"/>
                <w:right w:val="nil"/>
                <w:between w:val="nil"/>
              </w:pBdr>
              <w:spacing w:line="276" w:lineRule="auto"/>
              <w:ind w:left="0" w:hanging="2"/>
              <w:rPr>
                <w:rFonts w:ascii="Arial" w:eastAsia="Arial" w:hAnsi="Arial" w:cs="Arial"/>
                <w:sz w:val="22"/>
                <w:szCs w:val="22"/>
              </w:rPr>
            </w:pPr>
          </w:p>
        </w:tc>
        <w:tc>
          <w:tcPr>
            <w:tcW w:w="720" w:type="dxa"/>
          </w:tcPr>
          <w:p w14:paraId="7600936D"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4b</w:t>
            </w:r>
          </w:p>
        </w:tc>
        <w:tc>
          <w:tcPr>
            <w:tcW w:w="11070" w:type="dxa"/>
          </w:tcPr>
          <w:p w14:paraId="0F24A5CD"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Settings and locations where the data were collected</w:t>
            </w:r>
          </w:p>
        </w:tc>
        <w:tc>
          <w:tcPr>
            <w:tcW w:w="1620" w:type="dxa"/>
          </w:tcPr>
          <w:p w14:paraId="0BF95DDA" w14:textId="77777777" w:rsidR="00F308DD" w:rsidRDefault="00214390" w:rsidP="00F2274D">
            <w:pPr>
              <w:ind w:left="0" w:hanging="2"/>
              <w:rPr>
                <w:rFonts w:ascii="Arial" w:eastAsia="Arial" w:hAnsi="Arial" w:cs="Arial"/>
                <w:sz w:val="22"/>
                <w:szCs w:val="22"/>
              </w:rPr>
            </w:pPr>
            <w:r>
              <w:rPr>
                <w:rFonts w:ascii="Arial" w:eastAsia="Arial" w:hAnsi="Arial" w:cs="Arial"/>
                <w:sz w:val="22"/>
                <w:szCs w:val="22"/>
              </w:rPr>
              <w:t>2</w:t>
            </w:r>
          </w:p>
        </w:tc>
      </w:tr>
      <w:tr w:rsidR="00F308DD" w14:paraId="2936DE09" w14:textId="77777777" w:rsidTr="00265FBD">
        <w:tc>
          <w:tcPr>
            <w:tcW w:w="2088" w:type="dxa"/>
          </w:tcPr>
          <w:p w14:paraId="19D7E55B"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Interventions</w:t>
            </w:r>
          </w:p>
        </w:tc>
        <w:tc>
          <w:tcPr>
            <w:tcW w:w="720" w:type="dxa"/>
          </w:tcPr>
          <w:p w14:paraId="0A86A6DC"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5</w:t>
            </w:r>
          </w:p>
        </w:tc>
        <w:tc>
          <w:tcPr>
            <w:tcW w:w="11070" w:type="dxa"/>
          </w:tcPr>
          <w:p w14:paraId="6ABBEE62"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The interventions for each group with sufficient details to allow replication, including how and when they were actually administered</w:t>
            </w:r>
          </w:p>
        </w:tc>
        <w:tc>
          <w:tcPr>
            <w:tcW w:w="1620" w:type="dxa"/>
          </w:tcPr>
          <w:p w14:paraId="46B502BD" w14:textId="77777777" w:rsidR="00F308DD" w:rsidRDefault="00E0102B" w:rsidP="00F2274D">
            <w:pPr>
              <w:ind w:left="0" w:hanging="2"/>
              <w:rPr>
                <w:rFonts w:ascii="Arial" w:eastAsia="Arial" w:hAnsi="Arial" w:cs="Arial"/>
                <w:sz w:val="22"/>
                <w:szCs w:val="22"/>
              </w:rPr>
            </w:pPr>
            <w:r>
              <w:rPr>
                <w:rFonts w:ascii="Arial" w:eastAsia="Arial" w:hAnsi="Arial" w:cs="Arial"/>
                <w:sz w:val="22"/>
                <w:szCs w:val="22"/>
              </w:rPr>
              <w:t>2-3</w:t>
            </w:r>
          </w:p>
        </w:tc>
      </w:tr>
      <w:tr w:rsidR="00F308DD" w14:paraId="0C51D115" w14:textId="77777777" w:rsidTr="00265FBD">
        <w:tc>
          <w:tcPr>
            <w:tcW w:w="2088" w:type="dxa"/>
            <w:vMerge w:val="restart"/>
          </w:tcPr>
          <w:p w14:paraId="38F0BCC9"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Outcomes</w:t>
            </w:r>
          </w:p>
        </w:tc>
        <w:tc>
          <w:tcPr>
            <w:tcW w:w="720" w:type="dxa"/>
          </w:tcPr>
          <w:p w14:paraId="068749BC"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6a</w:t>
            </w:r>
          </w:p>
        </w:tc>
        <w:tc>
          <w:tcPr>
            <w:tcW w:w="11070" w:type="dxa"/>
          </w:tcPr>
          <w:p w14:paraId="0F245531"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Completely defined pre-specified primary and secondary outcome measures, including how and when they were assessed</w:t>
            </w:r>
          </w:p>
        </w:tc>
        <w:tc>
          <w:tcPr>
            <w:tcW w:w="1620" w:type="dxa"/>
          </w:tcPr>
          <w:p w14:paraId="7FE4EC7F" w14:textId="77777777" w:rsidR="00F308DD" w:rsidRDefault="00214390" w:rsidP="00F2274D">
            <w:pPr>
              <w:ind w:left="0" w:hanging="2"/>
              <w:rPr>
                <w:rFonts w:ascii="Arial" w:eastAsia="Arial" w:hAnsi="Arial" w:cs="Arial"/>
                <w:sz w:val="22"/>
                <w:szCs w:val="22"/>
              </w:rPr>
            </w:pPr>
            <w:r>
              <w:rPr>
                <w:rFonts w:ascii="Arial" w:eastAsia="Arial" w:hAnsi="Arial" w:cs="Arial"/>
                <w:sz w:val="22"/>
                <w:szCs w:val="22"/>
              </w:rPr>
              <w:t>3</w:t>
            </w:r>
          </w:p>
        </w:tc>
      </w:tr>
      <w:tr w:rsidR="00F308DD" w14:paraId="75E9E329" w14:textId="77777777" w:rsidTr="00265FBD">
        <w:tc>
          <w:tcPr>
            <w:tcW w:w="2088" w:type="dxa"/>
            <w:vMerge/>
          </w:tcPr>
          <w:p w14:paraId="39CEB95E" w14:textId="77777777" w:rsidR="00F308DD" w:rsidRDefault="00F308DD" w:rsidP="00F2274D">
            <w:pPr>
              <w:widowControl w:val="0"/>
              <w:pBdr>
                <w:top w:val="nil"/>
                <w:left w:val="nil"/>
                <w:bottom w:val="nil"/>
                <w:right w:val="nil"/>
                <w:between w:val="nil"/>
              </w:pBdr>
              <w:spacing w:line="276" w:lineRule="auto"/>
              <w:ind w:left="0" w:hanging="2"/>
              <w:rPr>
                <w:rFonts w:ascii="Arial" w:eastAsia="Arial" w:hAnsi="Arial" w:cs="Arial"/>
                <w:sz w:val="22"/>
                <w:szCs w:val="22"/>
              </w:rPr>
            </w:pPr>
          </w:p>
        </w:tc>
        <w:tc>
          <w:tcPr>
            <w:tcW w:w="720" w:type="dxa"/>
          </w:tcPr>
          <w:p w14:paraId="4AAA2177"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6b</w:t>
            </w:r>
          </w:p>
        </w:tc>
        <w:tc>
          <w:tcPr>
            <w:tcW w:w="11070" w:type="dxa"/>
          </w:tcPr>
          <w:p w14:paraId="7BD2B5A8"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Any changes to trial outcomes after the trial commenced, with reasons</w:t>
            </w:r>
          </w:p>
        </w:tc>
        <w:tc>
          <w:tcPr>
            <w:tcW w:w="1620" w:type="dxa"/>
          </w:tcPr>
          <w:p w14:paraId="5D8FEFA8" w14:textId="77777777" w:rsidR="00F308DD" w:rsidRDefault="003949FE" w:rsidP="00F2274D">
            <w:pPr>
              <w:ind w:left="0" w:hanging="2"/>
              <w:rPr>
                <w:rFonts w:ascii="Arial" w:eastAsia="Arial" w:hAnsi="Arial" w:cs="Arial"/>
                <w:sz w:val="22"/>
                <w:szCs w:val="22"/>
              </w:rPr>
            </w:pPr>
            <w:r>
              <w:rPr>
                <w:rFonts w:ascii="Arial" w:eastAsia="Arial" w:hAnsi="Arial" w:cs="Arial"/>
                <w:sz w:val="22"/>
                <w:szCs w:val="22"/>
              </w:rPr>
              <w:t>N</w:t>
            </w:r>
            <w:r w:rsidR="00D41246" w:rsidRPr="00D41246">
              <w:rPr>
                <w:rFonts w:ascii="Arial" w:eastAsia="Arial" w:hAnsi="Arial" w:cs="Arial"/>
                <w:sz w:val="22"/>
                <w:szCs w:val="22"/>
              </w:rPr>
              <w:t>o change in study results</w:t>
            </w:r>
          </w:p>
        </w:tc>
      </w:tr>
      <w:tr w:rsidR="00F308DD" w14:paraId="0F8D7556" w14:textId="77777777" w:rsidTr="00265FBD">
        <w:tc>
          <w:tcPr>
            <w:tcW w:w="2088" w:type="dxa"/>
            <w:vMerge w:val="restart"/>
          </w:tcPr>
          <w:p w14:paraId="28BC81A6"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Sample size</w:t>
            </w:r>
          </w:p>
        </w:tc>
        <w:tc>
          <w:tcPr>
            <w:tcW w:w="720" w:type="dxa"/>
          </w:tcPr>
          <w:p w14:paraId="62C68A8E"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7a</w:t>
            </w:r>
          </w:p>
        </w:tc>
        <w:tc>
          <w:tcPr>
            <w:tcW w:w="11070" w:type="dxa"/>
          </w:tcPr>
          <w:p w14:paraId="75BE4DD6"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How sample size was determined</w:t>
            </w:r>
          </w:p>
        </w:tc>
        <w:tc>
          <w:tcPr>
            <w:tcW w:w="1620" w:type="dxa"/>
          </w:tcPr>
          <w:p w14:paraId="20BD0C4C" w14:textId="77777777" w:rsidR="00F308DD" w:rsidRDefault="00E0102B" w:rsidP="00F2274D">
            <w:pPr>
              <w:ind w:left="0" w:hanging="2"/>
              <w:rPr>
                <w:rFonts w:ascii="Arial" w:eastAsia="Arial" w:hAnsi="Arial" w:cs="Arial"/>
                <w:sz w:val="22"/>
                <w:szCs w:val="22"/>
              </w:rPr>
            </w:pPr>
            <w:r>
              <w:rPr>
                <w:rFonts w:ascii="Arial" w:eastAsia="Arial" w:hAnsi="Arial" w:cs="Arial"/>
                <w:sz w:val="22"/>
                <w:szCs w:val="22"/>
              </w:rPr>
              <w:t>3</w:t>
            </w:r>
          </w:p>
        </w:tc>
      </w:tr>
      <w:tr w:rsidR="00F308DD" w14:paraId="6EC37FA3" w14:textId="77777777" w:rsidTr="00265FBD">
        <w:tc>
          <w:tcPr>
            <w:tcW w:w="2088" w:type="dxa"/>
            <w:vMerge/>
          </w:tcPr>
          <w:p w14:paraId="40DB20C9" w14:textId="77777777" w:rsidR="00F308DD" w:rsidRDefault="00F308DD" w:rsidP="00F2274D">
            <w:pPr>
              <w:widowControl w:val="0"/>
              <w:pBdr>
                <w:top w:val="nil"/>
                <w:left w:val="nil"/>
                <w:bottom w:val="nil"/>
                <w:right w:val="nil"/>
                <w:between w:val="nil"/>
              </w:pBdr>
              <w:spacing w:line="276" w:lineRule="auto"/>
              <w:ind w:left="0" w:hanging="2"/>
              <w:rPr>
                <w:rFonts w:ascii="Arial" w:eastAsia="Arial" w:hAnsi="Arial" w:cs="Arial"/>
                <w:sz w:val="22"/>
                <w:szCs w:val="22"/>
              </w:rPr>
            </w:pPr>
          </w:p>
        </w:tc>
        <w:tc>
          <w:tcPr>
            <w:tcW w:w="720" w:type="dxa"/>
          </w:tcPr>
          <w:p w14:paraId="31858FDE"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7b</w:t>
            </w:r>
          </w:p>
        </w:tc>
        <w:tc>
          <w:tcPr>
            <w:tcW w:w="11070" w:type="dxa"/>
          </w:tcPr>
          <w:p w14:paraId="6BED111C"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When applicable, explanation of any interim analyses and stopping guidelines</w:t>
            </w:r>
          </w:p>
        </w:tc>
        <w:tc>
          <w:tcPr>
            <w:tcW w:w="1620" w:type="dxa"/>
          </w:tcPr>
          <w:p w14:paraId="00B65ABC" w14:textId="77777777" w:rsidR="00F308DD" w:rsidRDefault="0056129B" w:rsidP="00F2274D">
            <w:pPr>
              <w:ind w:left="0" w:hanging="2"/>
              <w:rPr>
                <w:rFonts w:ascii="Arial" w:eastAsia="Arial" w:hAnsi="Arial" w:cs="Arial"/>
                <w:sz w:val="22"/>
                <w:szCs w:val="22"/>
              </w:rPr>
            </w:pPr>
            <w:r>
              <w:rPr>
                <w:rFonts w:ascii="Arial" w:eastAsia="Arial" w:hAnsi="Arial" w:cs="Arial"/>
                <w:sz w:val="22"/>
                <w:szCs w:val="22"/>
              </w:rPr>
              <w:t>N</w:t>
            </w:r>
            <w:r w:rsidRPr="0056129B">
              <w:rPr>
                <w:rFonts w:ascii="Arial" w:eastAsia="Arial" w:hAnsi="Arial" w:cs="Arial"/>
                <w:sz w:val="22"/>
                <w:szCs w:val="22"/>
              </w:rPr>
              <w:t>ot applicable</w:t>
            </w:r>
          </w:p>
        </w:tc>
      </w:tr>
      <w:tr w:rsidR="00F308DD" w14:paraId="6D48512D" w14:textId="77777777" w:rsidTr="00265FBD">
        <w:tc>
          <w:tcPr>
            <w:tcW w:w="2088" w:type="dxa"/>
          </w:tcPr>
          <w:p w14:paraId="5D0489E6"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Randomisation:</w:t>
            </w:r>
          </w:p>
        </w:tc>
        <w:tc>
          <w:tcPr>
            <w:tcW w:w="720" w:type="dxa"/>
          </w:tcPr>
          <w:p w14:paraId="122B2156" w14:textId="77777777" w:rsidR="00F308DD" w:rsidRDefault="00F308DD" w:rsidP="00F2274D">
            <w:pPr>
              <w:ind w:left="0" w:hanging="2"/>
              <w:jc w:val="center"/>
              <w:rPr>
                <w:rFonts w:ascii="Arial" w:eastAsia="Arial" w:hAnsi="Arial" w:cs="Arial"/>
                <w:sz w:val="22"/>
                <w:szCs w:val="22"/>
              </w:rPr>
            </w:pPr>
          </w:p>
        </w:tc>
        <w:tc>
          <w:tcPr>
            <w:tcW w:w="11070" w:type="dxa"/>
          </w:tcPr>
          <w:p w14:paraId="1BAA9F7C" w14:textId="77777777" w:rsidR="00F308DD" w:rsidRDefault="00F308DD" w:rsidP="00F2274D">
            <w:pPr>
              <w:ind w:left="0" w:hanging="2"/>
              <w:rPr>
                <w:rFonts w:ascii="Arial" w:eastAsia="Arial" w:hAnsi="Arial" w:cs="Arial"/>
                <w:sz w:val="22"/>
                <w:szCs w:val="22"/>
              </w:rPr>
            </w:pPr>
          </w:p>
        </w:tc>
        <w:tc>
          <w:tcPr>
            <w:tcW w:w="1620" w:type="dxa"/>
          </w:tcPr>
          <w:p w14:paraId="7BB51735" w14:textId="77777777" w:rsidR="00F308DD" w:rsidRDefault="00F308DD" w:rsidP="00F2274D">
            <w:pPr>
              <w:ind w:left="0" w:hanging="2"/>
              <w:rPr>
                <w:rFonts w:ascii="Arial" w:eastAsia="Arial" w:hAnsi="Arial" w:cs="Arial"/>
                <w:sz w:val="22"/>
                <w:szCs w:val="22"/>
              </w:rPr>
            </w:pPr>
          </w:p>
        </w:tc>
      </w:tr>
      <w:tr w:rsidR="00F308DD" w14:paraId="2FB4DF1C" w14:textId="77777777" w:rsidTr="00265FBD">
        <w:tc>
          <w:tcPr>
            <w:tcW w:w="2088" w:type="dxa"/>
            <w:vMerge w:val="restart"/>
          </w:tcPr>
          <w:p w14:paraId="0A5F0E2F" w14:textId="77777777" w:rsidR="00F308DD" w:rsidRDefault="00632F41" w:rsidP="00F2274D">
            <w:pPr>
              <w:ind w:left="0" w:hanging="2"/>
              <w:rPr>
                <w:rFonts w:ascii="Arial" w:eastAsia="Arial" w:hAnsi="Arial" w:cs="Arial"/>
                <w:sz w:val="22"/>
                <w:szCs w:val="22"/>
              </w:rPr>
            </w:pPr>
            <w:r>
              <w:rPr>
                <w:sz w:val="22"/>
                <w:szCs w:val="22"/>
              </w:rPr>
              <w:t> </w:t>
            </w:r>
            <w:r>
              <w:rPr>
                <w:rFonts w:ascii="Arial" w:eastAsia="Arial" w:hAnsi="Arial" w:cs="Arial"/>
                <w:sz w:val="22"/>
                <w:szCs w:val="22"/>
              </w:rPr>
              <w:t>Sequence generation</w:t>
            </w:r>
          </w:p>
        </w:tc>
        <w:tc>
          <w:tcPr>
            <w:tcW w:w="720" w:type="dxa"/>
          </w:tcPr>
          <w:p w14:paraId="7BAFC4A9"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8a</w:t>
            </w:r>
          </w:p>
        </w:tc>
        <w:tc>
          <w:tcPr>
            <w:tcW w:w="11070" w:type="dxa"/>
          </w:tcPr>
          <w:p w14:paraId="21189250"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Method used to generate the random allocation sequence</w:t>
            </w:r>
          </w:p>
        </w:tc>
        <w:tc>
          <w:tcPr>
            <w:tcW w:w="1620" w:type="dxa"/>
          </w:tcPr>
          <w:p w14:paraId="46B1D7E9" w14:textId="77777777" w:rsidR="00F308DD" w:rsidRDefault="00E0102B" w:rsidP="00F2274D">
            <w:pPr>
              <w:ind w:left="0" w:hanging="2"/>
              <w:rPr>
                <w:rFonts w:ascii="Arial" w:eastAsia="Arial" w:hAnsi="Arial" w:cs="Arial"/>
                <w:sz w:val="22"/>
                <w:szCs w:val="22"/>
              </w:rPr>
            </w:pPr>
            <w:r>
              <w:rPr>
                <w:rFonts w:ascii="Arial" w:eastAsia="Arial" w:hAnsi="Arial" w:cs="Arial"/>
                <w:sz w:val="22"/>
                <w:szCs w:val="22"/>
              </w:rPr>
              <w:t>3</w:t>
            </w:r>
          </w:p>
        </w:tc>
      </w:tr>
      <w:tr w:rsidR="00F308DD" w14:paraId="54369C45" w14:textId="77777777" w:rsidTr="00265FBD">
        <w:tc>
          <w:tcPr>
            <w:tcW w:w="2088" w:type="dxa"/>
            <w:vMerge/>
          </w:tcPr>
          <w:p w14:paraId="48E00A5D" w14:textId="77777777" w:rsidR="00F308DD" w:rsidRDefault="00F308DD" w:rsidP="00F2274D">
            <w:pPr>
              <w:widowControl w:val="0"/>
              <w:pBdr>
                <w:top w:val="nil"/>
                <w:left w:val="nil"/>
                <w:bottom w:val="nil"/>
                <w:right w:val="nil"/>
                <w:between w:val="nil"/>
              </w:pBdr>
              <w:spacing w:line="276" w:lineRule="auto"/>
              <w:ind w:left="0" w:hanging="2"/>
              <w:rPr>
                <w:rFonts w:ascii="Arial" w:eastAsia="Arial" w:hAnsi="Arial" w:cs="Arial"/>
                <w:sz w:val="22"/>
                <w:szCs w:val="22"/>
              </w:rPr>
            </w:pPr>
          </w:p>
        </w:tc>
        <w:tc>
          <w:tcPr>
            <w:tcW w:w="720" w:type="dxa"/>
          </w:tcPr>
          <w:p w14:paraId="55FA7FC7"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8b</w:t>
            </w:r>
          </w:p>
        </w:tc>
        <w:tc>
          <w:tcPr>
            <w:tcW w:w="11070" w:type="dxa"/>
          </w:tcPr>
          <w:p w14:paraId="0604E803"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Type of randomisation; details of any restriction (such as blocking and block size)</w:t>
            </w:r>
          </w:p>
        </w:tc>
        <w:tc>
          <w:tcPr>
            <w:tcW w:w="1620" w:type="dxa"/>
          </w:tcPr>
          <w:p w14:paraId="05457217" w14:textId="77777777" w:rsidR="00F308DD" w:rsidRDefault="00E0102B" w:rsidP="00F2274D">
            <w:pPr>
              <w:ind w:left="0" w:hanging="2"/>
              <w:rPr>
                <w:rFonts w:ascii="Arial" w:eastAsia="Arial" w:hAnsi="Arial" w:cs="Arial"/>
                <w:sz w:val="22"/>
                <w:szCs w:val="22"/>
              </w:rPr>
            </w:pPr>
            <w:r>
              <w:rPr>
                <w:rFonts w:ascii="Arial" w:eastAsia="Arial" w:hAnsi="Arial" w:cs="Arial"/>
                <w:sz w:val="22"/>
                <w:szCs w:val="22"/>
              </w:rPr>
              <w:t>3</w:t>
            </w:r>
          </w:p>
        </w:tc>
      </w:tr>
      <w:tr w:rsidR="00F308DD" w14:paraId="2F94EBAB" w14:textId="77777777" w:rsidTr="00265FBD">
        <w:tc>
          <w:tcPr>
            <w:tcW w:w="2088" w:type="dxa"/>
          </w:tcPr>
          <w:p w14:paraId="4E15DA95" w14:textId="77777777" w:rsidR="00F308DD" w:rsidRDefault="00632F41" w:rsidP="00F2274D">
            <w:pPr>
              <w:ind w:left="0" w:hanging="2"/>
              <w:rPr>
                <w:rFonts w:ascii="Arial" w:eastAsia="Arial" w:hAnsi="Arial" w:cs="Arial"/>
                <w:sz w:val="22"/>
                <w:szCs w:val="22"/>
              </w:rPr>
            </w:pPr>
            <w:r>
              <w:rPr>
                <w:sz w:val="22"/>
                <w:szCs w:val="22"/>
              </w:rPr>
              <w:t> </w:t>
            </w:r>
            <w:r>
              <w:rPr>
                <w:rFonts w:ascii="Arial" w:eastAsia="Arial" w:hAnsi="Arial" w:cs="Arial"/>
                <w:sz w:val="22"/>
                <w:szCs w:val="22"/>
              </w:rPr>
              <w:t>Allocation concealment mechanism</w:t>
            </w:r>
          </w:p>
        </w:tc>
        <w:tc>
          <w:tcPr>
            <w:tcW w:w="720" w:type="dxa"/>
          </w:tcPr>
          <w:p w14:paraId="376F65F7"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9</w:t>
            </w:r>
          </w:p>
        </w:tc>
        <w:tc>
          <w:tcPr>
            <w:tcW w:w="11070" w:type="dxa"/>
          </w:tcPr>
          <w:p w14:paraId="47A7746B"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Mechanism used to implement the random allocation sequence (such as sequentially numbered containers), describing any steps taken to conceal the sequence until interventions were assigned</w:t>
            </w:r>
          </w:p>
        </w:tc>
        <w:tc>
          <w:tcPr>
            <w:tcW w:w="1620" w:type="dxa"/>
          </w:tcPr>
          <w:p w14:paraId="7E2A15D8" w14:textId="77777777" w:rsidR="00F308DD" w:rsidRDefault="00E0102B" w:rsidP="00F2274D">
            <w:pPr>
              <w:ind w:left="0" w:hanging="2"/>
              <w:rPr>
                <w:rFonts w:ascii="Arial" w:eastAsia="Arial" w:hAnsi="Arial" w:cs="Arial"/>
                <w:sz w:val="22"/>
                <w:szCs w:val="22"/>
              </w:rPr>
            </w:pPr>
            <w:r>
              <w:rPr>
                <w:rFonts w:ascii="Arial" w:eastAsia="Arial" w:hAnsi="Arial" w:cs="Arial"/>
                <w:sz w:val="22"/>
                <w:szCs w:val="22"/>
              </w:rPr>
              <w:t>3</w:t>
            </w:r>
          </w:p>
        </w:tc>
      </w:tr>
      <w:tr w:rsidR="00F308DD" w14:paraId="22DC0301" w14:textId="77777777" w:rsidTr="00265FBD">
        <w:tc>
          <w:tcPr>
            <w:tcW w:w="2088" w:type="dxa"/>
          </w:tcPr>
          <w:p w14:paraId="7F21BDAF" w14:textId="77777777" w:rsidR="00F308DD" w:rsidRDefault="00632F41" w:rsidP="00F2274D">
            <w:pPr>
              <w:ind w:left="0" w:hanging="2"/>
              <w:rPr>
                <w:rFonts w:ascii="Arial" w:eastAsia="Arial" w:hAnsi="Arial" w:cs="Arial"/>
                <w:sz w:val="22"/>
                <w:szCs w:val="22"/>
              </w:rPr>
            </w:pPr>
            <w:r>
              <w:rPr>
                <w:sz w:val="22"/>
                <w:szCs w:val="22"/>
              </w:rPr>
              <w:t> </w:t>
            </w:r>
            <w:r>
              <w:rPr>
                <w:rFonts w:ascii="Arial" w:eastAsia="Arial" w:hAnsi="Arial" w:cs="Arial"/>
                <w:sz w:val="22"/>
                <w:szCs w:val="22"/>
              </w:rPr>
              <w:t>Implementation</w:t>
            </w:r>
          </w:p>
        </w:tc>
        <w:tc>
          <w:tcPr>
            <w:tcW w:w="720" w:type="dxa"/>
          </w:tcPr>
          <w:p w14:paraId="4C76D61D"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10</w:t>
            </w:r>
          </w:p>
        </w:tc>
        <w:tc>
          <w:tcPr>
            <w:tcW w:w="11070" w:type="dxa"/>
          </w:tcPr>
          <w:p w14:paraId="0600F3F9"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 xml:space="preserve">Who generated the random allocation sequence, who enrolled participants, and who assigned participants to </w:t>
            </w:r>
            <w:r>
              <w:rPr>
                <w:rFonts w:ascii="Arial" w:eastAsia="Arial" w:hAnsi="Arial" w:cs="Arial"/>
                <w:sz w:val="22"/>
                <w:szCs w:val="22"/>
              </w:rPr>
              <w:lastRenderedPageBreak/>
              <w:t>interventions</w:t>
            </w:r>
          </w:p>
        </w:tc>
        <w:tc>
          <w:tcPr>
            <w:tcW w:w="1620" w:type="dxa"/>
          </w:tcPr>
          <w:p w14:paraId="6D9C5E56" w14:textId="77777777" w:rsidR="00F308DD" w:rsidRDefault="00E0102B" w:rsidP="00F2274D">
            <w:pPr>
              <w:ind w:left="0" w:hanging="2"/>
              <w:rPr>
                <w:rFonts w:ascii="Arial" w:eastAsia="Arial" w:hAnsi="Arial" w:cs="Arial"/>
                <w:sz w:val="22"/>
                <w:szCs w:val="22"/>
              </w:rPr>
            </w:pPr>
            <w:r>
              <w:rPr>
                <w:rFonts w:ascii="Arial" w:eastAsia="Arial" w:hAnsi="Arial" w:cs="Arial"/>
                <w:sz w:val="22"/>
                <w:szCs w:val="22"/>
              </w:rPr>
              <w:lastRenderedPageBreak/>
              <w:t>3</w:t>
            </w:r>
          </w:p>
        </w:tc>
      </w:tr>
      <w:tr w:rsidR="00F308DD" w14:paraId="4BC2C8F5" w14:textId="77777777" w:rsidTr="00265FBD">
        <w:tc>
          <w:tcPr>
            <w:tcW w:w="2088" w:type="dxa"/>
            <w:vMerge w:val="restart"/>
          </w:tcPr>
          <w:p w14:paraId="6D6BF748"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Blinding</w:t>
            </w:r>
          </w:p>
        </w:tc>
        <w:tc>
          <w:tcPr>
            <w:tcW w:w="720" w:type="dxa"/>
          </w:tcPr>
          <w:p w14:paraId="61FA6EA7"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11a</w:t>
            </w:r>
          </w:p>
        </w:tc>
        <w:tc>
          <w:tcPr>
            <w:tcW w:w="11070" w:type="dxa"/>
          </w:tcPr>
          <w:p w14:paraId="5F73F347"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If done, who was blinded after assignment to interventions (for example, participants, care providers, those assessing outcomes) and how</w:t>
            </w:r>
          </w:p>
        </w:tc>
        <w:tc>
          <w:tcPr>
            <w:tcW w:w="1620" w:type="dxa"/>
          </w:tcPr>
          <w:p w14:paraId="7E48D93C" w14:textId="77777777" w:rsidR="00F308DD" w:rsidRDefault="00E0102B" w:rsidP="00F2274D">
            <w:pPr>
              <w:ind w:left="0" w:hanging="2"/>
              <w:rPr>
                <w:rFonts w:ascii="Arial" w:eastAsia="Arial" w:hAnsi="Arial" w:cs="Arial"/>
                <w:sz w:val="22"/>
                <w:szCs w:val="22"/>
              </w:rPr>
            </w:pPr>
            <w:r>
              <w:rPr>
                <w:rFonts w:ascii="Arial" w:eastAsia="Arial" w:hAnsi="Arial" w:cs="Arial"/>
                <w:sz w:val="22"/>
                <w:szCs w:val="22"/>
              </w:rPr>
              <w:t>3</w:t>
            </w:r>
          </w:p>
        </w:tc>
      </w:tr>
      <w:tr w:rsidR="00F308DD" w14:paraId="1EC71DEA" w14:textId="77777777" w:rsidTr="00265FBD">
        <w:tc>
          <w:tcPr>
            <w:tcW w:w="2088" w:type="dxa"/>
            <w:vMerge/>
          </w:tcPr>
          <w:p w14:paraId="0AA44A14" w14:textId="77777777" w:rsidR="00F308DD" w:rsidRDefault="00F308DD" w:rsidP="00F2274D">
            <w:pPr>
              <w:widowControl w:val="0"/>
              <w:pBdr>
                <w:top w:val="nil"/>
                <w:left w:val="nil"/>
                <w:bottom w:val="nil"/>
                <w:right w:val="nil"/>
                <w:between w:val="nil"/>
              </w:pBdr>
              <w:spacing w:line="276" w:lineRule="auto"/>
              <w:ind w:left="0" w:hanging="2"/>
              <w:rPr>
                <w:rFonts w:ascii="Arial" w:eastAsia="Arial" w:hAnsi="Arial" w:cs="Arial"/>
                <w:sz w:val="22"/>
                <w:szCs w:val="22"/>
              </w:rPr>
            </w:pPr>
          </w:p>
        </w:tc>
        <w:tc>
          <w:tcPr>
            <w:tcW w:w="720" w:type="dxa"/>
          </w:tcPr>
          <w:p w14:paraId="5BBAAA65"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11b</w:t>
            </w:r>
          </w:p>
        </w:tc>
        <w:tc>
          <w:tcPr>
            <w:tcW w:w="11070" w:type="dxa"/>
          </w:tcPr>
          <w:p w14:paraId="2327C952"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If relevant, description of the similarity of interventions</w:t>
            </w:r>
          </w:p>
        </w:tc>
        <w:tc>
          <w:tcPr>
            <w:tcW w:w="1620" w:type="dxa"/>
          </w:tcPr>
          <w:p w14:paraId="48632674" w14:textId="77777777" w:rsidR="00F308DD" w:rsidRDefault="00E0102B" w:rsidP="00F2274D">
            <w:pPr>
              <w:ind w:left="0" w:hanging="2"/>
              <w:rPr>
                <w:rFonts w:ascii="Arial" w:eastAsia="Arial" w:hAnsi="Arial" w:cs="Arial"/>
                <w:sz w:val="22"/>
                <w:szCs w:val="22"/>
              </w:rPr>
            </w:pPr>
            <w:r>
              <w:rPr>
                <w:rFonts w:ascii="Arial" w:eastAsia="Arial" w:hAnsi="Arial" w:cs="Arial"/>
                <w:sz w:val="22"/>
                <w:szCs w:val="22"/>
              </w:rPr>
              <w:t>3</w:t>
            </w:r>
          </w:p>
        </w:tc>
      </w:tr>
      <w:tr w:rsidR="00F308DD" w14:paraId="44D00B7D" w14:textId="77777777" w:rsidTr="00265FBD">
        <w:tc>
          <w:tcPr>
            <w:tcW w:w="2088" w:type="dxa"/>
            <w:vMerge w:val="restart"/>
          </w:tcPr>
          <w:p w14:paraId="57D35174"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Statistical methods</w:t>
            </w:r>
          </w:p>
        </w:tc>
        <w:tc>
          <w:tcPr>
            <w:tcW w:w="720" w:type="dxa"/>
          </w:tcPr>
          <w:p w14:paraId="60E8B8DD"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12a</w:t>
            </w:r>
          </w:p>
        </w:tc>
        <w:tc>
          <w:tcPr>
            <w:tcW w:w="11070" w:type="dxa"/>
          </w:tcPr>
          <w:p w14:paraId="5B08DB70"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Statistical methods used to compare groups for primary and secondary outcomes</w:t>
            </w:r>
          </w:p>
        </w:tc>
        <w:tc>
          <w:tcPr>
            <w:tcW w:w="1620" w:type="dxa"/>
          </w:tcPr>
          <w:p w14:paraId="7DD739C4" w14:textId="77777777" w:rsidR="00F308DD" w:rsidRDefault="00E0102B" w:rsidP="00F2274D">
            <w:pPr>
              <w:ind w:left="0" w:hanging="2"/>
              <w:rPr>
                <w:rFonts w:ascii="Arial" w:eastAsia="Arial" w:hAnsi="Arial" w:cs="Arial"/>
                <w:sz w:val="22"/>
                <w:szCs w:val="22"/>
              </w:rPr>
            </w:pPr>
            <w:r>
              <w:rPr>
                <w:rFonts w:ascii="Arial" w:eastAsia="Arial" w:hAnsi="Arial" w:cs="Arial"/>
                <w:sz w:val="22"/>
                <w:szCs w:val="22"/>
              </w:rPr>
              <w:t>4</w:t>
            </w:r>
          </w:p>
        </w:tc>
      </w:tr>
      <w:tr w:rsidR="00F308DD" w14:paraId="5CB1D312" w14:textId="77777777" w:rsidTr="00265FBD">
        <w:tc>
          <w:tcPr>
            <w:tcW w:w="2088" w:type="dxa"/>
            <w:vMerge/>
          </w:tcPr>
          <w:p w14:paraId="7C559AD7" w14:textId="77777777" w:rsidR="00F308DD" w:rsidRDefault="00F308DD" w:rsidP="00F2274D">
            <w:pPr>
              <w:widowControl w:val="0"/>
              <w:pBdr>
                <w:top w:val="nil"/>
                <w:left w:val="nil"/>
                <w:bottom w:val="nil"/>
                <w:right w:val="nil"/>
                <w:between w:val="nil"/>
              </w:pBdr>
              <w:spacing w:line="276" w:lineRule="auto"/>
              <w:ind w:left="0" w:hanging="2"/>
              <w:rPr>
                <w:rFonts w:ascii="Arial" w:eastAsia="Arial" w:hAnsi="Arial" w:cs="Arial"/>
                <w:sz w:val="22"/>
                <w:szCs w:val="22"/>
              </w:rPr>
            </w:pPr>
          </w:p>
        </w:tc>
        <w:tc>
          <w:tcPr>
            <w:tcW w:w="720" w:type="dxa"/>
          </w:tcPr>
          <w:p w14:paraId="7B22218A"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12b</w:t>
            </w:r>
          </w:p>
        </w:tc>
        <w:tc>
          <w:tcPr>
            <w:tcW w:w="11070" w:type="dxa"/>
          </w:tcPr>
          <w:p w14:paraId="676D99A6"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Methods for additional analyses, such as subgroup analyses and adjusted analyses</w:t>
            </w:r>
          </w:p>
        </w:tc>
        <w:tc>
          <w:tcPr>
            <w:tcW w:w="1620" w:type="dxa"/>
          </w:tcPr>
          <w:p w14:paraId="72AC7282" w14:textId="77777777" w:rsidR="00F308DD" w:rsidRDefault="00E0102B" w:rsidP="00F2274D">
            <w:pPr>
              <w:ind w:left="0" w:hanging="2"/>
              <w:rPr>
                <w:rFonts w:ascii="Arial" w:eastAsia="Arial" w:hAnsi="Arial" w:cs="Arial"/>
                <w:sz w:val="22"/>
                <w:szCs w:val="22"/>
              </w:rPr>
            </w:pPr>
            <w:r>
              <w:rPr>
                <w:rFonts w:ascii="Arial" w:eastAsia="Arial" w:hAnsi="Arial" w:cs="Arial"/>
                <w:sz w:val="22"/>
                <w:szCs w:val="22"/>
              </w:rPr>
              <w:t>4</w:t>
            </w:r>
          </w:p>
        </w:tc>
      </w:tr>
      <w:tr w:rsidR="00F308DD" w14:paraId="3D984EC5" w14:textId="77777777" w:rsidTr="00265FBD">
        <w:tc>
          <w:tcPr>
            <w:tcW w:w="15498" w:type="dxa"/>
            <w:gridSpan w:val="4"/>
          </w:tcPr>
          <w:p w14:paraId="2CFB3E78" w14:textId="77777777" w:rsidR="00F308DD" w:rsidRDefault="00632F41" w:rsidP="00F2274D">
            <w:pPr>
              <w:pBdr>
                <w:top w:val="nil"/>
                <w:left w:val="nil"/>
                <w:bottom w:val="nil"/>
                <w:right w:val="nil"/>
                <w:between w:val="nil"/>
              </w:pBdr>
              <w:spacing w:before="120" w:line="240" w:lineRule="auto"/>
              <w:ind w:left="0" w:hanging="2"/>
              <w:rPr>
                <w:rFonts w:ascii="Arial" w:eastAsia="Arial" w:hAnsi="Arial" w:cs="Arial"/>
                <w:b/>
                <w:color w:val="000000"/>
                <w:sz w:val="22"/>
                <w:szCs w:val="22"/>
              </w:rPr>
            </w:pPr>
            <w:r>
              <w:rPr>
                <w:rFonts w:ascii="Arial" w:eastAsia="Arial" w:hAnsi="Arial" w:cs="Arial"/>
                <w:b/>
                <w:color w:val="000000"/>
                <w:sz w:val="22"/>
                <w:szCs w:val="22"/>
              </w:rPr>
              <w:t>Results</w:t>
            </w:r>
          </w:p>
        </w:tc>
      </w:tr>
      <w:tr w:rsidR="00F308DD" w14:paraId="4F7DF3BA" w14:textId="77777777" w:rsidTr="00265FBD">
        <w:tc>
          <w:tcPr>
            <w:tcW w:w="2088" w:type="dxa"/>
            <w:vMerge w:val="restart"/>
          </w:tcPr>
          <w:p w14:paraId="1712B8DB"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Participant flow (a diagram is strongly recommended)</w:t>
            </w:r>
          </w:p>
        </w:tc>
        <w:tc>
          <w:tcPr>
            <w:tcW w:w="720" w:type="dxa"/>
          </w:tcPr>
          <w:p w14:paraId="444A6281"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13a</w:t>
            </w:r>
          </w:p>
        </w:tc>
        <w:tc>
          <w:tcPr>
            <w:tcW w:w="11070" w:type="dxa"/>
          </w:tcPr>
          <w:p w14:paraId="74B1CA7F"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For each group, the numbers of participants who were randomly assigned, received intended treatment, and were analysed for the primary outcome</w:t>
            </w:r>
          </w:p>
        </w:tc>
        <w:tc>
          <w:tcPr>
            <w:tcW w:w="1620" w:type="dxa"/>
          </w:tcPr>
          <w:p w14:paraId="63B26FF5" w14:textId="77777777" w:rsidR="00F308DD" w:rsidRDefault="00202E84" w:rsidP="00F2274D">
            <w:pPr>
              <w:ind w:left="0" w:hanging="2"/>
              <w:rPr>
                <w:rFonts w:ascii="Arial" w:eastAsia="Arial" w:hAnsi="Arial" w:cs="Arial"/>
                <w:sz w:val="22"/>
                <w:szCs w:val="22"/>
              </w:rPr>
            </w:pPr>
            <w:r>
              <w:rPr>
                <w:rFonts w:ascii="Arial" w:eastAsia="Arial" w:hAnsi="Arial" w:cs="Arial"/>
                <w:sz w:val="22"/>
                <w:szCs w:val="22"/>
              </w:rPr>
              <w:t>5,6</w:t>
            </w:r>
          </w:p>
        </w:tc>
      </w:tr>
      <w:tr w:rsidR="00F308DD" w14:paraId="11B9EC24" w14:textId="77777777" w:rsidTr="00265FBD">
        <w:tc>
          <w:tcPr>
            <w:tcW w:w="2088" w:type="dxa"/>
            <w:vMerge/>
          </w:tcPr>
          <w:p w14:paraId="2DFC0BBA" w14:textId="77777777" w:rsidR="00F308DD" w:rsidRDefault="00F308DD" w:rsidP="00F2274D">
            <w:pPr>
              <w:widowControl w:val="0"/>
              <w:pBdr>
                <w:top w:val="nil"/>
                <w:left w:val="nil"/>
                <w:bottom w:val="nil"/>
                <w:right w:val="nil"/>
                <w:between w:val="nil"/>
              </w:pBdr>
              <w:spacing w:line="276" w:lineRule="auto"/>
              <w:ind w:left="0" w:hanging="2"/>
              <w:rPr>
                <w:rFonts w:ascii="Arial" w:eastAsia="Arial" w:hAnsi="Arial" w:cs="Arial"/>
                <w:sz w:val="22"/>
                <w:szCs w:val="22"/>
              </w:rPr>
            </w:pPr>
          </w:p>
        </w:tc>
        <w:tc>
          <w:tcPr>
            <w:tcW w:w="720" w:type="dxa"/>
          </w:tcPr>
          <w:p w14:paraId="395A9A4A"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13b</w:t>
            </w:r>
          </w:p>
        </w:tc>
        <w:tc>
          <w:tcPr>
            <w:tcW w:w="11070" w:type="dxa"/>
          </w:tcPr>
          <w:p w14:paraId="63DDD9CE"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For each group, losses and exclusions after randomisation, together with reasons</w:t>
            </w:r>
          </w:p>
        </w:tc>
        <w:tc>
          <w:tcPr>
            <w:tcW w:w="1620" w:type="dxa"/>
          </w:tcPr>
          <w:p w14:paraId="50F99445" w14:textId="77777777" w:rsidR="00F308DD" w:rsidRDefault="00202E84" w:rsidP="00F2274D">
            <w:pPr>
              <w:ind w:left="0" w:hanging="2"/>
              <w:rPr>
                <w:rFonts w:ascii="Arial" w:eastAsia="Arial" w:hAnsi="Arial" w:cs="Arial"/>
                <w:sz w:val="22"/>
                <w:szCs w:val="22"/>
              </w:rPr>
            </w:pPr>
            <w:r>
              <w:rPr>
                <w:rFonts w:ascii="Arial" w:eastAsia="Arial" w:hAnsi="Arial" w:cs="Arial"/>
                <w:sz w:val="22"/>
                <w:szCs w:val="22"/>
              </w:rPr>
              <w:t>5,6</w:t>
            </w:r>
          </w:p>
        </w:tc>
      </w:tr>
      <w:tr w:rsidR="00F308DD" w14:paraId="1D517BBC" w14:textId="77777777" w:rsidTr="00265FBD">
        <w:tc>
          <w:tcPr>
            <w:tcW w:w="2088" w:type="dxa"/>
            <w:vMerge w:val="restart"/>
          </w:tcPr>
          <w:p w14:paraId="24A4E916"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Recruitment</w:t>
            </w:r>
          </w:p>
        </w:tc>
        <w:tc>
          <w:tcPr>
            <w:tcW w:w="720" w:type="dxa"/>
          </w:tcPr>
          <w:p w14:paraId="658EB9D2"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14a</w:t>
            </w:r>
          </w:p>
        </w:tc>
        <w:tc>
          <w:tcPr>
            <w:tcW w:w="11070" w:type="dxa"/>
          </w:tcPr>
          <w:p w14:paraId="2F7B9C69"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Dates defining the periods of recruitment and follow-up</w:t>
            </w:r>
          </w:p>
        </w:tc>
        <w:tc>
          <w:tcPr>
            <w:tcW w:w="1620" w:type="dxa"/>
          </w:tcPr>
          <w:p w14:paraId="342C29EF" w14:textId="77777777" w:rsidR="00F308DD" w:rsidRDefault="00202E84" w:rsidP="00F2274D">
            <w:pPr>
              <w:ind w:left="0" w:hanging="2"/>
              <w:rPr>
                <w:rFonts w:ascii="Arial" w:eastAsia="Arial" w:hAnsi="Arial" w:cs="Arial"/>
                <w:sz w:val="22"/>
                <w:szCs w:val="22"/>
              </w:rPr>
            </w:pPr>
            <w:r>
              <w:rPr>
                <w:rFonts w:ascii="Arial" w:eastAsia="Arial" w:hAnsi="Arial" w:cs="Arial"/>
                <w:sz w:val="22"/>
                <w:szCs w:val="22"/>
              </w:rPr>
              <w:t>5,6</w:t>
            </w:r>
          </w:p>
        </w:tc>
      </w:tr>
      <w:tr w:rsidR="00F308DD" w14:paraId="7CAF0803" w14:textId="77777777" w:rsidTr="00265FBD">
        <w:tc>
          <w:tcPr>
            <w:tcW w:w="2088" w:type="dxa"/>
            <w:vMerge/>
          </w:tcPr>
          <w:p w14:paraId="5A04A0D4" w14:textId="77777777" w:rsidR="00F308DD" w:rsidRDefault="00F308DD" w:rsidP="00F2274D">
            <w:pPr>
              <w:widowControl w:val="0"/>
              <w:pBdr>
                <w:top w:val="nil"/>
                <w:left w:val="nil"/>
                <w:bottom w:val="nil"/>
                <w:right w:val="nil"/>
                <w:between w:val="nil"/>
              </w:pBdr>
              <w:spacing w:line="276" w:lineRule="auto"/>
              <w:ind w:left="0" w:hanging="2"/>
              <w:rPr>
                <w:rFonts w:ascii="Arial" w:eastAsia="Arial" w:hAnsi="Arial" w:cs="Arial"/>
                <w:sz w:val="22"/>
                <w:szCs w:val="22"/>
              </w:rPr>
            </w:pPr>
          </w:p>
        </w:tc>
        <w:tc>
          <w:tcPr>
            <w:tcW w:w="720" w:type="dxa"/>
          </w:tcPr>
          <w:p w14:paraId="7E9AD46E"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14b</w:t>
            </w:r>
          </w:p>
        </w:tc>
        <w:tc>
          <w:tcPr>
            <w:tcW w:w="11070" w:type="dxa"/>
          </w:tcPr>
          <w:p w14:paraId="14D483FD"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Why the trial ended or was stopped</w:t>
            </w:r>
          </w:p>
        </w:tc>
        <w:tc>
          <w:tcPr>
            <w:tcW w:w="1620" w:type="dxa"/>
          </w:tcPr>
          <w:p w14:paraId="37D8367C" w14:textId="77777777" w:rsidR="00F308DD" w:rsidRDefault="00B8569F" w:rsidP="00F2274D">
            <w:pPr>
              <w:ind w:left="0" w:hanging="2"/>
              <w:rPr>
                <w:rFonts w:ascii="Arial" w:eastAsia="Arial" w:hAnsi="Arial" w:cs="Arial"/>
                <w:sz w:val="22"/>
                <w:szCs w:val="22"/>
              </w:rPr>
            </w:pPr>
            <w:r>
              <w:rPr>
                <w:rFonts w:ascii="Arial" w:eastAsia="Arial" w:hAnsi="Arial" w:cs="Arial"/>
                <w:sz w:val="22"/>
                <w:szCs w:val="22"/>
              </w:rPr>
              <w:t>None</w:t>
            </w:r>
          </w:p>
        </w:tc>
      </w:tr>
      <w:tr w:rsidR="00F308DD" w14:paraId="5F80EA84" w14:textId="77777777" w:rsidTr="00265FBD">
        <w:tc>
          <w:tcPr>
            <w:tcW w:w="2088" w:type="dxa"/>
          </w:tcPr>
          <w:p w14:paraId="61D35A8B"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Baseline data</w:t>
            </w:r>
          </w:p>
        </w:tc>
        <w:tc>
          <w:tcPr>
            <w:tcW w:w="720" w:type="dxa"/>
          </w:tcPr>
          <w:p w14:paraId="04455F4A"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15</w:t>
            </w:r>
          </w:p>
        </w:tc>
        <w:tc>
          <w:tcPr>
            <w:tcW w:w="11070" w:type="dxa"/>
          </w:tcPr>
          <w:p w14:paraId="746556B9"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A table showing baseline demographic and clinical characteristics for each group</w:t>
            </w:r>
          </w:p>
        </w:tc>
        <w:tc>
          <w:tcPr>
            <w:tcW w:w="1620" w:type="dxa"/>
          </w:tcPr>
          <w:p w14:paraId="6EBCE3ED" w14:textId="77777777" w:rsidR="00F308DD" w:rsidRDefault="00202E84" w:rsidP="00F2274D">
            <w:pPr>
              <w:ind w:left="0" w:hanging="2"/>
              <w:rPr>
                <w:rFonts w:ascii="Arial" w:eastAsia="Arial" w:hAnsi="Arial" w:cs="Arial"/>
                <w:sz w:val="22"/>
                <w:szCs w:val="22"/>
              </w:rPr>
            </w:pPr>
            <w:r>
              <w:rPr>
                <w:rFonts w:ascii="Arial" w:eastAsia="Arial" w:hAnsi="Arial" w:cs="Arial"/>
                <w:sz w:val="22"/>
                <w:szCs w:val="22"/>
              </w:rPr>
              <w:t>6</w:t>
            </w:r>
          </w:p>
        </w:tc>
      </w:tr>
      <w:tr w:rsidR="00F308DD" w14:paraId="655A4765" w14:textId="77777777" w:rsidTr="00265FBD">
        <w:tc>
          <w:tcPr>
            <w:tcW w:w="2088" w:type="dxa"/>
          </w:tcPr>
          <w:p w14:paraId="6FB1A7B0"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Numbers analysed</w:t>
            </w:r>
          </w:p>
        </w:tc>
        <w:tc>
          <w:tcPr>
            <w:tcW w:w="720" w:type="dxa"/>
          </w:tcPr>
          <w:p w14:paraId="0D7AEDB2"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16</w:t>
            </w:r>
          </w:p>
        </w:tc>
        <w:tc>
          <w:tcPr>
            <w:tcW w:w="11070" w:type="dxa"/>
          </w:tcPr>
          <w:p w14:paraId="3FFD88BA"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For each group, number of participants (denominator) included in each analysis and whether the analysis was by original assigned groups</w:t>
            </w:r>
          </w:p>
        </w:tc>
        <w:tc>
          <w:tcPr>
            <w:tcW w:w="1620" w:type="dxa"/>
          </w:tcPr>
          <w:p w14:paraId="7C7310D9" w14:textId="77777777" w:rsidR="00F308DD" w:rsidRDefault="00202E84" w:rsidP="00F2274D">
            <w:pPr>
              <w:ind w:left="0" w:hanging="2"/>
              <w:rPr>
                <w:rFonts w:ascii="Arial" w:eastAsia="Arial" w:hAnsi="Arial" w:cs="Arial"/>
                <w:sz w:val="22"/>
                <w:szCs w:val="22"/>
              </w:rPr>
            </w:pPr>
            <w:r>
              <w:rPr>
                <w:rFonts w:ascii="Arial" w:eastAsia="Arial" w:hAnsi="Arial" w:cs="Arial"/>
                <w:sz w:val="22"/>
                <w:szCs w:val="22"/>
              </w:rPr>
              <w:t>6</w:t>
            </w:r>
          </w:p>
        </w:tc>
      </w:tr>
      <w:tr w:rsidR="00F308DD" w14:paraId="2B7A90E3" w14:textId="77777777" w:rsidTr="00265FBD">
        <w:tc>
          <w:tcPr>
            <w:tcW w:w="2088" w:type="dxa"/>
            <w:vMerge w:val="restart"/>
          </w:tcPr>
          <w:p w14:paraId="5371E38E"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Outcomes and estimation</w:t>
            </w:r>
          </w:p>
        </w:tc>
        <w:tc>
          <w:tcPr>
            <w:tcW w:w="720" w:type="dxa"/>
          </w:tcPr>
          <w:p w14:paraId="53338DB6"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17a</w:t>
            </w:r>
          </w:p>
        </w:tc>
        <w:tc>
          <w:tcPr>
            <w:tcW w:w="11070" w:type="dxa"/>
          </w:tcPr>
          <w:p w14:paraId="7BD051C3"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For each primary and secondary outcome, results for each group, and the estimated effect size and its precision (such as 95% confidence interval)</w:t>
            </w:r>
          </w:p>
        </w:tc>
        <w:tc>
          <w:tcPr>
            <w:tcW w:w="1620" w:type="dxa"/>
          </w:tcPr>
          <w:p w14:paraId="01DD8D18" w14:textId="77777777" w:rsidR="00F308DD" w:rsidRDefault="00202E84" w:rsidP="00F2274D">
            <w:pPr>
              <w:ind w:left="0" w:hanging="2"/>
              <w:rPr>
                <w:rFonts w:ascii="Arial" w:eastAsia="Arial" w:hAnsi="Arial" w:cs="Arial"/>
                <w:sz w:val="22"/>
                <w:szCs w:val="22"/>
              </w:rPr>
            </w:pPr>
            <w:r>
              <w:rPr>
                <w:rFonts w:ascii="Arial" w:eastAsia="Arial" w:hAnsi="Arial" w:cs="Arial"/>
                <w:sz w:val="22"/>
                <w:szCs w:val="22"/>
              </w:rPr>
              <w:t>6</w:t>
            </w:r>
          </w:p>
        </w:tc>
      </w:tr>
      <w:tr w:rsidR="00F308DD" w14:paraId="646DCFD1" w14:textId="77777777" w:rsidTr="00265FBD">
        <w:tc>
          <w:tcPr>
            <w:tcW w:w="2088" w:type="dxa"/>
            <w:vMerge/>
          </w:tcPr>
          <w:p w14:paraId="18150CAB" w14:textId="77777777" w:rsidR="00F308DD" w:rsidRDefault="00F308DD" w:rsidP="00F2274D">
            <w:pPr>
              <w:widowControl w:val="0"/>
              <w:pBdr>
                <w:top w:val="nil"/>
                <w:left w:val="nil"/>
                <w:bottom w:val="nil"/>
                <w:right w:val="nil"/>
                <w:between w:val="nil"/>
              </w:pBdr>
              <w:spacing w:line="276" w:lineRule="auto"/>
              <w:ind w:left="0" w:hanging="2"/>
              <w:rPr>
                <w:rFonts w:ascii="Arial" w:eastAsia="Arial" w:hAnsi="Arial" w:cs="Arial"/>
                <w:sz w:val="22"/>
                <w:szCs w:val="22"/>
              </w:rPr>
            </w:pPr>
          </w:p>
        </w:tc>
        <w:tc>
          <w:tcPr>
            <w:tcW w:w="720" w:type="dxa"/>
          </w:tcPr>
          <w:p w14:paraId="7A93A913"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17b</w:t>
            </w:r>
          </w:p>
        </w:tc>
        <w:tc>
          <w:tcPr>
            <w:tcW w:w="11070" w:type="dxa"/>
          </w:tcPr>
          <w:p w14:paraId="0DCA3D82"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For binary outcomes, presentation of both absolute and relative effect sizes is recommended</w:t>
            </w:r>
          </w:p>
        </w:tc>
        <w:tc>
          <w:tcPr>
            <w:tcW w:w="1620" w:type="dxa"/>
          </w:tcPr>
          <w:p w14:paraId="22A66498" w14:textId="77777777" w:rsidR="00F308DD" w:rsidRDefault="00B8569F" w:rsidP="00F2274D">
            <w:pPr>
              <w:ind w:left="0" w:hanging="2"/>
              <w:rPr>
                <w:rFonts w:ascii="Arial" w:eastAsia="Arial" w:hAnsi="Arial" w:cs="Arial"/>
                <w:sz w:val="22"/>
                <w:szCs w:val="22"/>
              </w:rPr>
            </w:pPr>
            <w:r>
              <w:rPr>
                <w:rFonts w:ascii="Arial" w:eastAsia="Arial" w:hAnsi="Arial" w:cs="Arial"/>
                <w:sz w:val="22"/>
                <w:szCs w:val="22"/>
              </w:rPr>
              <w:t>None</w:t>
            </w:r>
          </w:p>
        </w:tc>
      </w:tr>
      <w:tr w:rsidR="00F308DD" w14:paraId="67C8F38A" w14:textId="77777777" w:rsidTr="00265FBD">
        <w:tc>
          <w:tcPr>
            <w:tcW w:w="2088" w:type="dxa"/>
          </w:tcPr>
          <w:p w14:paraId="63CA7265"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Ancillary analyses</w:t>
            </w:r>
          </w:p>
        </w:tc>
        <w:tc>
          <w:tcPr>
            <w:tcW w:w="720" w:type="dxa"/>
          </w:tcPr>
          <w:p w14:paraId="689374FD"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18</w:t>
            </w:r>
          </w:p>
        </w:tc>
        <w:tc>
          <w:tcPr>
            <w:tcW w:w="11070" w:type="dxa"/>
          </w:tcPr>
          <w:p w14:paraId="7BFC081D"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Results of any other analyses performed, including subgroup analyses and adjusted analyses, distinguishing pre-specified from exploratory</w:t>
            </w:r>
          </w:p>
        </w:tc>
        <w:tc>
          <w:tcPr>
            <w:tcW w:w="1620" w:type="dxa"/>
          </w:tcPr>
          <w:p w14:paraId="0ED04A8E" w14:textId="77777777" w:rsidR="00F308DD" w:rsidRDefault="00202E84" w:rsidP="00F2274D">
            <w:pPr>
              <w:ind w:left="0" w:hanging="2"/>
              <w:rPr>
                <w:rFonts w:ascii="Arial" w:eastAsia="Arial" w:hAnsi="Arial" w:cs="Arial"/>
                <w:sz w:val="22"/>
                <w:szCs w:val="22"/>
              </w:rPr>
            </w:pPr>
            <w:r>
              <w:rPr>
                <w:rFonts w:ascii="Arial" w:eastAsia="Arial" w:hAnsi="Arial" w:cs="Arial"/>
                <w:sz w:val="22"/>
                <w:szCs w:val="22"/>
              </w:rPr>
              <w:t>6</w:t>
            </w:r>
          </w:p>
        </w:tc>
      </w:tr>
      <w:tr w:rsidR="00F308DD" w14:paraId="1D5EC4C0" w14:textId="77777777" w:rsidTr="00265FBD">
        <w:tc>
          <w:tcPr>
            <w:tcW w:w="2088" w:type="dxa"/>
          </w:tcPr>
          <w:p w14:paraId="2333D9B0"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Harms</w:t>
            </w:r>
          </w:p>
        </w:tc>
        <w:tc>
          <w:tcPr>
            <w:tcW w:w="720" w:type="dxa"/>
          </w:tcPr>
          <w:p w14:paraId="173305A3"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19</w:t>
            </w:r>
          </w:p>
        </w:tc>
        <w:tc>
          <w:tcPr>
            <w:tcW w:w="11070" w:type="dxa"/>
          </w:tcPr>
          <w:p w14:paraId="1B6C09BF" w14:textId="77777777" w:rsidR="00F308DD" w:rsidRDefault="00632F41" w:rsidP="00F2274D">
            <w:pPr>
              <w:ind w:left="0" w:hanging="2"/>
              <w:rPr>
                <w:rFonts w:ascii="Arial" w:eastAsia="Arial" w:hAnsi="Arial" w:cs="Arial"/>
                <w:sz w:val="22"/>
                <w:szCs w:val="22"/>
              </w:rPr>
            </w:pPr>
            <w:proofErr w:type="spellStart"/>
            <w:r>
              <w:rPr>
                <w:rFonts w:ascii="Arial" w:eastAsia="Arial" w:hAnsi="Arial" w:cs="Arial"/>
                <w:sz w:val="22"/>
                <w:szCs w:val="22"/>
              </w:rPr>
              <w:t>All important</w:t>
            </w:r>
            <w:proofErr w:type="spellEnd"/>
            <w:r>
              <w:rPr>
                <w:rFonts w:ascii="Arial" w:eastAsia="Arial" w:hAnsi="Arial" w:cs="Arial"/>
                <w:sz w:val="22"/>
                <w:szCs w:val="22"/>
              </w:rPr>
              <w:t xml:space="preserve"> harms or unintended effects in each group </w:t>
            </w:r>
            <w:r>
              <w:rPr>
                <w:rFonts w:ascii="Arial" w:eastAsia="Arial" w:hAnsi="Arial" w:cs="Arial"/>
                <w:sz w:val="16"/>
                <w:szCs w:val="16"/>
              </w:rPr>
              <w:t>(for specific guidance see CONSORT for harms)</w:t>
            </w:r>
          </w:p>
        </w:tc>
        <w:tc>
          <w:tcPr>
            <w:tcW w:w="1620" w:type="dxa"/>
          </w:tcPr>
          <w:p w14:paraId="1ABE9B76" w14:textId="77777777" w:rsidR="00F308DD" w:rsidRDefault="00B8569F" w:rsidP="00F2274D">
            <w:pPr>
              <w:ind w:left="0" w:hanging="2"/>
              <w:rPr>
                <w:rFonts w:ascii="Arial" w:eastAsia="Arial" w:hAnsi="Arial" w:cs="Arial"/>
                <w:sz w:val="22"/>
                <w:szCs w:val="22"/>
              </w:rPr>
            </w:pPr>
            <w:r>
              <w:rPr>
                <w:rFonts w:ascii="Arial" w:eastAsia="Arial" w:hAnsi="Arial" w:cs="Arial"/>
                <w:sz w:val="22"/>
                <w:szCs w:val="22"/>
              </w:rPr>
              <w:t>N</w:t>
            </w:r>
            <w:r w:rsidR="00632F41">
              <w:rPr>
                <w:rFonts w:ascii="Arial" w:eastAsia="Arial" w:hAnsi="Arial" w:cs="Arial"/>
                <w:sz w:val="22"/>
                <w:szCs w:val="22"/>
              </w:rPr>
              <w:t>one</w:t>
            </w:r>
          </w:p>
        </w:tc>
      </w:tr>
      <w:tr w:rsidR="00F308DD" w14:paraId="6800E4A6" w14:textId="77777777" w:rsidTr="00265FBD">
        <w:tc>
          <w:tcPr>
            <w:tcW w:w="15498" w:type="dxa"/>
            <w:gridSpan w:val="4"/>
          </w:tcPr>
          <w:p w14:paraId="57AECD25" w14:textId="77777777" w:rsidR="00F308DD" w:rsidRDefault="00632F41" w:rsidP="00F2274D">
            <w:pPr>
              <w:pBdr>
                <w:top w:val="nil"/>
                <w:left w:val="nil"/>
                <w:bottom w:val="nil"/>
                <w:right w:val="nil"/>
                <w:between w:val="nil"/>
              </w:pBdr>
              <w:spacing w:before="120" w:line="240" w:lineRule="auto"/>
              <w:ind w:left="0" w:hanging="2"/>
              <w:rPr>
                <w:rFonts w:ascii="Arial" w:eastAsia="Arial" w:hAnsi="Arial" w:cs="Arial"/>
                <w:b/>
                <w:color w:val="000000"/>
                <w:sz w:val="22"/>
                <w:szCs w:val="22"/>
              </w:rPr>
            </w:pPr>
            <w:r>
              <w:rPr>
                <w:rFonts w:ascii="Arial" w:eastAsia="Arial" w:hAnsi="Arial" w:cs="Arial"/>
                <w:b/>
                <w:color w:val="000000"/>
                <w:sz w:val="22"/>
                <w:szCs w:val="22"/>
              </w:rPr>
              <w:t>Discussion</w:t>
            </w:r>
          </w:p>
        </w:tc>
      </w:tr>
      <w:tr w:rsidR="00F308DD" w14:paraId="304DB495" w14:textId="77777777" w:rsidTr="00265FBD">
        <w:tc>
          <w:tcPr>
            <w:tcW w:w="2088" w:type="dxa"/>
          </w:tcPr>
          <w:p w14:paraId="055096D7"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Limitations</w:t>
            </w:r>
          </w:p>
        </w:tc>
        <w:tc>
          <w:tcPr>
            <w:tcW w:w="720" w:type="dxa"/>
          </w:tcPr>
          <w:p w14:paraId="7FB7641C"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20</w:t>
            </w:r>
          </w:p>
        </w:tc>
        <w:tc>
          <w:tcPr>
            <w:tcW w:w="11070" w:type="dxa"/>
          </w:tcPr>
          <w:p w14:paraId="3988743E"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Trial limitations, addressing sources of potential bias, imprecision, and, if relevant, multiplicity of analyses</w:t>
            </w:r>
          </w:p>
        </w:tc>
        <w:tc>
          <w:tcPr>
            <w:tcW w:w="1620" w:type="dxa"/>
          </w:tcPr>
          <w:p w14:paraId="42E041EB" w14:textId="77777777" w:rsidR="00F308DD" w:rsidRDefault="00202E84" w:rsidP="00F2274D">
            <w:pPr>
              <w:ind w:left="0" w:hanging="2"/>
              <w:rPr>
                <w:rFonts w:ascii="Arial" w:eastAsia="Arial" w:hAnsi="Arial" w:cs="Arial"/>
                <w:sz w:val="22"/>
                <w:szCs w:val="22"/>
              </w:rPr>
            </w:pPr>
            <w:r>
              <w:rPr>
                <w:rFonts w:ascii="Arial" w:eastAsia="Arial" w:hAnsi="Arial" w:cs="Arial"/>
                <w:sz w:val="22"/>
                <w:szCs w:val="22"/>
              </w:rPr>
              <w:t>10</w:t>
            </w:r>
          </w:p>
        </w:tc>
      </w:tr>
      <w:tr w:rsidR="00F308DD" w14:paraId="49DE1C0B" w14:textId="77777777" w:rsidTr="00265FBD">
        <w:tc>
          <w:tcPr>
            <w:tcW w:w="2088" w:type="dxa"/>
          </w:tcPr>
          <w:p w14:paraId="3015744C"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Generalisability</w:t>
            </w:r>
          </w:p>
        </w:tc>
        <w:tc>
          <w:tcPr>
            <w:tcW w:w="720" w:type="dxa"/>
          </w:tcPr>
          <w:p w14:paraId="421B5BFB"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21</w:t>
            </w:r>
          </w:p>
        </w:tc>
        <w:tc>
          <w:tcPr>
            <w:tcW w:w="11070" w:type="dxa"/>
          </w:tcPr>
          <w:p w14:paraId="2EA473E4"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Generalisability (external validity, applicability) of the trial findings</w:t>
            </w:r>
          </w:p>
        </w:tc>
        <w:tc>
          <w:tcPr>
            <w:tcW w:w="1620" w:type="dxa"/>
          </w:tcPr>
          <w:p w14:paraId="75FEC525" w14:textId="77777777" w:rsidR="00F308DD" w:rsidRDefault="00202E84" w:rsidP="00F2274D">
            <w:pPr>
              <w:ind w:left="0" w:hanging="2"/>
              <w:rPr>
                <w:rFonts w:ascii="Arial" w:eastAsia="Arial" w:hAnsi="Arial" w:cs="Arial"/>
                <w:sz w:val="22"/>
                <w:szCs w:val="22"/>
              </w:rPr>
            </w:pPr>
            <w:r>
              <w:rPr>
                <w:rFonts w:ascii="Arial" w:eastAsia="Arial" w:hAnsi="Arial" w:cs="Arial"/>
                <w:sz w:val="22"/>
                <w:szCs w:val="22"/>
              </w:rPr>
              <w:t>10</w:t>
            </w:r>
          </w:p>
        </w:tc>
      </w:tr>
      <w:tr w:rsidR="00F308DD" w14:paraId="7D9D45D1" w14:textId="77777777" w:rsidTr="00265FBD">
        <w:tc>
          <w:tcPr>
            <w:tcW w:w="2088" w:type="dxa"/>
          </w:tcPr>
          <w:p w14:paraId="68E6B8B8"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Interpretation</w:t>
            </w:r>
          </w:p>
        </w:tc>
        <w:tc>
          <w:tcPr>
            <w:tcW w:w="720" w:type="dxa"/>
          </w:tcPr>
          <w:p w14:paraId="76496C2B"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22</w:t>
            </w:r>
          </w:p>
        </w:tc>
        <w:tc>
          <w:tcPr>
            <w:tcW w:w="11070" w:type="dxa"/>
          </w:tcPr>
          <w:p w14:paraId="79C79B17"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Interpretation consistent with results, balancing benefits and harms, and considering other relevant evidence</w:t>
            </w:r>
          </w:p>
        </w:tc>
        <w:tc>
          <w:tcPr>
            <w:tcW w:w="1620" w:type="dxa"/>
          </w:tcPr>
          <w:p w14:paraId="7995A9BA" w14:textId="77777777" w:rsidR="00F308DD" w:rsidRDefault="00202E84" w:rsidP="00F2274D">
            <w:pPr>
              <w:ind w:left="0" w:hanging="2"/>
              <w:rPr>
                <w:rFonts w:ascii="Arial" w:eastAsia="Arial" w:hAnsi="Arial" w:cs="Arial"/>
                <w:sz w:val="22"/>
                <w:szCs w:val="22"/>
              </w:rPr>
            </w:pPr>
            <w:r>
              <w:rPr>
                <w:rFonts w:ascii="Arial" w:eastAsia="Arial" w:hAnsi="Arial" w:cs="Arial"/>
                <w:sz w:val="22"/>
                <w:szCs w:val="22"/>
              </w:rPr>
              <w:t>7-8-9-10</w:t>
            </w:r>
          </w:p>
        </w:tc>
      </w:tr>
      <w:tr w:rsidR="00F308DD" w14:paraId="3BA1F011" w14:textId="77777777" w:rsidTr="00265FBD">
        <w:tc>
          <w:tcPr>
            <w:tcW w:w="13878" w:type="dxa"/>
            <w:gridSpan w:val="3"/>
          </w:tcPr>
          <w:p w14:paraId="158C6FDE" w14:textId="77777777" w:rsidR="00F308DD" w:rsidRDefault="00632F41" w:rsidP="00F2274D">
            <w:pPr>
              <w:pBdr>
                <w:top w:val="nil"/>
                <w:left w:val="nil"/>
                <w:bottom w:val="nil"/>
                <w:right w:val="nil"/>
                <w:between w:val="nil"/>
              </w:pBdr>
              <w:spacing w:before="120" w:line="240" w:lineRule="auto"/>
              <w:ind w:left="0" w:hanging="2"/>
              <w:rPr>
                <w:rFonts w:ascii="Arial" w:eastAsia="Arial" w:hAnsi="Arial" w:cs="Arial"/>
                <w:b/>
                <w:color w:val="000000"/>
                <w:sz w:val="22"/>
                <w:szCs w:val="22"/>
              </w:rPr>
            </w:pPr>
            <w:r>
              <w:rPr>
                <w:rFonts w:ascii="Arial" w:eastAsia="Arial" w:hAnsi="Arial" w:cs="Arial"/>
                <w:b/>
                <w:color w:val="000000"/>
                <w:sz w:val="22"/>
                <w:szCs w:val="22"/>
              </w:rPr>
              <w:t>Other information</w:t>
            </w:r>
          </w:p>
        </w:tc>
        <w:tc>
          <w:tcPr>
            <w:tcW w:w="1620" w:type="dxa"/>
          </w:tcPr>
          <w:p w14:paraId="47AC64C0" w14:textId="77777777" w:rsidR="00F308DD" w:rsidRDefault="00F308DD" w:rsidP="00F2274D">
            <w:pPr>
              <w:ind w:left="0" w:hanging="2"/>
              <w:rPr>
                <w:rFonts w:ascii="Arial" w:eastAsia="Arial" w:hAnsi="Arial" w:cs="Arial"/>
                <w:sz w:val="22"/>
                <w:szCs w:val="22"/>
              </w:rPr>
            </w:pPr>
          </w:p>
        </w:tc>
      </w:tr>
      <w:tr w:rsidR="00F308DD" w14:paraId="1E091333" w14:textId="77777777" w:rsidTr="00265FBD">
        <w:tc>
          <w:tcPr>
            <w:tcW w:w="2088" w:type="dxa"/>
          </w:tcPr>
          <w:p w14:paraId="4E839F9B"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Registration</w:t>
            </w:r>
          </w:p>
        </w:tc>
        <w:tc>
          <w:tcPr>
            <w:tcW w:w="720" w:type="dxa"/>
          </w:tcPr>
          <w:p w14:paraId="2A8ED893"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23</w:t>
            </w:r>
          </w:p>
        </w:tc>
        <w:tc>
          <w:tcPr>
            <w:tcW w:w="11070" w:type="dxa"/>
          </w:tcPr>
          <w:p w14:paraId="45173C05"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Registration number and name of trial registry</w:t>
            </w:r>
          </w:p>
        </w:tc>
        <w:tc>
          <w:tcPr>
            <w:tcW w:w="1620" w:type="dxa"/>
          </w:tcPr>
          <w:p w14:paraId="276663A2" w14:textId="77777777" w:rsidR="00F308DD" w:rsidRDefault="00202E84" w:rsidP="00F2274D">
            <w:pPr>
              <w:ind w:left="0" w:hanging="2"/>
              <w:rPr>
                <w:rFonts w:ascii="Arial" w:eastAsia="Arial" w:hAnsi="Arial" w:cs="Arial"/>
                <w:sz w:val="22"/>
                <w:szCs w:val="22"/>
              </w:rPr>
            </w:pPr>
            <w:r>
              <w:rPr>
                <w:rFonts w:ascii="Arial" w:eastAsia="Arial" w:hAnsi="Arial" w:cs="Arial"/>
                <w:sz w:val="22"/>
                <w:szCs w:val="22"/>
              </w:rPr>
              <w:t>10</w:t>
            </w:r>
          </w:p>
        </w:tc>
      </w:tr>
      <w:tr w:rsidR="00F308DD" w14:paraId="6C83317B" w14:textId="77777777" w:rsidTr="00265FBD">
        <w:tc>
          <w:tcPr>
            <w:tcW w:w="2088" w:type="dxa"/>
          </w:tcPr>
          <w:p w14:paraId="5D323ABB"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Protocol</w:t>
            </w:r>
          </w:p>
        </w:tc>
        <w:tc>
          <w:tcPr>
            <w:tcW w:w="720" w:type="dxa"/>
          </w:tcPr>
          <w:p w14:paraId="6B040268"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24</w:t>
            </w:r>
          </w:p>
        </w:tc>
        <w:tc>
          <w:tcPr>
            <w:tcW w:w="11070" w:type="dxa"/>
          </w:tcPr>
          <w:p w14:paraId="13DD2DE5"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Where the full trial protocol can be accessed, if available</w:t>
            </w:r>
          </w:p>
        </w:tc>
        <w:tc>
          <w:tcPr>
            <w:tcW w:w="1620" w:type="dxa"/>
          </w:tcPr>
          <w:p w14:paraId="27366310" w14:textId="77777777" w:rsidR="00F308DD" w:rsidRDefault="00202E84" w:rsidP="00B8569F">
            <w:pPr>
              <w:ind w:leftChars="0" w:left="0" w:firstLineChars="0" w:firstLine="0"/>
              <w:rPr>
                <w:rFonts w:ascii="Arial" w:eastAsia="Arial" w:hAnsi="Arial" w:cs="Arial"/>
                <w:sz w:val="22"/>
                <w:szCs w:val="22"/>
              </w:rPr>
            </w:pPr>
            <w:r>
              <w:rPr>
                <w:rFonts w:ascii="Arial" w:eastAsia="Arial" w:hAnsi="Arial" w:cs="Arial"/>
                <w:sz w:val="22"/>
                <w:szCs w:val="22"/>
              </w:rPr>
              <w:t>10</w:t>
            </w:r>
          </w:p>
        </w:tc>
      </w:tr>
      <w:tr w:rsidR="00F308DD" w14:paraId="3D41A1CE" w14:textId="77777777" w:rsidTr="00265FBD">
        <w:tc>
          <w:tcPr>
            <w:tcW w:w="2088" w:type="dxa"/>
          </w:tcPr>
          <w:p w14:paraId="000E1F44"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Funding</w:t>
            </w:r>
          </w:p>
        </w:tc>
        <w:tc>
          <w:tcPr>
            <w:tcW w:w="720" w:type="dxa"/>
          </w:tcPr>
          <w:p w14:paraId="38D2369D" w14:textId="77777777" w:rsidR="00F308DD" w:rsidRDefault="00632F41" w:rsidP="00F2274D">
            <w:pPr>
              <w:ind w:left="0" w:hanging="2"/>
              <w:jc w:val="center"/>
              <w:rPr>
                <w:rFonts w:ascii="Arial" w:eastAsia="Arial" w:hAnsi="Arial" w:cs="Arial"/>
                <w:sz w:val="22"/>
                <w:szCs w:val="22"/>
              </w:rPr>
            </w:pPr>
            <w:r>
              <w:rPr>
                <w:rFonts w:ascii="Arial" w:eastAsia="Arial" w:hAnsi="Arial" w:cs="Arial"/>
                <w:sz w:val="22"/>
                <w:szCs w:val="22"/>
              </w:rPr>
              <w:t>25</w:t>
            </w:r>
          </w:p>
        </w:tc>
        <w:tc>
          <w:tcPr>
            <w:tcW w:w="11070" w:type="dxa"/>
          </w:tcPr>
          <w:p w14:paraId="738606BD" w14:textId="77777777" w:rsidR="00F308DD" w:rsidRDefault="00632F41" w:rsidP="00F2274D">
            <w:pPr>
              <w:ind w:left="0" w:hanging="2"/>
              <w:rPr>
                <w:rFonts w:ascii="Arial" w:eastAsia="Arial" w:hAnsi="Arial" w:cs="Arial"/>
                <w:sz w:val="22"/>
                <w:szCs w:val="22"/>
              </w:rPr>
            </w:pPr>
            <w:r>
              <w:rPr>
                <w:rFonts w:ascii="Arial" w:eastAsia="Arial" w:hAnsi="Arial" w:cs="Arial"/>
                <w:sz w:val="22"/>
                <w:szCs w:val="22"/>
              </w:rPr>
              <w:t>Sources of funding and other support (such as supply of drugs), role of funders</w:t>
            </w:r>
          </w:p>
        </w:tc>
        <w:tc>
          <w:tcPr>
            <w:tcW w:w="1620" w:type="dxa"/>
          </w:tcPr>
          <w:p w14:paraId="77BD891A" w14:textId="77777777" w:rsidR="00F308DD" w:rsidRDefault="00202E84" w:rsidP="00F2274D">
            <w:pPr>
              <w:ind w:left="0" w:hanging="2"/>
              <w:rPr>
                <w:rFonts w:ascii="Arial" w:eastAsia="Arial" w:hAnsi="Arial" w:cs="Arial"/>
                <w:sz w:val="22"/>
                <w:szCs w:val="22"/>
              </w:rPr>
            </w:pPr>
            <w:r>
              <w:rPr>
                <w:rFonts w:ascii="Arial" w:eastAsia="Arial" w:hAnsi="Arial" w:cs="Arial"/>
                <w:sz w:val="22"/>
                <w:szCs w:val="22"/>
              </w:rPr>
              <w:t>10</w:t>
            </w:r>
          </w:p>
        </w:tc>
      </w:tr>
    </w:tbl>
    <w:p w14:paraId="19E94351" w14:textId="77777777" w:rsidR="00F308DD" w:rsidRDefault="00F308DD" w:rsidP="00F2274D">
      <w:pPr>
        <w:pBdr>
          <w:top w:val="nil"/>
          <w:left w:val="nil"/>
          <w:bottom w:val="nil"/>
          <w:right w:val="nil"/>
          <w:between w:val="nil"/>
        </w:pBdr>
        <w:tabs>
          <w:tab w:val="left" w:pos="4830"/>
        </w:tabs>
        <w:spacing w:line="240" w:lineRule="auto"/>
        <w:rPr>
          <w:color w:val="000000"/>
          <w:sz w:val="8"/>
          <w:szCs w:val="8"/>
        </w:rPr>
      </w:pPr>
    </w:p>
    <w:p w14:paraId="24C827FC" w14:textId="77777777" w:rsidR="00F308DD" w:rsidRDefault="00632F41" w:rsidP="00F308DD">
      <w:pPr>
        <w:pBdr>
          <w:top w:val="nil"/>
          <w:left w:val="nil"/>
          <w:bottom w:val="nil"/>
          <w:right w:val="nil"/>
          <w:between w:val="nil"/>
        </w:pBdr>
        <w:spacing w:line="240" w:lineRule="auto"/>
        <w:ind w:left="0" w:hanging="2"/>
        <w:rPr>
          <w:color w:val="000000"/>
          <w:sz w:val="20"/>
          <w:szCs w:val="20"/>
        </w:rPr>
      </w:pPr>
      <w:r>
        <w:rPr>
          <w:color w:val="000000"/>
          <w:sz w:val="20"/>
          <w:szCs w:val="20"/>
        </w:rPr>
        <w:t xml:space="preserve">*We strongly recommend reading this statement in conjunction with the CONSORT 2010 Explanation and Elaboration for important clarifications on all the items. If relevant, we also recommend reading CONSORT extensions for cluster randomised trials, non-inferiority and equivalence trials, non-pharmacological treatments, herbal interventions, and pragmatic trials. Additional extensions are forthcoming: for those and for up to date references relevant to this checklist, see </w:t>
      </w:r>
      <w:hyperlink r:id="rId8">
        <w:r>
          <w:rPr>
            <w:color w:val="0000FF"/>
            <w:sz w:val="20"/>
            <w:szCs w:val="20"/>
            <w:u w:val="single"/>
          </w:rPr>
          <w:t>www.consort-statement.org</w:t>
        </w:r>
      </w:hyperlink>
      <w:r>
        <w:rPr>
          <w:color w:val="000000"/>
          <w:sz w:val="20"/>
          <w:szCs w:val="20"/>
        </w:rPr>
        <w:t>.</w:t>
      </w:r>
    </w:p>
    <w:sectPr w:rsidR="00F308DD">
      <w:footerReference w:type="even" r:id="rId9"/>
      <w:footerReference w:type="default" r:id="rId10"/>
      <w:pgSz w:w="16834" w:h="11909" w:orient="landscape"/>
      <w:pgMar w:top="720" w:right="720" w:bottom="720" w:left="72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B5491" w14:textId="77777777" w:rsidR="008C3DF7" w:rsidRDefault="008C3DF7" w:rsidP="00F2274D">
      <w:pPr>
        <w:spacing w:line="240" w:lineRule="auto"/>
        <w:ind w:left="0" w:hanging="2"/>
      </w:pPr>
      <w:r>
        <w:separator/>
      </w:r>
    </w:p>
  </w:endnote>
  <w:endnote w:type="continuationSeparator" w:id="0">
    <w:p w14:paraId="5CCBED3B" w14:textId="77777777" w:rsidR="008C3DF7" w:rsidRDefault="008C3DF7" w:rsidP="00F2274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8728" w14:textId="77777777" w:rsidR="00F308DD" w:rsidRDefault="00632F41" w:rsidP="00F2274D">
    <w:pPr>
      <w:pBdr>
        <w:top w:val="nil"/>
        <w:left w:val="nil"/>
        <w:bottom w:val="nil"/>
        <w:right w:val="nil"/>
        <w:between w:val="nil"/>
      </w:pBdr>
      <w:tabs>
        <w:tab w:val="center" w:pos="4153"/>
        <w:tab w:val="right" w:pos="8306"/>
      </w:tabs>
      <w:spacing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4992D369" w14:textId="77777777" w:rsidR="00F308DD" w:rsidRDefault="00F308DD" w:rsidP="00F2274D">
    <w:pPr>
      <w:pBdr>
        <w:top w:val="nil"/>
        <w:left w:val="nil"/>
        <w:bottom w:val="nil"/>
        <w:right w:val="nil"/>
        <w:between w:val="nil"/>
      </w:pBdr>
      <w:tabs>
        <w:tab w:val="center" w:pos="4153"/>
        <w:tab w:val="right" w:pos="8306"/>
      </w:tabs>
      <w:spacing w:line="240" w:lineRule="auto"/>
      <w:ind w:left="0" w:right="360" w:hanging="2"/>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1AC1" w14:textId="77777777" w:rsidR="00F308DD" w:rsidRDefault="00632F41" w:rsidP="00F2274D">
    <w:pPr>
      <w:pBdr>
        <w:top w:val="single" w:sz="4" w:space="1" w:color="000000"/>
        <w:left w:val="nil"/>
        <w:bottom w:val="nil"/>
        <w:right w:val="nil"/>
        <w:between w:val="nil"/>
      </w:pBdr>
      <w:tabs>
        <w:tab w:val="center" w:pos="4153"/>
        <w:tab w:val="right" w:pos="8306"/>
        <w:tab w:val="right" w:pos="15390"/>
      </w:tabs>
      <w:spacing w:line="240" w:lineRule="auto"/>
      <w:ind w:left="0" w:hanging="2"/>
      <w:rPr>
        <w:rFonts w:ascii="Arial" w:eastAsia="Arial" w:hAnsi="Arial" w:cs="Arial"/>
        <w:color w:val="000000"/>
        <w:sz w:val="16"/>
        <w:szCs w:val="16"/>
      </w:rPr>
    </w:pPr>
    <w:r>
      <w:rPr>
        <w:rFonts w:ascii="Arial" w:eastAsia="Arial" w:hAnsi="Arial" w:cs="Arial"/>
        <w:i/>
        <w:color w:val="000000"/>
        <w:sz w:val="16"/>
        <w:szCs w:val="16"/>
      </w:rPr>
      <w:t xml:space="preserve">CONSORT 2010 checklist </w:t>
    </w:r>
    <w:r>
      <w:rPr>
        <w:rFonts w:ascii="Arial" w:eastAsia="Arial" w:hAnsi="Arial" w:cs="Arial"/>
        <w:i/>
        <w:color w:val="000000"/>
        <w:sz w:val="16"/>
        <w:szCs w:val="16"/>
      </w:rPr>
      <w:tab/>
      <w:t xml:space="preserve">Page </w:t>
    </w:r>
    <w:r>
      <w:rPr>
        <w:rFonts w:ascii="Arial" w:eastAsia="Arial" w:hAnsi="Arial" w:cs="Arial"/>
        <w:i/>
        <w:color w:val="000000"/>
        <w:sz w:val="16"/>
        <w:szCs w:val="16"/>
      </w:rPr>
      <w:fldChar w:fldCharType="begin"/>
    </w:r>
    <w:r>
      <w:rPr>
        <w:rFonts w:ascii="Arial" w:eastAsia="Arial" w:hAnsi="Arial" w:cs="Arial"/>
        <w:i/>
        <w:color w:val="000000"/>
        <w:sz w:val="16"/>
        <w:szCs w:val="16"/>
      </w:rPr>
      <w:instrText>PAGE</w:instrText>
    </w:r>
    <w:r>
      <w:rPr>
        <w:rFonts w:ascii="Arial" w:eastAsia="Arial" w:hAnsi="Arial" w:cs="Arial"/>
        <w:i/>
        <w:color w:val="000000"/>
        <w:sz w:val="16"/>
        <w:szCs w:val="16"/>
      </w:rPr>
      <w:fldChar w:fldCharType="separate"/>
    </w:r>
    <w:r w:rsidR="00265FBD">
      <w:rPr>
        <w:rFonts w:ascii="Arial" w:eastAsia="Arial" w:hAnsi="Arial" w:cs="Arial"/>
        <w:i/>
        <w:noProof/>
        <w:color w:val="000000"/>
        <w:sz w:val="16"/>
        <w:szCs w:val="16"/>
      </w:rPr>
      <w:t>1</w:t>
    </w:r>
    <w:r>
      <w:rPr>
        <w:rFonts w:ascii="Arial" w:eastAsia="Arial" w:hAnsi="Arial" w:cs="Arial"/>
        <w:i/>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E40C" w14:textId="77777777" w:rsidR="008C3DF7" w:rsidRDefault="008C3DF7" w:rsidP="00F2274D">
      <w:pPr>
        <w:spacing w:line="240" w:lineRule="auto"/>
        <w:ind w:left="0" w:hanging="2"/>
      </w:pPr>
      <w:r>
        <w:separator/>
      </w:r>
    </w:p>
  </w:footnote>
  <w:footnote w:type="continuationSeparator" w:id="0">
    <w:p w14:paraId="06F6097F" w14:textId="77777777" w:rsidR="008C3DF7" w:rsidRDefault="008C3DF7" w:rsidP="00F2274D">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B15B5"/>
    <w:multiLevelType w:val="multilevel"/>
    <w:tmpl w:val="EB802D6A"/>
    <w:lvl w:ilvl="0">
      <w:start w:val="1"/>
      <w:numFmt w:val="decimal"/>
      <w:pStyle w:val="Address"/>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DD"/>
    <w:rsid w:val="00202E84"/>
    <w:rsid w:val="00214390"/>
    <w:rsid w:val="00265FBD"/>
    <w:rsid w:val="003949FE"/>
    <w:rsid w:val="00427D48"/>
    <w:rsid w:val="004A0212"/>
    <w:rsid w:val="0056129B"/>
    <w:rsid w:val="00632F41"/>
    <w:rsid w:val="008C3DF7"/>
    <w:rsid w:val="00B26FAF"/>
    <w:rsid w:val="00B417C9"/>
    <w:rsid w:val="00B429A2"/>
    <w:rsid w:val="00B8569F"/>
    <w:rsid w:val="00CB1823"/>
    <w:rsid w:val="00D41246"/>
    <w:rsid w:val="00D41A63"/>
    <w:rsid w:val="00DF6D11"/>
    <w:rsid w:val="00E0102B"/>
    <w:rsid w:val="00F2274D"/>
    <w:rsid w:val="00F308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8BA0"/>
  <w15:docId w15:val="{AD7D9826-24C3-49B7-9EAB-17D75A81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300"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spacing w:before="240" w:after="60"/>
    </w:pPr>
    <w:rPr>
      <w:rFonts w:ascii="Arial" w:hAnsi="Arial"/>
      <w:b/>
      <w:bCs/>
      <w:kern w:val="32"/>
      <w:sz w:val="32"/>
      <w:szCs w:val="32"/>
    </w:rPr>
  </w:style>
  <w:style w:type="paragraph" w:styleId="Heading2">
    <w:name w:val="heading 2"/>
    <w:basedOn w:val="Normal"/>
    <w:next w:val="Normal"/>
    <w:pPr>
      <w:keepNext/>
      <w:numPr>
        <w:ilvl w:val="1"/>
        <w:numId w:val="1"/>
      </w:numPr>
      <w:spacing w:before="240" w:after="60" w:line="240" w:lineRule="auto"/>
      <w:ind w:left="-1" w:hanging="1"/>
      <w:outlineLvl w:val="1"/>
    </w:pPr>
    <w:rPr>
      <w:rFonts w:ascii="Arial" w:hAnsi="Arial"/>
      <w:b/>
      <w:i/>
    </w:rPr>
  </w:style>
  <w:style w:type="paragraph" w:styleId="Heading3">
    <w:name w:val="heading 3"/>
    <w:basedOn w:val="Normal"/>
    <w:next w:val="Normal"/>
    <w:pPr>
      <w:keepNext/>
      <w:numPr>
        <w:ilvl w:val="2"/>
        <w:numId w:val="1"/>
      </w:numPr>
      <w:spacing w:before="240" w:after="60" w:line="240" w:lineRule="auto"/>
      <w:ind w:left="-1" w:hanging="1"/>
      <w:outlineLvl w:val="2"/>
    </w:pPr>
    <w:rPr>
      <w:rFonts w:ascii="Arial" w:hAnsi="Arial"/>
    </w:rPr>
  </w:style>
  <w:style w:type="paragraph" w:styleId="Heading4">
    <w:name w:val="heading 4"/>
    <w:basedOn w:val="Normal"/>
    <w:next w:val="Normal"/>
    <w:pPr>
      <w:keepNext/>
      <w:numPr>
        <w:ilvl w:val="3"/>
        <w:numId w:val="1"/>
      </w:numPr>
      <w:spacing w:before="240" w:after="60" w:line="240" w:lineRule="auto"/>
      <w:ind w:left="-1" w:hanging="1"/>
      <w:outlineLvl w:val="3"/>
    </w:pPr>
    <w:rPr>
      <w:rFonts w:ascii="Arial" w:hAnsi="Arial"/>
      <w:b/>
    </w:rPr>
  </w:style>
  <w:style w:type="paragraph" w:styleId="Heading5">
    <w:name w:val="heading 5"/>
    <w:basedOn w:val="Normal"/>
    <w:next w:val="Normal"/>
    <w:pPr>
      <w:numPr>
        <w:ilvl w:val="4"/>
        <w:numId w:val="1"/>
      </w:numPr>
      <w:spacing w:before="240" w:after="60" w:line="240" w:lineRule="auto"/>
      <w:ind w:left="-1" w:hanging="1"/>
      <w:outlineLvl w:val="4"/>
    </w:pPr>
    <w:rPr>
      <w:sz w:val="22"/>
    </w:rPr>
  </w:style>
  <w:style w:type="paragraph" w:styleId="Heading6">
    <w:name w:val="heading 6"/>
    <w:basedOn w:val="Normal"/>
    <w:next w:val="Normal"/>
    <w:pPr>
      <w:numPr>
        <w:ilvl w:val="5"/>
        <w:numId w:val="1"/>
      </w:numPr>
      <w:spacing w:before="240" w:after="60" w:line="240" w:lineRule="auto"/>
      <w:ind w:left="-1" w:hanging="1"/>
      <w:outlineLvl w:val="5"/>
    </w:pPr>
    <w:rPr>
      <w:i/>
      <w:sz w:val="22"/>
    </w:rPr>
  </w:style>
  <w:style w:type="paragraph" w:styleId="Heading7">
    <w:name w:val="heading 7"/>
    <w:basedOn w:val="Normal"/>
    <w:next w:val="Normal"/>
    <w:pPr>
      <w:numPr>
        <w:ilvl w:val="6"/>
        <w:numId w:val="1"/>
      </w:numPr>
      <w:spacing w:before="240" w:after="60" w:line="240" w:lineRule="auto"/>
      <w:ind w:left="-1" w:hanging="1"/>
      <w:outlineLvl w:val="6"/>
    </w:pPr>
    <w:rPr>
      <w:rFonts w:ascii="Arial" w:hAnsi="Arial"/>
      <w:sz w:val="20"/>
    </w:rPr>
  </w:style>
  <w:style w:type="paragraph" w:styleId="Heading8">
    <w:name w:val="heading 8"/>
    <w:basedOn w:val="Normal"/>
    <w:next w:val="Normal"/>
    <w:pPr>
      <w:numPr>
        <w:ilvl w:val="7"/>
        <w:numId w:val="1"/>
      </w:numPr>
      <w:spacing w:before="240" w:after="60" w:line="240" w:lineRule="auto"/>
      <w:ind w:left="-1" w:hanging="1"/>
      <w:outlineLvl w:val="7"/>
    </w:pPr>
    <w:rPr>
      <w:rFonts w:ascii="Arial" w:hAnsi="Arial"/>
      <w:i/>
      <w:sz w:val="20"/>
    </w:rPr>
  </w:style>
  <w:style w:type="paragraph" w:styleId="Heading9">
    <w:name w:val="heading 9"/>
    <w:basedOn w:val="Normal"/>
    <w:next w:val="Normal"/>
    <w:pPr>
      <w:numPr>
        <w:ilvl w:val="8"/>
        <w:numId w:val="1"/>
      </w:numPr>
      <w:spacing w:before="240" w:after="60" w:line="240" w:lineRule="auto"/>
      <w:ind w:left="-1" w:hanging="1"/>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pPr>
      <w:spacing w:before="60" w:after="60"/>
    </w:pPr>
    <w:rPr>
      <w:b/>
      <w:sz w:val="28"/>
    </w:rPr>
  </w:style>
  <w:style w:type="paragraph" w:styleId="BodyTextIndent">
    <w:name w:val="Body Text Indent"/>
    <w:basedOn w:val="Normal"/>
    <w:pPr>
      <w:spacing w:after="120"/>
      <w:ind w:left="283"/>
    </w:pPr>
  </w:style>
  <w:style w:type="paragraph" w:styleId="BalloonText">
    <w:name w:val="Balloon Text"/>
    <w:basedOn w:val="Normal"/>
    <w:rPr>
      <w:rFonts w:ascii="Tahoma" w:hAnsi="Tahoma" w:cs="Tahoma"/>
      <w:sz w:val="16"/>
      <w:szCs w:val="16"/>
    </w:rPr>
  </w:style>
  <w:style w:type="paragraph" w:styleId="Footer">
    <w:name w:val="footer"/>
    <w:basedOn w:val="Normal"/>
    <w:pPr>
      <w:tabs>
        <w:tab w:val="center" w:pos="4153"/>
        <w:tab w:val="right" w:pos="8306"/>
      </w:tabs>
      <w:spacing w:line="240" w:lineRule="auto"/>
    </w:pPr>
    <w:rPr>
      <w:rFonts w:ascii="Arial" w:hAnsi="Arial"/>
      <w:sz w:val="20"/>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spacing w:line="240" w:lineRule="auto"/>
    </w:pPr>
    <w:rPr>
      <w:sz w:val="18"/>
    </w:rPr>
  </w:style>
  <w:style w:type="paragraph" w:styleId="FootnoteText">
    <w:name w:val="footnote text"/>
    <w:basedOn w:val="Normal"/>
    <w:pPr>
      <w:spacing w:line="240" w:lineRule="auto"/>
    </w:pPr>
    <w:rPr>
      <w:sz w:val="20"/>
    </w:rPr>
  </w:style>
  <w:style w:type="paragraph" w:customStyle="1" w:styleId="ArtGroupTitle">
    <w:name w:val="ArtGroupTitle"/>
    <w:basedOn w:val="Title"/>
    <w:next w:val="Title"/>
  </w:style>
  <w:style w:type="paragraph" w:styleId="PlainText">
    <w:name w:val="Plain Text"/>
    <w:basedOn w:val="Normal"/>
    <w:rPr>
      <w:rFonts w:ascii="Courier New" w:hAnsi="Courier New"/>
      <w:sz w:val="20"/>
    </w:rPr>
  </w:style>
  <w:style w:type="paragraph" w:customStyle="1" w:styleId="Abbreviations">
    <w:name w:val="Abbreviations"/>
    <w:basedOn w:val="Normal"/>
    <w:pPr>
      <w:spacing w:line="240" w:lineRule="auto"/>
    </w:pPr>
  </w:style>
  <w:style w:type="paragraph" w:customStyle="1" w:styleId="AbstractPara">
    <w:name w:val="AbstractPara"/>
    <w:basedOn w:val="Normal"/>
    <w:pPr>
      <w:spacing w:line="240" w:lineRule="auto"/>
    </w:pPr>
  </w:style>
  <w:style w:type="paragraph" w:customStyle="1" w:styleId="AbstractTitle">
    <w:name w:val="AbstractTitle"/>
    <w:basedOn w:val="Normal"/>
    <w:next w:val="AbstractPara"/>
    <w:pPr>
      <w:spacing w:before="120" w:line="240" w:lineRule="atLeast"/>
      <w:outlineLvl w:val="1"/>
    </w:pPr>
    <w:rPr>
      <w:b/>
      <w:sz w:val="26"/>
    </w:rPr>
  </w:style>
  <w:style w:type="paragraph" w:customStyle="1" w:styleId="Accepted">
    <w:name w:val="Accepted"/>
    <w:basedOn w:val="Normal"/>
    <w:pPr>
      <w:spacing w:before="120" w:line="240" w:lineRule="atLeast"/>
    </w:pPr>
  </w:style>
  <w:style w:type="paragraph" w:customStyle="1" w:styleId="Acknowledge">
    <w:name w:val="Acknowledge"/>
    <w:basedOn w:val="Normal"/>
    <w:pPr>
      <w:spacing w:line="240" w:lineRule="auto"/>
    </w:pPr>
  </w:style>
  <w:style w:type="paragraph" w:customStyle="1" w:styleId="Address">
    <w:name w:val="Address"/>
    <w:basedOn w:val="Normal"/>
    <w:pPr>
      <w:numPr>
        <w:numId w:val="2"/>
      </w:numPr>
      <w:spacing w:before="120" w:after="40" w:line="240" w:lineRule="auto"/>
      <w:ind w:left="-1" w:hanging="1"/>
    </w:pPr>
  </w:style>
  <w:style w:type="paragraph" w:customStyle="1" w:styleId="Author">
    <w:name w:val="Author"/>
    <w:basedOn w:val="Normal"/>
    <w:next w:val="Normal"/>
    <w:pPr>
      <w:spacing w:before="80" w:line="240" w:lineRule="auto"/>
    </w:pPr>
  </w:style>
  <w:style w:type="paragraph" w:customStyle="1" w:styleId="AuthoredBy">
    <w:name w:val="AuthoredBy"/>
    <w:basedOn w:val="Normal"/>
    <w:pPr>
      <w:spacing w:line="240" w:lineRule="auto"/>
    </w:pPr>
  </w:style>
  <w:style w:type="paragraph" w:customStyle="1" w:styleId="Banner">
    <w:name w:val="Banner"/>
    <w:basedOn w:val="Normal"/>
    <w:pPr>
      <w:spacing w:before="120" w:line="280" w:lineRule="atLeast"/>
    </w:pPr>
    <w:rPr>
      <w:i/>
      <w:sz w:val="28"/>
    </w:rPr>
  </w:style>
  <w:style w:type="paragraph" w:customStyle="1" w:styleId="BoxEnd">
    <w:name w:val="BoxEnd"/>
    <w:basedOn w:val="Normal"/>
    <w:pPr>
      <w:pBdr>
        <w:bottom w:val="single" w:sz="12" w:space="1" w:color="auto"/>
        <w:right w:val="single" w:sz="12" w:space="1" w:color="auto"/>
      </w:pBdr>
      <w:spacing w:after="120" w:line="240" w:lineRule="auto"/>
    </w:pPr>
  </w:style>
  <w:style w:type="paragraph" w:customStyle="1" w:styleId="BoxStart1">
    <w:name w:val="BoxStart1"/>
    <w:basedOn w:val="Normal"/>
    <w:pPr>
      <w:pBdr>
        <w:top w:val="single" w:sz="12" w:space="1" w:color="auto"/>
        <w:left w:val="single" w:sz="12" w:space="1" w:color="auto"/>
      </w:pBdr>
      <w:spacing w:line="240" w:lineRule="auto"/>
    </w:pPr>
  </w:style>
  <w:style w:type="paragraph" w:customStyle="1" w:styleId="BoxStart2">
    <w:name w:val="BoxStart2"/>
    <w:basedOn w:val="BoxStart1"/>
  </w:style>
  <w:style w:type="paragraph" w:customStyle="1" w:styleId="BoxStart3">
    <w:name w:val="BoxStart3"/>
    <w:basedOn w:val="BoxStart1"/>
  </w:style>
  <w:style w:type="paragraph" w:styleId="Caption">
    <w:name w:val="caption"/>
    <w:basedOn w:val="Normal"/>
    <w:next w:val="Normal"/>
    <w:pPr>
      <w:spacing w:before="120" w:after="120" w:line="240" w:lineRule="auto"/>
    </w:pPr>
    <w:rPr>
      <w:b/>
      <w:sz w:val="20"/>
    </w:rPr>
  </w:style>
  <w:style w:type="paragraph" w:styleId="CommentText">
    <w:name w:val="annotation text"/>
    <w:basedOn w:val="Normal"/>
    <w:pPr>
      <w:spacing w:line="240" w:lineRule="auto"/>
    </w:pPr>
    <w:rPr>
      <w:sz w:val="20"/>
    </w:rPr>
  </w:style>
  <w:style w:type="paragraph" w:styleId="BlockText">
    <w:name w:val="Block Text"/>
    <w:basedOn w:val="Normal"/>
    <w:pPr>
      <w:spacing w:after="120"/>
      <w:ind w:left="1440" w:right="1440"/>
    </w:pPr>
  </w:style>
  <w:style w:type="paragraph" w:customStyle="1" w:styleId="Conflict">
    <w:name w:val="Conflict"/>
    <w:basedOn w:val="Normal"/>
    <w:pPr>
      <w:spacing w:before="120" w:after="120" w:line="240" w:lineRule="auto"/>
    </w:pPr>
  </w:style>
  <w:style w:type="paragraph" w:customStyle="1" w:styleId="Correspdent">
    <w:name w:val="Correspdent"/>
    <w:basedOn w:val="Normal"/>
    <w:pPr>
      <w:spacing w:line="240" w:lineRule="auto"/>
    </w:pPr>
  </w:style>
  <w:style w:type="paragraph" w:customStyle="1" w:styleId="Credit">
    <w:name w:val="Credit"/>
    <w:basedOn w:val="Caption"/>
    <w:rPr>
      <w:sz w:val="18"/>
    </w:rPr>
  </w:style>
  <w:style w:type="paragraph" w:styleId="Date">
    <w:name w:val="Date"/>
    <w:basedOn w:val="Normal"/>
    <w:next w:val="Normal"/>
    <w:pPr>
      <w:spacing w:line="240" w:lineRule="auto"/>
    </w:pPr>
  </w:style>
  <w:style w:type="paragraph" w:customStyle="1" w:styleId="Article">
    <w:name w:val="Article"/>
    <w:basedOn w:val="Normal"/>
    <w:pPr>
      <w:keepNext/>
      <w:suppressAutoHyphens w:val="0"/>
      <w:spacing w:before="120" w:after="60" w:line="240" w:lineRule="auto"/>
    </w:pPr>
    <w:rPr>
      <w:rFonts w:ascii="Arial" w:hAnsi="Arial"/>
      <w:b/>
      <w:noProof/>
      <w:sz w:val="18"/>
    </w:rPr>
  </w:style>
  <w:style w:type="paragraph" w:customStyle="1" w:styleId="Para">
    <w:name w:val="Para"/>
    <w:basedOn w:val="Normal"/>
    <w:pPr>
      <w:spacing w:line="360" w:lineRule="auto"/>
      <w:ind w:firstLine="288"/>
    </w:pPr>
  </w:style>
  <w:style w:type="paragraph" w:customStyle="1" w:styleId="EdFtNote">
    <w:name w:val="EdFtNote"/>
    <w:basedOn w:val="Para"/>
    <w:pPr>
      <w:spacing w:before="60"/>
      <w:ind w:firstLine="0"/>
    </w:pPr>
  </w:style>
  <w:style w:type="paragraph" w:styleId="BodyText">
    <w:name w:val="Body Text"/>
    <w:basedOn w:val="Normal"/>
    <w:pPr>
      <w:spacing w:after="120"/>
    </w:pPr>
  </w:style>
  <w:style w:type="character" w:styleId="EndnoteReference">
    <w:name w:val="endnote reference"/>
    <w:rPr>
      <w:w w:val="100"/>
      <w:position w:val="-1"/>
      <w:effect w:val="none"/>
      <w:vertAlign w:val="superscript"/>
      <w:cs w:val="0"/>
      <w:em w:val="none"/>
    </w:rPr>
  </w:style>
  <w:style w:type="paragraph" w:styleId="EndnoteText">
    <w:name w:val="endnote text"/>
    <w:basedOn w:val="Normal"/>
    <w:pPr>
      <w:spacing w:line="240" w:lineRule="auto"/>
    </w:pPr>
    <w:rPr>
      <w:sz w:val="20"/>
    </w:rPr>
  </w:style>
  <w:style w:type="paragraph" w:customStyle="1" w:styleId="IndentQuote">
    <w:name w:val="IndentQuote"/>
    <w:basedOn w:val="Normal"/>
    <w:pPr>
      <w:spacing w:before="60" w:line="240" w:lineRule="atLeast"/>
      <w:ind w:left="288" w:right="288"/>
    </w:pPr>
  </w:style>
  <w:style w:type="paragraph" w:customStyle="1" w:styleId="Epigraph">
    <w:name w:val="Epigraph"/>
    <w:basedOn w:val="IndentQuote"/>
  </w:style>
  <w:style w:type="paragraph" w:customStyle="1" w:styleId="Equation">
    <w:name w:val="Equation"/>
    <w:basedOn w:val="Normal"/>
    <w:pPr>
      <w:spacing w:line="240" w:lineRule="auto"/>
    </w:pPr>
    <w:rPr>
      <w:b/>
      <w:i/>
    </w:rPr>
  </w:style>
  <w:style w:type="paragraph" w:customStyle="1" w:styleId="FigLeg">
    <w:name w:val="FigLeg"/>
    <w:basedOn w:val="Normal"/>
    <w:pPr>
      <w:spacing w:line="240" w:lineRule="auto"/>
    </w:pPr>
  </w:style>
  <w:style w:type="paragraph" w:customStyle="1" w:styleId="Figure">
    <w:name w:val="Figure"/>
    <w:basedOn w:val="Normal"/>
    <w:pPr>
      <w:tabs>
        <w:tab w:val="left" w:pos="720"/>
      </w:tabs>
    </w:pPr>
    <w:rPr>
      <w:b/>
    </w:rPr>
  </w:style>
  <w:style w:type="character" w:customStyle="1" w:styleId="FigureRef">
    <w:name w:val="FigureRef"/>
    <w:rPr>
      <w:color w:val="0000FF"/>
      <w:w w:val="100"/>
      <w:position w:val="-1"/>
      <w:effect w:val="none"/>
      <w:vertAlign w:val="superscript"/>
      <w:cs w:val="0"/>
      <w:em w:val="none"/>
    </w:rPr>
  </w:style>
  <w:style w:type="character" w:customStyle="1" w:styleId="FnoteRef">
    <w:name w:val="FnoteRef"/>
    <w:rPr>
      <w:color w:val="FF0000"/>
      <w:w w:val="100"/>
      <w:position w:val="-1"/>
      <w:effect w:val="none"/>
      <w:vertAlign w:val="superscript"/>
      <w:cs w:val="0"/>
      <w:em w:val="none"/>
    </w:rPr>
  </w:style>
  <w:style w:type="paragraph" w:customStyle="1" w:styleId="Footnote">
    <w:name w:val="Footnote"/>
    <w:basedOn w:val="Normal"/>
    <w:pPr>
      <w:spacing w:line="240" w:lineRule="auto"/>
    </w:pPr>
  </w:style>
  <w:style w:type="character" w:styleId="FootnoteReference">
    <w:name w:val="footnote reference"/>
    <w:rPr>
      <w:w w:val="100"/>
      <w:position w:val="-1"/>
      <w:effect w:val="none"/>
      <w:vertAlign w:val="superscript"/>
      <w:cs w:val="0"/>
      <w:em w:val="none"/>
    </w:rPr>
  </w:style>
  <w:style w:type="paragraph" w:customStyle="1" w:styleId="Funding">
    <w:name w:val="Funding"/>
    <w:basedOn w:val="Normal"/>
    <w:pPr>
      <w:spacing w:after="120" w:line="240" w:lineRule="auto"/>
    </w:pPr>
  </w:style>
  <w:style w:type="paragraph" w:customStyle="1" w:styleId="GroupTitle">
    <w:name w:val="GroupTitle"/>
    <w:basedOn w:val="Title"/>
    <w:next w:val="Title"/>
  </w:style>
  <w:style w:type="paragraph" w:customStyle="1" w:styleId="HeadA">
    <w:name w:val="HeadA"/>
    <w:basedOn w:val="Normal"/>
    <w:pPr>
      <w:keepNext/>
      <w:suppressAutoHyphens w:val="0"/>
      <w:spacing w:before="120" w:line="280" w:lineRule="atLeast"/>
      <w:outlineLvl w:val="1"/>
    </w:pPr>
    <w:rPr>
      <w:b/>
    </w:rPr>
  </w:style>
  <w:style w:type="paragraph" w:customStyle="1" w:styleId="HeadB">
    <w:name w:val="HeadB"/>
    <w:basedOn w:val="Normal"/>
    <w:pPr>
      <w:keepNext/>
      <w:suppressAutoHyphens w:val="0"/>
      <w:spacing w:before="60" w:line="280" w:lineRule="atLeast"/>
      <w:outlineLvl w:val="2"/>
    </w:pPr>
    <w:rPr>
      <w:b/>
      <w:sz w:val="20"/>
    </w:rPr>
  </w:style>
  <w:style w:type="paragraph" w:customStyle="1" w:styleId="HeadC">
    <w:name w:val="HeadC"/>
    <w:basedOn w:val="Normal"/>
    <w:pPr>
      <w:keepNext/>
      <w:suppressAutoHyphens w:val="0"/>
      <w:spacing w:before="60" w:line="280" w:lineRule="atLeast"/>
      <w:outlineLvl w:val="3"/>
    </w:pPr>
    <w:rPr>
      <w:i/>
      <w:sz w:val="20"/>
    </w:rPr>
  </w:style>
  <w:style w:type="paragraph" w:styleId="BodyText2">
    <w:name w:val="Body Text 2"/>
    <w:basedOn w:val="Normal"/>
    <w:pPr>
      <w:spacing w:after="120" w:line="480" w:lineRule="auto"/>
    </w:pPr>
  </w:style>
  <w:style w:type="paragraph" w:customStyle="1" w:styleId="Keywords">
    <w:name w:val="Keywords"/>
    <w:basedOn w:val="Normal"/>
    <w:pPr>
      <w:spacing w:line="240" w:lineRule="auto"/>
    </w:pPr>
  </w:style>
  <w:style w:type="paragraph" w:styleId="ListBullet">
    <w:name w:val="List Bullet"/>
    <w:basedOn w:val="Normal"/>
    <w:pPr>
      <w:tabs>
        <w:tab w:val="num" w:pos="360"/>
      </w:tabs>
      <w:spacing w:line="240" w:lineRule="auto"/>
      <w:ind w:left="360" w:hanging="360"/>
    </w:pPr>
  </w:style>
  <w:style w:type="paragraph" w:customStyle="1" w:styleId="List1">
    <w:name w:val="List1"/>
    <w:basedOn w:val="Normal"/>
    <w:pPr>
      <w:spacing w:before="40" w:after="120" w:line="240" w:lineRule="atLeast"/>
    </w:pPr>
  </w:style>
  <w:style w:type="paragraph" w:customStyle="1" w:styleId="List2">
    <w:name w:val="List2"/>
    <w:basedOn w:val="Normal"/>
    <w:pPr>
      <w:spacing w:before="40" w:line="240" w:lineRule="atLeast"/>
      <w:ind w:left="720"/>
    </w:pPr>
  </w:style>
  <w:style w:type="paragraph" w:styleId="BodyText3">
    <w:name w:val="Body Text 3"/>
    <w:basedOn w:val="Normal"/>
    <w:pPr>
      <w:spacing w:after="120"/>
    </w:pPr>
    <w:rPr>
      <w:sz w:val="16"/>
      <w:szCs w:val="16"/>
    </w:rPr>
  </w:style>
  <w:style w:type="paragraph" w:customStyle="1" w:styleId="ListPara">
    <w:name w:val="ListPara"/>
    <w:basedOn w:val="Normal"/>
    <w:pPr>
      <w:spacing w:line="240" w:lineRule="auto"/>
      <w:ind w:left="720"/>
    </w:pPr>
  </w:style>
  <w:style w:type="paragraph" w:customStyle="1" w:styleId="Miscellaneous">
    <w:name w:val="Miscellaneous"/>
    <w:basedOn w:val="Normal"/>
    <w:pPr>
      <w:spacing w:before="120" w:line="240" w:lineRule="atLeast"/>
    </w:pPr>
  </w:style>
  <w:style w:type="paragraph" w:customStyle="1" w:styleId="MoreInfo">
    <w:name w:val="MoreInfo"/>
    <w:basedOn w:val="Normal"/>
    <w:pPr>
      <w:spacing w:before="120" w:line="240" w:lineRule="auto"/>
    </w:pPr>
  </w:style>
  <w:style w:type="paragraph" w:customStyle="1" w:styleId="MoreInfoWeb">
    <w:name w:val="MoreInfoWeb"/>
    <w:basedOn w:val="Normal"/>
    <w:pPr>
      <w:spacing w:before="120" w:line="240" w:lineRule="atLeast"/>
    </w:pPr>
  </w:style>
  <w:style w:type="character" w:customStyle="1" w:styleId="Noindex">
    <w:name w:val="Noindex"/>
    <w:rPr>
      <w:color w:val="FF6600"/>
      <w:w w:val="100"/>
      <w:position w:val="-1"/>
      <w:effect w:val="none"/>
      <w:vertAlign w:val="baseline"/>
      <w:cs w:val="0"/>
      <w:em w:val="none"/>
    </w:rPr>
  </w:style>
  <w:style w:type="paragraph" w:customStyle="1" w:styleId="ParaCont">
    <w:name w:val="ParaCont"/>
    <w:basedOn w:val="Normal"/>
    <w:pPr>
      <w:spacing w:line="360" w:lineRule="auto"/>
    </w:pPr>
  </w:style>
  <w:style w:type="paragraph" w:customStyle="1" w:styleId="HeadE">
    <w:name w:val="HeadE"/>
    <w:basedOn w:val="HeadD"/>
    <w:rPr>
      <w:b w:val="0"/>
      <w:i/>
    </w:rPr>
  </w:style>
  <w:style w:type="paragraph" w:customStyle="1" w:styleId="Participators">
    <w:name w:val="Participators"/>
    <w:basedOn w:val="Normal"/>
    <w:pPr>
      <w:spacing w:before="120" w:after="120"/>
    </w:pPr>
  </w:style>
  <w:style w:type="paragraph" w:customStyle="1" w:styleId="Collaboration">
    <w:name w:val="Collaboration"/>
    <w:basedOn w:val="Author"/>
  </w:style>
  <w:style w:type="paragraph" w:customStyle="1" w:styleId="OnBehalfOf">
    <w:name w:val="OnBehalfOf"/>
    <w:basedOn w:val="ShortTitle"/>
    <w:pPr>
      <w:spacing w:before="120" w:after="120"/>
    </w:pPr>
    <w:rPr>
      <w:i w:val="0"/>
    </w:rPr>
  </w:style>
  <w:style w:type="character" w:styleId="CommentReference">
    <w:name w:val="annotation reference"/>
    <w:rPr>
      <w:w w:val="100"/>
      <w:position w:val="-1"/>
      <w:sz w:val="16"/>
      <w:effect w:val="none"/>
      <w:vertAlign w:val="baseline"/>
      <w:cs w:val="0"/>
      <w:em w:val="none"/>
    </w:rPr>
  </w:style>
  <w:style w:type="paragraph" w:customStyle="1" w:styleId="Position">
    <w:name w:val="Position"/>
    <w:basedOn w:val="Normal"/>
    <w:next w:val="Normal"/>
    <w:pPr>
      <w:spacing w:line="240" w:lineRule="auto"/>
    </w:pPr>
    <w:rPr>
      <w:i/>
    </w:rPr>
  </w:style>
  <w:style w:type="paragraph" w:customStyle="1" w:styleId="ProductAuth">
    <w:name w:val="ProductAuth"/>
    <w:basedOn w:val="Address"/>
    <w:pPr>
      <w:numPr>
        <w:numId w:val="0"/>
      </w:numPr>
      <w:spacing w:before="160" w:after="0" w:line="360" w:lineRule="auto"/>
      <w:ind w:leftChars="-1" w:left="-1" w:hangingChars="1" w:hanging="1"/>
    </w:pPr>
  </w:style>
  <w:style w:type="paragraph" w:customStyle="1" w:styleId="ProductDetails">
    <w:name w:val="ProductDetails"/>
    <w:basedOn w:val="Para"/>
  </w:style>
  <w:style w:type="paragraph" w:styleId="BodyTextFirstIndent">
    <w:name w:val="Body Text First Indent"/>
    <w:basedOn w:val="BodyText"/>
    <w:pPr>
      <w:ind w:firstLine="210"/>
    </w:pPr>
  </w:style>
  <w:style w:type="paragraph" w:customStyle="1" w:styleId="QuoteRef">
    <w:name w:val="QuoteRef"/>
    <w:basedOn w:val="Normal"/>
    <w:pPr>
      <w:spacing w:after="60"/>
    </w:pPr>
  </w:style>
  <w:style w:type="paragraph" w:customStyle="1" w:styleId="Rating">
    <w:name w:val="Rating"/>
    <w:basedOn w:val="Para"/>
    <w:pPr>
      <w:ind w:firstLine="0"/>
    </w:pPr>
  </w:style>
  <w:style w:type="paragraph" w:customStyle="1" w:styleId="Reference">
    <w:name w:val="Reference"/>
    <w:basedOn w:val="Normal"/>
    <w:pPr>
      <w:tabs>
        <w:tab w:val="num" w:pos="720"/>
      </w:tabs>
      <w:spacing w:before="40" w:line="360" w:lineRule="auto"/>
    </w:pPr>
  </w:style>
  <w:style w:type="paragraph" w:customStyle="1" w:styleId="RelatedTo">
    <w:name w:val="RelatedTo"/>
    <w:basedOn w:val="Normal"/>
  </w:style>
  <w:style w:type="paragraph" w:customStyle="1" w:styleId="RelatedToWeb">
    <w:name w:val="RelatedToWeb"/>
    <w:basedOn w:val="Normal"/>
  </w:style>
  <w:style w:type="paragraph" w:customStyle="1" w:styleId="Reviewed">
    <w:name w:val="Reviewed"/>
    <w:basedOn w:val="ParaCont"/>
  </w:style>
  <w:style w:type="paragraph" w:styleId="Salutation">
    <w:name w:val="Salutation"/>
    <w:basedOn w:val="Normal"/>
    <w:next w:val="Normal"/>
  </w:style>
  <w:style w:type="paragraph" w:customStyle="1" w:styleId="ShortAuthor">
    <w:name w:val="ShortAuthor"/>
    <w:basedOn w:val="Normal"/>
    <w:rPr>
      <w:i/>
    </w:rPr>
  </w:style>
  <w:style w:type="paragraph" w:customStyle="1" w:styleId="ShortTitle">
    <w:name w:val="ShortTitle"/>
    <w:basedOn w:val="Normal"/>
    <w:rPr>
      <w:i/>
    </w:rPr>
  </w:style>
  <w:style w:type="paragraph" w:customStyle="1" w:styleId="SourceRef">
    <w:name w:val="SourceRef"/>
    <w:basedOn w:val="Para"/>
    <w:pPr>
      <w:ind w:firstLine="0"/>
    </w:pPr>
  </w:style>
  <w:style w:type="paragraph" w:customStyle="1" w:styleId="Standfirst">
    <w:name w:val="Standfirst"/>
    <w:basedOn w:val="Accepted"/>
  </w:style>
  <w:style w:type="paragraph" w:styleId="Subtitle">
    <w:name w:val="Subtitle"/>
    <w:basedOn w:val="Normal"/>
    <w:pPr>
      <w:keepNext/>
      <w:keepLines/>
      <w:spacing w:before="360" w:after="80"/>
    </w:pPr>
    <w:rPr>
      <w:rFonts w:ascii="Georgia" w:eastAsia="Georgia" w:hAnsi="Georgia" w:cs="Georgia"/>
      <w:i/>
      <w:color w:val="666666"/>
      <w:sz w:val="48"/>
      <w:szCs w:val="48"/>
    </w:rPr>
  </w:style>
  <w:style w:type="paragraph" w:customStyle="1" w:styleId="Table">
    <w:name w:val="Table"/>
    <w:basedOn w:val="Normal"/>
    <w:pPr>
      <w:tabs>
        <w:tab w:val="num" w:pos="720"/>
        <w:tab w:val="left" w:pos="1021"/>
      </w:tabs>
    </w:pPr>
    <w:rPr>
      <w:i/>
    </w:rPr>
  </w:style>
  <w:style w:type="paragraph" w:customStyle="1" w:styleId="TableNote">
    <w:name w:val="TableNote"/>
    <w:basedOn w:val="Normal"/>
  </w:style>
  <w:style w:type="character" w:customStyle="1" w:styleId="TableRef">
    <w:name w:val="TableRef"/>
    <w:rPr>
      <w:color w:val="0000FF"/>
      <w:w w:val="100"/>
      <w:position w:val="-1"/>
      <w:effect w:val="none"/>
      <w:vertAlign w:val="superscript"/>
      <w:cs w:val="0"/>
      <w:em w:val="none"/>
    </w:rPr>
  </w:style>
  <w:style w:type="paragraph" w:customStyle="1" w:styleId="TableTitle">
    <w:name w:val="TableTitle"/>
    <w:basedOn w:val="Normal"/>
  </w:style>
  <w:style w:type="paragraph" w:customStyle="1" w:styleId="Topic">
    <w:name w:val="Topic"/>
    <w:basedOn w:val="Normal"/>
    <w:pPr>
      <w:spacing w:before="40" w:line="260" w:lineRule="atLeast"/>
    </w:pPr>
    <w:rPr>
      <w:i/>
      <w:color w:val="0000FF"/>
    </w:rPr>
  </w:style>
  <w:style w:type="character" w:customStyle="1" w:styleId="URL">
    <w:name w:val="URL"/>
    <w:rPr>
      <w:color w:val="666699"/>
      <w:w w:val="100"/>
      <w:position w:val="-1"/>
      <w:effect w:val="none"/>
      <w:vertAlign w:val="baseline"/>
      <w:cs w:val="0"/>
      <w:em w:val="none"/>
    </w:rPr>
  </w:style>
  <w:style w:type="paragraph" w:customStyle="1" w:styleId="WebRef">
    <w:name w:val="WebRef"/>
    <w:basedOn w:val="Normal"/>
    <w:pPr>
      <w:tabs>
        <w:tab w:val="left" w:pos="720"/>
      </w:tabs>
    </w:pPr>
  </w:style>
  <w:style w:type="character" w:customStyle="1" w:styleId="XRef">
    <w:name w:val="XRef"/>
    <w:rPr>
      <w:color w:val="0000FF"/>
      <w:w w:val="100"/>
      <w:position w:val="-1"/>
      <w:effect w:val="none"/>
      <w:vertAlign w:val="superscript"/>
      <w:cs w:val="0"/>
      <w:em w:val="none"/>
    </w:rPr>
  </w:style>
  <w:style w:type="paragraph" w:styleId="BodyTextFirstIndent2">
    <w:name w:val="Body Text First Indent 2"/>
    <w:basedOn w:val="BodyTextIndent"/>
    <w:pPr>
      <w:ind w:firstLine="210"/>
    </w:pPr>
  </w:style>
  <w:style w:type="character" w:customStyle="1" w:styleId="wXRef">
    <w:name w:val="wXRef"/>
    <w:basedOn w:val="XRef"/>
    <w:rPr>
      <w:color w:val="0000FF"/>
      <w:w w:val="100"/>
      <w:position w:val="-1"/>
      <w:effect w:val="none"/>
      <w:vertAlign w:val="superscript"/>
      <w:cs w:val="0"/>
      <w:em w:val="none"/>
    </w:rPr>
  </w:style>
  <w:style w:type="character" w:customStyle="1" w:styleId="email">
    <w:name w:val="email"/>
    <w:basedOn w:val="URL"/>
    <w:rPr>
      <w:color w:val="666699"/>
      <w:w w:val="100"/>
      <w:position w:val="-1"/>
      <w:effect w:val="none"/>
      <w:vertAlign w:val="baseline"/>
      <w:cs w:val="0"/>
      <w:em w:val="none"/>
    </w:rPr>
  </w:style>
  <w:style w:type="paragraph" w:customStyle="1" w:styleId="BoxStartx">
    <w:name w:val="BoxStartx"/>
    <w:basedOn w:val="BoxStart1"/>
  </w:style>
  <w:style w:type="paragraph" w:customStyle="1" w:styleId="HeadD">
    <w:name w:val="HeadD"/>
    <w:basedOn w:val="HeadB"/>
    <w:next w:val="Normal"/>
    <w:pPr>
      <w:outlineLvl w:val="4"/>
    </w:pPr>
    <w:rPr>
      <w:sz w:val="16"/>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ocumentMap">
    <w:name w:val="Document Map"/>
    <w:basedOn w:val="Normal"/>
    <w:pPr>
      <w:shd w:val="clear" w:color="auto" w:fill="000080"/>
    </w:pPr>
    <w:rPr>
      <w:rFonts w:ascii="Tahoma" w:hAnsi="Tahoma" w:cs="Tahoma"/>
      <w:sz w:val="20"/>
    </w:rPr>
  </w:style>
  <w:style w:type="paragraph" w:styleId="E-mailSignature">
    <w:name w:val="E-mail Signature"/>
    <w:basedOn w:val="Normal"/>
  </w:style>
  <w:style w:type="paragraph" w:styleId="EnvelopeAddress">
    <w:name w:val="envelope address"/>
    <w:basedOn w:val="Normal"/>
    <w:pPr>
      <w:framePr w:w="7920" w:hSpace="180" w:wrap="auto" w:vAnchor="page" w:hAnchor="text" w:xAlign="center" w:yAlign="bottom"/>
      <w:ind w:left="2880"/>
    </w:pPr>
    <w:rPr>
      <w:rFonts w:ascii="Arial" w:hAnsi="Arial"/>
    </w:rPr>
  </w:style>
  <w:style w:type="paragraph" w:styleId="EnvelopeReturn">
    <w:name w:val="envelope return"/>
    <w:basedOn w:val="Normal"/>
    <w:rPr>
      <w:rFonts w:ascii="Arial" w:hAnsi="Arial"/>
      <w:sz w:val="20"/>
    </w:rPr>
  </w:style>
  <w:style w:type="character" w:styleId="FollowedHyperlink">
    <w:name w:val="FollowedHyperlink"/>
    <w:rPr>
      <w:color w:val="800080"/>
      <w:w w:val="100"/>
      <w:position w:val="-1"/>
      <w:u w:val="single"/>
      <w:effect w:val="none"/>
      <w:vertAlign w:val="baseline"/>
      <w:cs w:val="0"/>
      <w:em w:val="none"/>
    </w:rPr>
  </w:style>
  <w:style w:type="character" w:styleId="HTMLAcronym">
    <w:name w:val="HTML Acronym"/>
    <w:basedOn w:val="DefaultParagraphFont"/>
    <w:rPr>
      <w:w w:val="100"/>
      <w:position w:val="-1"/>
      <w:effect w:val="none"/>
      <w:vertAlign w:val="baseline"/>
      <w:cs w:val="0"/>
      <w:em w:val="none"/>
    </w:rPr>
  </w:style>
  <w:style w:type="paragraph" w:styleId="HTMLAddress">
    <w:name w:val="HTML Address"/>
    <w:basedOn w:val="Normal"/>
    <w:rPr>
      <w:i/>
      <w:iCs/>
    </w:rPr>
  </w:style>
  <w:style w:type="character" w:styleId="HTMLCite">
    <w:name w:val="HTML Cite"/>
    <w:rPr>
      <w:i/>
      <w:iCs/>
      <w:w w:val="100"/>
      <w:position w:val="-1"/>
      <w:effect w:val="none"/>
      <w:vertAlign w:val="baseline"/>
      <w:cs w:val="0"/>
      <w:em w:val="none"/>
    </w:rPr>
  </w:style>
  <w:style w:type="character" w:styleId="HTMLCode">
    <w:name w:val="HTML Code"/>
    <w:rPr>
      <w:rFonts w:ascii="Courier New" w:hAnsi="Courier New"/>
      <w:w w:val="100"/>
      <w:position w:val="-1"/>
      <w:sz w:val="20"/>
      <w:szCs w:val="20"/>
      <w:effect w:val="none"/>
      <w:vertAlign w:val="baseline"/>
      <w:cs w:val="0"/>
      <w:em w:val="none"/>
    </w:rPr>
  </w:style>
  <w:style w:type="character" w:styleId="HTMLDefinition">
    <w:name w:val="HTML Definition"/>
    <w:rPr>
      <w:i/>
      <w:iCs/>
      <w:w w:val="100"/>
      <w:position w:val="-1"/>
      <w:effect w:val="none"/>
      <w:vertAlign w:val="baseline"/>
      <w:cs w:val="0"/>
      <w:em w:val="none"/>
    </w:rPr>
  </w:style>
  <w:style w:type="character" w:styleId="HTMLKeyboard">
    <w:name w:val="HTML Keyboard"/>
    <w:rPr>
      <w:rFonts w:ascii="Courier New" w:hAnsi="Courier New"/>
      <w:w w:val="100"/>
      <w:position w:val="-1"/>
      <w:sz w:val="20"/>
      <w:szCs w:val="20"/>
      <w:effect w:val="none"/>
      <w:vertAlign w:val="baseline"/>
      <w:cs w:val="0"/>
      <w:em w:val="none"/>
    </w:rPr>
  </w:style>
  <w:style w:type="paragraph" w:styleId="HTMLPreformatted">
    <w:name w:val="HTML Preformatted"/>
    <w:basedOn w:val="Normal"/>
    <w:rPr>
      <w:rFonts w:ascii="Courier New" w:hAnsi="Courier New"/>
      <w:sz w:val="20"/>
    </w:rPr>
  </w:style>
  <w:style w:type="character" w:styleId="HTMLSample">
    <w:name w:val="HTML Sample"/>
    <w:rPr>
      <w:rFonts w:ascii="Courier New" w:hAnsi="Courier New"/>
      <w:w w:val="100"/>
      <w:position w:val="-1"/>
      <w:effect w:val="none"/>
      <w:vertAlign w:val="baseline"/>
      <w:cs w:val="0"/>
      <w:em w:val="none"/>
    </w:rPr>
  </w:style>
  <w:style w:type="character" w:styleId="HTMLTypewriter">
    <w:name w:val="HTML Typewriter"/>
    <w:rPr>
      <w:rFonts w:ascii="Courier New" w:hAnsi="Courier New"/>
      <w:w w:val="100"/>
      <w:position w:val="-1"/>
      <w:sz w:val="20"/>
      <w:szCs w:val="20"/>
      <w:effect w:val="none"/>
      <w:vertAlign w:val="baseline"/>
      <w:cs w:val="0"/>
      <w:em w:val="none"/>
    </w:rPr>
  </w:style>
  <w:style w:type="character" w:styleId="HTMLVariable">
    <w:name w:val="HTML Variable"/>
    <w:rPr>
      <w:i/>
      <w:iCs/>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Arial" w:hAnsi="Arial"/>
      <w:b/>
      <w:bCs/>
    </w:rPr>
  </w:style>
  <w:style w:type="character" w:styleId="LineNumber">
    <w:name w:val="line number"/>
    <w:basedOn w:val="DefaultParagraphFont"/>
    <w:rPr>
      <w:w w:val="100"/>
      <w:position w:val="-1"/>
      <w:effect w:val="none"/>
      <w:vertAlign w:val="baseline"/>
      <w:cs w:val="0"/>
      <w:em w:val="none"/>
    </w:rPr>
  </w:style>
  <w:style w:type="paragraph" w:styleId="List">
    <w:name w:val="List"/>
    <w:basedOn w:val="Normal"/>
    <w:pPr>
      <w:ind w:left="283" w:hanging="283"/>
    </w:pPr>
  </w:style>
  <w:style w:type="paragraph" w:styleId="List20">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Normal"/>
    <w:pPr>
      <w:tabs>
        <w:tab w:val="num" w:pos="515"/>
      </w:tabs>
      <w:ind w:left="628" w:hanging="340"/>
    </w:pPr>
  </w:style>
  <w:style w:type="paragraph" w:styleId="ListBullet3">
    <w:name w:val="List Bullet 3"/>
    <w:basedOn w:val="Normal"/>
    <w:pPr>
      <w:tabs>
        <w:tab w:val="num" w:pos="926"/>
      </w:tabs>
      <w:ind w:left="926" w:hanging="360"/>
    </w:pPr>
  </w:style>
  <w:style w:type="paragraph" w:styleId="ListBullet4">
    <w:name w:val="List Bullet 4"/>
    <w:basedOn w:val="Normal"/>
    <w:pPr>
      <w:tabs>
        <w:tab w:val="num" w:pos="1209"/>
      </w:tabs>
      <w:ind w:left="1209" w:hanging="360"/>
    </w:pPr>
  </w:style>
  <w:style w:type="paragraph" w:styleId="ListBullet5">
    <w:name w:val="List Bullet 5"/>
    <w:basedOn w:val="Normal"/>
    <w:pPr>
      <w:tabs>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643"/>
      </w:tabs>
      <w:ind w:left="643" w:hanging="360"/>
    </w:pPr>
  </w:style>
  <w:style w:type="paragraph" w:styleId="ListNumber3">
    <w:name w:val="List Number 3"/>
    <w:basedOn w:val="Normal"/>
    <w:pPr>
      <w:tabs>
        <w:tab w:val="num" w:pos="926"/>
      </w:tabs>
      <w:ind w:left="926" w:hanging="360"/>
    </w:pPr>
  </w:style>
  <w:style w:type="paragraph" w:styleId="ListNumber4">
    <w:name w:val="List Number 4"/>
    <w:basedOn w:val="Normal"/>
    <w:pPr>
      <w:tabs>
        <w:tab w:val="num" w:pos="1209"/>
      </w:tabs>
      <w:ind w:left="1209" w:hanging="360"/>
    </w:pPr>
  </w:style>
  <w:style w:type="paragraph" w:styleId="ListNumber5">
    <w:name w:val="List Number 5"/>
    <w:basedOn w:val="Normal"/>
    <w:pPr>
      <w:tabs>
        <w:tab w:val="num" w:pos="1492"/>
      </w:tabs>
      <w:ind w:left="1492" w:hanging="360"/>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line="300" w:lineRule="atLeast"/>
      <w:ind w:leftChars="-1" w:left="-1" w:hangingChars="1" w:hanging="1"/>
      <w:textDirection w:val="btLr"/>
      <w:textAlignment w:val="top"/>
      <w:outlineLvl w:val="0"/>
    </w:pPr>
    <w:rPr>
      <w:rFonts w:ascii="Courier New" w:hAnsi="Courier New"/>
      <w:position w:val="-1"/>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character" w:customStyle="1" w:styleId="ParaHead">
    <w:name w:val="ParaHead"/>
    <w:rPr>
      <w:color w:val="999999"/>
      <w:w w:val="100"/>
      <w:position w:val="-1"/>
      <w:effect w:val="none"/>
      <w:bdr w:val="none" w:sz="0" w:space="0" w:color="auto"/>
      <w:shd w:val="clear" w:color="auto" w:fill="auto"/>
      <w:vertAlign w:val="baseline"/>
      <w:cs w:val="0"/>
      <w:em w:val="none"/>
    </w:rPr>
  </w:style>
  <w:style w:type="paragraph" w:customStyle="1" w:styleId="ObitBiog">
    <w:name w:val="ObitBiog"/>
    <w:basedOn w:val="Para"/>
    <w:pPr>
      <w:spacing w:before="120" w:line="260" w:lineRule="atLeast"/>
      <w:ind w:firstLine="0"/>
    </w:pPr>
    <w:rPr>
      <w:b/>
      <w:i/>
      <w:sz w:val="22"/>
    </w:rPr>
  </w:style>
  <w:style w:type="paragraph" w:customStyle="1" w:styleId="TableHeader">
    <w:name w:val="TableHeader"/>
    <w:basedOn w:val="Para"/>
    <w:pPr>
      <w:spacing w:before="120" w:line="240" w:lineRule="auto"/>
      <w:ind w:firstLine="0"/>
    </w:pPr>
    <w:rPr>
      <w:b/>
    </w:rPr>
  </w:style>
  <w:style w:type="character" w:customStyle="1" w:styleId="Image">
    <w:name w:val="Image"/>
    <w:rPr>
      <w:b/>
      <w:color w:val="00FF00"/>
      <w:w w:val="100"/>
      <w:position w:val="-1"/>
      <w:effect w:val="none"/>
      <w:vertAlign w:val="baseline"/>
      <w:cs w:val="0"/>
      <w:em w:val="none"/>
    </w:rPr>
  </w:style>
  <w:style w:type="paragraph" w:customStyle="1" w:styleId="TableSubHead">
    <w:name w:val="TableSubHead"/>
    <w:basedOn w:val="TableHeader"/>
  </w:style>
  <w:style w:type="paragraph" w:customStyle="1" w:styleId="ArtGroup">
    <w:name w:val="ArtGroup"/>
    <w:basedOn w:val="Article"/>
    <w:rPr>
      <w:sz w:val="22"/>
    </w:rPr>
  </w:style>
  <w:style w:type="paragraph" w:customStyle="1" w:styleId="Biog">
    <w:name w:val="Biog"/>
    <w:basedOn w:val="MoreInfo"/>
  </w:style>
  <w:style w:type="paragraph" w:customStyle="1" w:styleId="SearchInfo">
    <w:name w:val="SearchInfo"/>
    <w:basedOn w:val="Normal"/>
    <w:pPr>
      <w:spacing w:before="120" w:line="240" w:lineRule="atLeast"/>
    </w:pPr>
  </w:style>
  <w:style w:type="paragraph" w:customStyle="1" w:styleId="SeriesInfo">
    <w:name w:val="SeriesInfo"/>
    <w:basedOn w:val="Normal"/>
    <w:pPr>
      <w:spacing w:before="120" w:line="240" w:lineRule="atLeast"/>
    </w:pPr>
  </w:style>
  <w:style w:type="paragraph" w:customStyle="1" w:styleId="Remark">
    <w:name w:val="Remark"/>
    <w:basedOn w:val="Normal"/>
    <w:rPr>
      <w:color w:val="FF0000"/>
    </w:rPr>
  </w:style>
  <w:style w:type="paragraph" w:customStyle="1" w:styleId="BoxStart4">
    <w:name w:val="BoxStart4"/>
    <w:basedOn w:val="BoxStart3"/>
  </w:style>
  <w:style w:type="paragraph" w:customStyle="1" w:styleId="Kaynaka">
    <w:name w:val="Kaynakça"/>
    <w:basedOn w:val="Reference"/>
    <w:pPr>
      <w:tabs>
        <w:tab w:val="clear" w:pos="720"/>
      </w:tabs>
    </w:pPr>
  </w:style>
  <w:style w:type="paragraph" w:customStyle="1" w:styleId="PullQuote">
    <w:name w:val="PullQuote"/>
    <w:basedOn w:val="IndentQuote"/>
  </w:style>
  <w:style w:type="paragraph" w:customStyle="1" w:styleId="AncillHead">
    <w:name w:val="AncillHead"/>
    <w:basedOn w:val="HeadB"/>
  </w:style>
  <w:style w:type="paragraph" w:customStyle="1" w:styleId="RefHead">
    <w:name w:val="RefHead"/>
    <w:basedOn w:val="HeadB"/>
  </w:style>
  <w:style w:type="paragraph" w:customStyle="1" w:styleId="FlushQuote">
    <w:name w:val="FlushQuote"/>
    <w:basedOn w:val="IndentQuote"/>
    <w:pPr>
      <w:ind w:left="0" w:right="0"/>
    </w:pPr>
    <w:rPr>
      <w:sz w:val="22"/>
    </w:rPr>
  </w:style>
  <w:style w:type="paragraph" w:customStyle="1" w:styleId="ProductTitle">
    <w:name w:val="ProductTitle"/>
    <w:basedOn w:val="Normal"/>
    <w:next w:val="ProductAuth"/>
    <w:rPr>
      <w:b/>
      <w:sz w:val="28"/>
    </w:rPr>
  </w:style>
  <w:style w:type="paragraph" w:customStyle="1" w:styleId="EthicalApproval">
    <w:name w:val="EthicalApproval"/>
    <w:basedOn w:val="Participators"/>
  </w:style>
  <w:style w:type="character" w:customStyle="1" w:styleId="addRef">
    <w:name w:val="addRef"/>
    <w:basedOn w:val="XRef"/>
    <w:rPr>
      <w:color w:val="0000FF"/>
      <w:w w:val="100"/>
      <w:position w:val="-1"/>
      <w:effect w:val="none"/>
      <w:vertAlign w:val="superscript"/>
      <w:cs w:val="0"/>
      <w:em w:val="none"/>
    </w:rPr>
  </w:style>
  <w:style w:type="paragraph" w:customStyle="1" w:styleId="AmendmentNote">
    <w:name w:val="AmendmentNote"/>
    <w:basedOn w:val="MoreInfo"/>
  </w:style>
  <w:style w:type="numbering" w:customStyle="1" w:styleId="Tab">
    <w:name w:val="Tab"/>
  </w:style>
  <w:style w:type="numbering" w:customStyle="1" w:styleId="Fig">
    <w:name w:val="Fig"/>
  </w:style>
  <w:style w:type="numbering" w:customStyle="1" w:styleId="Add">
    <w:name w:val="Add"/>
  </w:style>
  <w:style w:type="paragraph" w:customStyle="1" w:styleId="List30">
    <w:name w:val="List3"/>
    <w:basedOn w:val="List2"/>
    <w:pPr>
      <w:ind w:left="1200"/>
    </w:pPr>
  </w:style>
  <w:style w:type="paragraph" w:customStyle="1" w:styleId="EdNoteTitle">
    <w:name w:val="EdNoteTitle"/>
    <w:basedOn w:val="HeadA"/>
    <w:rPr>
      <w:sz w:val="28"/>
    </w:rPr>
  </w:style>
  <w:style w:type="character" w:customStyle="1" w:styleId="surname">
    <w:name w:val="surname"/>
    <w:rPr>
      <w:color w:val="993366"/>
      <w:w w:val="100"/>
      <w:position w:val="-1"/>
      <w:effect w:val="none"/>
      <w:bdr w:val="none" w:sz="0" w:space="0" w:color="auto"/>
      <w:shd w:val="clear" w:color="auto" w:fill="auto"/>
      <w:vertAlign w:val="baseline"/>
      <w:cs w:val="0"/>
      <w:em w:val="none"/>
    </w:rPr>
  </w:style>
  <w:style w:type="character" w:customStyle="1" w:styleId="suffix">
    <w:name w:val="suffix"/>
    <w:rPr>
      <w:color w:val="339966"/>
      <w:w w:val="100"/>
      <w:position w:val="-1"/>
      <w:effect w:val="none"/>
      <w:bdr w:val="none" w:sz="0" w:space="0" w:color="auto"/>
      <w:shd w:val="clear" w:color="auto" w:fill="auto"/>
      <w:vertAlign w:val="baseline"/>
      <w:cs w:val="0"/>
      <w:em w:val="none"/>
    </w:rPr>
  </w:style>
  <w:style w:type="paragraph" w:customStyle="1" w:styleId="BoxFootnote">
    <w:name w:val="BoxFootnote"/>
    <w:basedOn w:val="Footnote"/>
    <w:pPr>
      <w:spacing w:before="60"/>
    </w:pPr>
    <w:rPr>
      <w:sz w:val="20"/>
    </w:rPr>
  </w:style>
  <w:style w:type="paragraph" w:customStyle="1" w:styleId="Citeline">
    <w:name w:val="Citeline"/>
    <w:basedOn w:val="MoreInfo"/>
  </w:style>
  <w:style w:type="numbering" w:customStyle="1" w:styleId="data-supp">
    <w:name w:val="data-supp"/>
    <w:basedOn w:val="NoList"/>
  </w:style>
  <w:style w:type="paragraph" w:customStyle="1" w:styleId="supp-file">
    <w:name w:val="supp-file"/>
    <w:basedOn w:val="Table"/>
    <w:rPr>
      <w:b/>
      <w:i w:val="0"/>
    </w:rPr>
  </w:style>
  <w:style w:type="paragraph" w:customStyle="1" w:styleId="supp-title">
    <w:name w:val="supp-title"/>
    <w:basedOn w:val="HeadA"/>
  </w:style>
  <w:style w:type="paragraph" w:customStyle="1" w:styleId="supp-desc">
    <w:name w:val="supp-desc"/>
    <w:basedOn w:val="Footnote"/>
  </w:style>
  <w:style w:type="paragraph" w:customStyle="1" w:styleId="supp-caption">
    <w:name w:val="supp-caption"/>
    <w:basedOn w:val="FigLeg"/>
  </w:style>
  <w:style w:type="paragraph" w:customStyle="1" w:styleId="video">
    <w:name w:val="video"/>
    <w:basedOn w:val="supp-file"/>
    <w:next w:val="Caption"/>
  </w:style>
  <w:style w:type="numbering" w:customStyle="1" w:styleId="vid">
    <w:name w:val="vid"/>
    <w:basedOn w:val="NoList"/>
  </w:style>
  <w:style w:type="paragraph" w:customStyle="1" w:styleId="audio">
    <w:name w:val="audio"/>
    <w:basedOn w:val="video"/>
  </w:style>
  <w:style w:type="numbering" w:customStyle="1" w:styleId="aud">
    <w:name w:val="aud"/>
    <w:basedOn w:val="vid"/>
  </w:style>
  <w:style w:type="paragraph" w:styleId="CommentSubject">
    <w:name w:val="annotation subject"/>
    <w:basedOn w:val="CommentText"/>
    <w:next w:val="CommentText"/>
    <w:pPr>
      <w:spacing w:line="300" w:lineRule="atLeast"/>
    </w:pPr>
    <w:rPr>
      <w:b/>
      <w:bCs/>
    </w:rPr>
  </w:style>
  <w:style w:type="character" w:customStyle="1" w:styleId="AltbilgiChar">
    <w:name w:val="Altbilgi Char"/>
    <w:rPr>
      <w:rFonts w:ascii="Arial" w:hAnsi="Arial"/>
      <w:w w:val="100"/>
      <w:position w:val="-1"/>
      <w:effect w:val="none"/>
      <w:vertAlign w:val="baseline"/>
      <w:cs w:val="0"/>
      <w:em w:val="none"/>
      <w:lang w:val="en-GB"/>
    </w:rPr>
  </w:style>
  <w:style w:type="table" w:customStyle="1" w:styleId="a">
    <w:basedOn w:val="TableNormal1"/>
    <w:tblPr>
      <w:tblStyleRowBandSize w:val="1"/>
      <w:tblStyleColBandSize w:val="1"/>
      <w:tblCellMar>
        <w:left w:w="108" w:type="dxa"/>
        <w:right w:w="108" w:type="dxa"/>
      </w:tblCellMar>
    </w:tblPr>
  </w:style>
  <w:style w:type="table" w:styleId="TableGrid">
    <w:name w:val="Table Grid"/>
    <w:basedOn w:val="TableNormal"/>
    <w:uiPriority w:val="59"/>
    <w:rsid w:val="0026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nsort-statemen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oTmE1QIv436iTjyWrUD/Pq0rkA==">AMUW2mVdC/jrVhGl1biO6Aaa6NxJelLlncGfJUKOS/yv9E10Fg6I9k7cPqSoT9RlSho4IOvFbJDZWhKnUxvv5MTsrqEXaOTZ8GVPTYbNETzMhA4k6eFMhiE=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4078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pplouffe</dc:creator>
  <cp:lastModifiedBy>Ellen Johnson</cp:lastModifiedBy>
  <cp:revision>2</cp:revision>
  <dcterms:created xsi:type="dcterms:W3CDTF">2021-10-19T19:22:00Z</dcterms:created>
  <dcterms:modified xsi:type="dcterms:W3CDTF">2021-10-19T19:22:00Z</dcterms:modified>
</cp:coreProperties>
</file>