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2AC3" w14:textId="0FF5455D" w:rsidR="00584E18" w:rsidRPr="003A0A43" w:rsidRDefault="003A0A43">
      <w:pPr>
        <w:rPr>
          <w:rFonts w:ascii="Times" w:eastAsia="Calibri" w:hAnsi="Times" w:cs="Times"/>
          <w:b/>
        </w:rPr>
      </w:pPr>
      <w:r w:rsidRPr="003A0A43">
        <w:rPr>
          <w:rFonts w:ascii="Times" w:eastAsia="Calibri" w:hAnsi="Times" w:cs="Times"/>
          <w:b/>
        </w:rPr>
        <w:t>Exposure to a Virtual Reality Mass Casualty Simulation Elicits a Differential Sympathetic Response in Medical Trainees and Attending Physicians</w:t>
      </w:r>
    </w:p>
    <w:p w14:paraId="4F72CBA3" w14:textId="77777777" w:rsidR="003A0A43" w:rsidRDefault="003A0A43"/>
    <w:p w14:paraId="1961933C" w14:textId="69655CB2" w:rsidR="004F0B81" w:rsidRDefault="004F0B81" w:rsidP="004F0B81">
      <w:pPr>
        <w:rPr>
          <w:rFonts w:ascii="Times" w:eastAsia="Times New Roman" w:hAnsi="Times" w:cs="Times New Roman"/>
          <w:color w:val="000000"/>
          <w:vertAlign w:val="superscript"/>
        </w:rPr>
      </w:pPr>
      <w:r w:rsidRPr="00081609">
        <w:rPr>
          <w:rFonts w:ascii="Times" w:eastAsia="Times New Roman" w:hAnsi="Times" w:cs="Times New Roman"/>
          <w:color w:val="000000"/>
        </w:rPr>
        <w:t>Matthew A. Tovar</w:t>
      </w:r>
      <w:r>
        <w:rPr>
          <w:rFonts w:ascii="Times" w:eastAsia="Times New Roman" w:hAnsi="Times" w:cs="Times New Roman"/>
          <w:color w:val="000000"/>
        </w:rPr>
        <w:t>,</w:t>
      </w:r>
      <w:r w:rsidRPr="00081609">
        <w:rPr>
          <w:rFonts w:ascii="Times" w:eastAsia="Times New Roman" w:hAnsi="Times" w:cs="Times New Roman"/>
          <w:color w:val="000000"/>
        </w:rPr>
        <w:t xml:space="preserve"> James A Zebley MD,</w:t>
      </w:r>
      <w:r>
        <w:rPr>
          <w:rFonts w:ascii="Times" w:eastAsia="Times New Roman" w:hAnsi="Times" w:cs="Times New Roman"/>
          <w:color w:val="000000"/>
        </w:rPr>
        <w:t xml:space="preserve"> </w:t>
      </w:r>
      <w:r w:rsidRPr="00081609">
        <w:rPr>
          <w:rFonts w:ascii="Times" w:eastAsia="Times New Roman" w:hAnsi="Times" w:cs="Times New Roman"/>
          <w:color w:val="000000"/>
        </w:rPr>
        <w:t>Mai</w:t>
      </w:r>
      <w:r>
        <w:rPr>
          <w:rFonts w:ascii="Times" w:eastAsia="Times New Roman" w:hAnsi="Times" w:cs="Times New Roman"/>
          <w:color w:val="000000"/>
        </w:rPr>
        <w:t>r</w:t>
      </w:r>
      <w:r w:rsidRPr="00081609">
        <w:rPr>
          <w:rFonts w:ascii="Times" w:eastAsia="Times New Roman" w:hAnsi="Times" w:cs="Times New Roman"/>
          <w:color w:val="000000"/>
        </w:rPr>
        <w:t>ead Higg</w:t>
      </w:r>
      <w:r w:rsidR="00373789">
        <w:rPr>
          <w:rFonts w:ascii="Times" w:eastAsia="Times New Roman" w:hAnsi="Times" w:cs="Times New Roman"/>
          <w:color w:val="000000"/>
        </w:rPr>
        <w:t>i</w:t>
      </w:r>
      <w:r w:rsidRPr="00081609">
        <w:rPr>
          <w:rFonts w:ascii="Times" w:eastAsia="Times New Roman" w:hAnsi="Times" w:cs="Times New Roman"/>
          <w:color w:val="000000"/>
        </w:rPr>
        <w:t>ns</w:t>
      </w:r>
      <w:r w:rsidRPr="00D86CE7">
        <w:rPr>
          <w:rFonts w:ascii="Times" w:eastAsia="Times New Roman" w:hAnsi="Times" w:cs="Times New Roman"/>
          <w:color w:val="000000"/>
        </w:rPr>
        <w:t>,</w:t>
      </w:r>
      <w:r>
        <w:rPr>
          <w:rFonts w:ascii="Times" w:eastAsia="Times New Roman" w:hAnsi="Times" w:cs="Times New Roman"/>
          <w:color w:val="000000"/>
          <w:vertAlign w:val="superscript"/>
        </w:rPr>
        <w:t xml:space="preserve"> </w:t>
      </w:r>
      <w:r w:rsidRPr="00081609">
        <w:rPr>
          <w:rFonts w:ascii="Times" w:eastAsia="Times New Roman" w:hAnsi="Times" w:cs="Times New Roman"/>
          <w:color w:val="000000"/>
        </w:rPr>
        <w:t>Aalap Herur-Raman MS, Catherine H. Zwemer</w:t>
      </w:r>
      <w:r w:rsidRPr="00D86CE7">
        <w:rPr>
          <w:rFonts w:ascii="Times" w:eastAsia="Times New Roman" w:hAnsi="Times" w:cs="Times New Roman"/>
          <w:color w:val="000000"/>
        </w:rPr>
        <w:t>,</w:t>
      </w:r>
      <w:r>
        <w:rPr>
          <w:rFonts w:ascii="Times" w:eastAsia="Times New Roman" w:hAnsi="Times" w:cs="Times New Roman"/>
          <w:color w:val="000000"/>
        </w:rPr>
        <w:t xml:space="preserve"> </w:t>
      </w:r>
      <w:r w:rsidRPr="00081609">
        <w:rPr>
          <w:rFonts w:ascii="Times" w:eastAsia="Times New Roman" w:hAnsi="Times" w:cs="Times New Roman"/>
          <w:color w:val="000000"/>
        </w:rPr>
        <w:t xml:space="preserve">Ayal </w:t>
      </w:r>
      <w:r>
        <w:rPr>
          <w:rFonts w:ascii="Times" w:eastAsia="Times New Roman" w:hAnsi="Times" w:cs="Times New Roman"/>
          <w:color w:val="000000"/>
        </w:rPr>
        <w:t xml:space="preserve">Z. </w:t>
      </w:r>
      <w:r w:rsidRPr="00081609">
        <w:rPr>
          <w:rFonts w:ascii="Times" w:eastAsia="Times New Roman" w:hAnsi="Times" w:cs="Times New Roman"/>
          <w:color w:val="000000"/>
        </w:rPr>
        <w:t>Pierce MD,</w:t>
      </w:r>
      <w:r>
        <w:rPr>
          <w:rFonts w:ascii="Times" w:eastAsia="Times New Roman" w:hAnsi="Times" w:cs="Times New Roman"/>
          <w:color w:val="000000"/>
        </w:rPr>
        <w:t xml:space="preserve"> </w:t>
      </w:r>
      <w:r w:rsidRPr="00081609">
        <w:rPr>
          <w:rFonts w:ascii="Times" w:eastAsia="Times New Roman" w:hAnsi="Times" w:cs="Times New Roman"/>
          <w:color w:val="000000"/>
        </w:rPr>
        <w:t xml:space="preserve">Claudia Ranniger MD PhD, </w:t>
      </w:r>
      <w:r>
        <w:rPr>
          <w:rFonts w:ascii="Times" w:eastAsia="Times New Roman" w:hAnsi="Times" w:cs="Times New Roman"/>
          <w:color w:val="000000"/>
        </w:rPr>
        <w:t xml:space="preserve">Babak Sarani MD, </w:t>
      </w:r>
      <w:r w:rsidRPr="00081609">
        <w:rPr>
          <w:rFonts w:ascii="Times" w:eastAsia="Times New Roman" w:hAnsi="Times" w:cs="Times New Roman"/>
          <w:color w:val="000000"/>
        </w:rPr>
        <w:t>James P. Phillips MD</w:t>
      </w:r>
    </w:p>
    <w:p w14:paraId="41F61A73" w14:textId="77777777" w:rsidR="004F0B81" w:rsidRDefault="004F0B81"/>
    <w:p w14:paraId="264EA619" w14:textId="0B2CE815" w:rsidR="00584E18" w:rsidRDefault="00584E18">
      <w:pPr>
        <w:rPr>
          <w:rFonts w:ascii="Times" w:eastAsia="Times New Roman" w:hAnsi="Times" w:cs="Times New Roman"/>
          <w:color w:val="000000"/>
        </w:rPr>
      </w:pPr>
    </w:p>
    <w:p w14:paraId="54D03363" w14:textId="77777777" w:rsidR="00584E18" w:rsidRPr="00584E18" w:rsidRDefault="00584E18">
      <w:pPr>
        <w:rPr>
          <w:rFonts w:ascii="Times" w:hAnsi="Times"/>
        </w:rPr>
      </w:pPr>
    </w:p>
    <w:p w14:paraId="4133313D" w14:textId="77777777" w:rsidR="00584E18" w:rsidRDefault="00584E18" w:rsidP="00584E18">
      <w:pPr>
        <w:jc w:val="center"/>
        <w:rPr>
          <w:rFonts w:ascii="Times" w:hAnsi="Times"/>
        </w:rPr>
      </w:pPr>
    </w:p>
    <w:p w14:paraId="5FDD198B" w14:textId="4A186A9A" w:rsidR="00584E18" w:rsidRDefault="00584E18" w:rsidP="00584E18">
      <w:pPr>
        <w:jc w:val="center"/>
        <w:rPr>
          <w:rFonts w:ascii="Times" w:hAnsi="Times"/>
        </w:rPr>
      </w:pPr>
      <w:r w:rsidRPr="00584E18">
        <w:rPr>
          <w:rFonts w:ascii="Times" w:hAnsi="Times"/>
        </w:rPr>
        <w:t>Electronic Supplemental Information</w:t>
      </w:r>
    </w:p>
    <w:p w14:paraId="25BE78C7" w14:textId="77777777" w:rsidR="00584E18" w:rsidRDefault="00584E18">
      <w:pPr>
        <w:rPr>
          <w:rFonts w:ascii="Times" w:hAnsi="Times"/>
        </w:rPr>
      </w:pPr>
      <w:r>
        <w:rPr>
          <w:rFonts w:ascii="Times" w:hAnsi="Times"/>
        </w:rPr>
        <w:br w:type="page"/>
      </w:r>
    </w:p>
    <w:p w14:paraId="6AF16764" w14:textId="530EF58D" w:rsidR="00584E18" w:rsidRPr="001C5EF3" w:rsidRDefault="00584E18" w:rsidP="00584E18">
      <w:pPr>
        <w:rPr>
          <w:rFonts w:ascii="Times" w:hAnsi="Times"/>
          <w:b/>
          <w:bCs/>
        </w:rPr>
      </w:pPr>
      <w:r w:rsidRPr="001C5EF3">
        <w:rPr>
          <w:rFonts w:ascii="Times" w:hAnsi="Times"/>
          <w:b/>
          <w:bCs/>
        </w:rPr>
        <w:lastRenderedPageBreak/>
        <w:t xml:space="preserve">Supplemental Section 1: Contents of </w:t>
      </w:r>
      <w:r w:rsidR="001C5EF3" w:rsidRPr="001C5EF3">
        <w:rPr>
          <w:rFonts w:ascii="Times" w:hAnsi="Times"/>
          <w:b/>
          <w:bCs/>
        </w:rPr>
        <w:t>Inclusion/Exclusion Survey</w:t>
      </w:r>
    </w:p>
    <w:p w14:paraId="7FEF0B91" w14:textId="109BC8B8" w:rsidR="001C5EF3" w:rsidRDefault="001C5EF3" w:rsidP="00584E18">
      <w:pPr>
        <w:rPr>
          <w:rFonts w:ascii="Times" w:hAnsi="Times"/>
        </w:rPr>
      </w:pPr>
    </w:p>
    <w:p w14:paraId="436FE4E1" w14:textId="77777777" w:rsidR="001C5EF3" w:rsidRDefault="001C5EF3" w:rsidP="00584E18">
      <w:pPr>
        <w:rPr>
          <w:rFonts w:ascii="Times" w:hAnsi="Times"/>
        </w:rPr>
      </w:pPr>
    </w:p>
    <w:p w14:paraId="7656DEEE" w14:textId="7DB33E9A" w:rsidR="00584E18" w:rsidRDefault="00584E18" w:rsidP="00584E18">
      <w:pPr>
        <w:rPr>
          <w:rFonts w:ascii="Times" w:hAnsi="Times"/>
        </w:rPr>
      </w:pPr>
    </w:p>
    <w:p w14:paraId="60759ABF" w14:textId="65840DCB" w:rsidR="00584E18" w:rsidRDefault="001C5EF3" w:rsidP="001C5EF3">
      <w:pPr>
        <w:jc w:val="center"/>
        <w:rPr>
          <w:rFonts w:ascii="Times" w:hAnsi="Times"/>
        </w:rPr>
      </w:pPr>
      <w:r>
        <w:rPr>
          <w:rFonts w:ascii="Times" w:hAnsi="Times"/>
          <w:noProof/>
        </w:rPr>
        <w:drawing>
          <wp:inline distT="0" distB="0" distL="0" distR="0" wp14:anchorId="0EA28AE9" wp14:editId="0BF5888C">
            <wp:extent cx="5530314" cy="4961482"/>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571588" cy="4998511"/>
                    </a:xfrm>
                    <a:prstGeom prst="rect">
                      <a:avLst/>
                    </a:prstGeom>
                  </pic:spPr>
                </pic:pic>
              </a:graphicData>
            </a:graphic>
          </wp:inline>
        </w:drawing>
      </w:r>
    </w:p>
    <w:p w14:paraId="161201A9" w14:textId="4BD66CDC" w:rsidR="001C5EF3" w:rsidRDefault="001C5EF3" w:rsidP="001C5EF3">
      <w:pPr>
        <w:jc w:val="center"/>
        <w:rPr>
          <w:rFonts w:ascii="Times" w:hAnsi="Times"/>
        </w:rPr>
      </w:pPr>
    </w:p>
    <w:p w14:paraId="7C1B2429" w14:textId="0DE06505" w:rsidR="001C5EF3" w:rsidRDefault="001C5EF3" w:rsidP="001C5EF3">
      <w:pPr>
        <w:jc w:val="center"/>
        <w:rPr>
          <w:rFonts w:ascii="Times" w:hAnsi="Times"/>
        </w:rPr>
      </w:pPr>
      <w:r>
        <w:rPr>
          <w:rFonts w:ascii="Times" w:hAnsi="Times"/>
          <w:noProof/>
        </w:rPr>
        <w:drawing>
          <wp:inline distT="0" distB="0" distL="0" distR="0" wp14:anchorId="10C95BC4" wp14:editId="2173917D">
            <wp:extent cx="5351050" cy="2247441"/>
            <wp:effectExtent l="0" t="0" r="0" b="63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378166" cy="2258830"/>
                    </a:xfrm>
                    <a:prstGeom prst="rect">
                      <a:avLst/>
                    </a:prstGeom>
                  </pic:spPr>
                </pic:pic>
              </a:graphicData>
            </a:graphic>
          </wp:inline>
        </w:drawing>
      </w:r>
    </w:p>
    <w:p w14:paraId="749032AD" w14:textId="19489749" w:rsidR="00AD51AC" w:rsidRPr="00AD51AC" w:rsidRDefault="00AD51AC" w:rsidP="00AD51AC">
      <w:pPr>
        <w:rPr>
          <w:rFonts w:ascii="Times" w:hAnsi="Times"/>
          <w:b/>
          <w:bCs/>
        </w:rPr>
      </w:pPr>
      <w:r w:rsidRPr="00AD51AC">
        <w:rPr>
          <w:rFonts w:ascii="Times" w:hAnsi="Times"/>
          <w:b/>
          <w:bCs/>
        </w:rPr>
        <w:lastRenderedPageBreak/>
        <w:t>Supplemental Section 2: Contents of Demographic Survey</w:t>
      </w:r>
    </w:p>
    <w:p w14:paraId="0E96E8A0" w14:textId="556F7BC4" w:rsidR="001C5EF3" w:rsidRDefault="001C5EF3" w:rsidP="001C5EF3">
      <w:pPr>
        <w:jc w:val="center"/>
        <w:rPr>
          <w:rFonts w:ascii="Times" w:hAnsi="Times"/>
        </w:rPr>
      </w:pPr>
      <w:r>
        <w:rPr>
          <w:rFonts w:ascii="Times" w:hAnsi="Times"/>
          <w:noProof/>
        </w:rPr>
        <w:drawing>
          <wp:inline distT="0" distB="0" distL="0" distR="0" wp14:anchorId="7523B37A" wp14:editId="7E63CAFE">
            <wp:extent cx="5539648" cy="5063119"/>
            <wp:effectExtent l="0" t="0" r="0" b="444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554269" cy="5076483"/>
                    </a:xfrm>
                    <a:prstGeom prst="rect">
                      <a:avLst/>
                    </a:prstGeom>
                  </pic:spPr>
                </pic:pic>
              </a:graphicData>
            </a:graphic>
          </wp:inline>
        </w:drawing>
      </w:r>
    </w:p>
    <w:p w14:paraId="30EBF408" w14:textId="66FDAAF9" w:rsidR="001C5EF3" w:rsidRDefault="001C5EF3" w:rsidP="001C5EF3">
      <w:pPr>
        <w:jc w:val="center"/>
        <w:rPr>
          <w:rFonts w:ascii="Times" w:hAnsi="Times"/>
        </w:rPr>
      </w:pPr>
    </w:p>
    <w:p w14:paraId="2C950B05" w14:textId="31C45F32" w:rsidR="001C5EF3" w:rsidRDefault="00AD51AC" w:rsidP="001C5EF3">
      <w:pPr>
        <w:jc w:val="center"/>
        <w:rPr>
          <w:rFonts w:ascii="Times" w:hAnsi="Times"/>
        </w:rPr>
      </w:pPr>
      <w:r>
        <w:rPr>
          <w:rFonts w:ascii="Times" w:hAnsi="Times"/>
          <w:noProof/>
        </w:rPr>
        <w:drawing>
          <wp:inline distT="0" distB="0" distL="0" distR="0" wp14:anchorId="18C2F25E" wp14:editId="4577540E">
            <wp:extent cx="5312229" cy="914400"/>
            <wp:effectExtent l="0" t="0" r="0" b="0"/>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382992" cy="926581"/>
                    </a:xfrm>
                    <a:prstGeom prst="rect">
                      <a:avLst/>
                    </a:prstGeom>
                  </pic:spPr>
                </pic:pic>
              </a:graphicData>
            </a:graphic>
          </wp:inline>
        </w:drawing>
      </w:r>
    </w:p>
    <w:p w14:paraId="5584CBDE" w14:textId="628DE128" w:rsidR="00AD51AC" w:rsidRDefault="00AD51AC">
      <w:pPr>
        <w:rPr>
          <w:rFonts w:ascii="Times" w:hAnsi="Times"/>
        </w:rPr>
      </w:pPr>
      <w:r>
        <w:rPr>
          <w:rFonts w:ascii="Times" w:hAnsi="Times"/>
        </w:rPr>
        <w:br w:type="page"/>
      </w:r>
    </w:p>
    <w:p w14:paraId="7803AFBE" w14:textId="03493123" w:rsidR="00AD51AC" w:rsidRDefault="00AD51AC" w:rsidP="00AD51AC">
      <w:pPr>
        <w:rPr>
          <w:rFonts w:ascii="Times" w:hAnsi="Times"/>
          <w:b/>
          <w:bCs/>
        </w:rPr>
      </w:pPr>
      <w:r w:rsidRPr="00AD51AC">
        <w:rPr>
          <w:rFonts w:ascii="Times" w:hAnsi="Times"/>
          <w:b/>
          <w:bCs/>
        </w:rPr>
        <w:lastRenderedPageBreak/>
        <w:t>Supplemental Section 3: Contents of State Trait Survey Anxiety Inventory</w:t>
      </w:r>
    </w:p>
    <w:p w14:paraId="29EEB920" w14:textId="4640B6F3" w:rsidR="00AD51AC" w:rsidRDefault="00AD51AC" w:rsidP="00AD51AC">
      <w:pPr>
        <w:rPr>
          <w:rFonts w:ascii="Times" w:hAnsi="Times"/>
          <w:b/>
          <w:bCs/>
        </w:rPr>
      </w:pPr>
    </w:p>
    <w:p w14:paraId="3BB76D35" w14:textId="41651B6F" w:rsidR="00AD51AC" w:rsidRDefault="00AD51AC" w:rsidP="00AD51AC">
      <w:pPr>
        <w:rPr>
          <w:rFonts w:ascii="Times" w:hAnsi="Times"/>
          <w:b/>
          <w:bCs/>
        </w:rPr>
      </w:pPr>
      <w:r>
        <w:rPr>
          <w:rFonts w:ascii="Times" w:hAnsi="Times"/>
          <w:b/>
          <w:bCs/>
          <w:noProof/>
        </w:rPr>
        <w:drawing>
          <wp:inline distT="0" distB="0" distL="0" distR="0" wp14:anchorId="7BB28101" wp14:editId="0E9DB351">
            <wp:extent cx="5943600" cy="1565275"/>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565275"/>
                    </a:xfrm>
                    <a:prstGeom prst="rect">
                      <a:avLst/>
                    </a:prstGeom>
                  </pic:spPr>
                </pic:pic>
              </a:graphicData>
            </a:graphic>
          </wp:inline>
        </w:drawing>
      </w:r>
    </w:p>
    <w:p w14:paraId="5EDA4F95" w14:textId="782BF44C" w:rsidR="00AD04F4" w:rsidRDefault="00AD04F4">
      <w:pPr>
        <w:rPr>
          <w:rFonts w:ascii="Times" w:hAnsi="Times"/>
          <w:b/>
          <w:bCs/>
        </w:rPr>
      </w:pPr>
      <w:r>
        <w:rPr>
          <w:rFonts w:ascii="Times" w:hAnsi="Times"/>
          <w:b/>
          <w:bCs/>
        </w:rPr>
        <w:br w:type="page"/>
      </w:r>
    </w:p>
    <w:p w14:paraId="561B34C2" w14:textId="22659182" w:rsidR="00AD04F4" w:rsidRPr="00BC308E" w:rsidRDefault="00AD04F4" w:rsidP="00AD04F4">
      <w:pPr>
        <w:spacing w:line="480" w:lineRule="auto"/>
        <w:rPr>
          <w:rFonts w:ascii="Times" w:hAnsi="Times"/>
          <w:b/>
          <w:bCs/>
        </w:rPr>
      </w:pPr>
      <w:r w:rsidRPr="00BC308E">
        <w:rPr>
          <w:rFonts w:ascii="Times" w:hAnsi="Times"/>
          <w:b/>
          <w:bCs/>
        </w:rPr>
        <w:lastRenderedPageBreak/>
        <w:t xml:space="preserve">Supplemental Section </w:t>
      </w:r>
      <w:r>
        <w:rPr>
          <w:rFonts w:ascii="Times" w:hAnsi="Times"/>
          <w:b/>
          <w:bCs/>
        </w:rPr>
        <w:t>4</w:t>
      </w:r>
      <w:r w:rsidRPr="00BC308E">
        <w:rPr>
          <w:rFonts w:ascii="Times" w:hAnsi="Times"/>
          <w:b/>
          <w:bCs/>
        </w:rPr>
        <w:t xml:space="preserve">: Suitability and Validation of the Physiological/Cognitive Multivariate Logistic Regression Model </w:t>
      </w:r>
    </w:p>
    <w:p w14:paraId="6CC3CE5D" w14:textId="77777777" w:rsidR="00AD04F4" w:rsidRPr="00BC308E" w:rsidRDefault="00AD04F4" w:rsidP="00AD04F4">
      <w:pPr>
        <w:spacing w:line="480" w:lineRule="auto"/>
        <w:rPr>
          <w:rFonts w:ascii="Times" w:hAnsi="Times"/>
          <w:b/>
          <w:bCs/>
        </w:rPr>
      </w:pPr>
    </w:p>
    <w:p w14:paraId="2ED0C876" w14:textId="32574AEE" w:rsidR="00AD04F4" w:rsidRPr="00BC308E" w:rsidRDefault="00AD04F4" w:rsidP="00AD04F4">
      <w:pPr>
        <w:spacing w:line="480" w:lineRule="auto"/>
        <w:ind w:firstLine="720"/>
        <w:rPr>
          <w:rFonts w:ascii="Times" w:hAnsi="Times"/>
        </w:rPr>
      </w:pPr>
      <w:r w:rsidRPr="00BC308E">
        <w:rPr>
          <w:rFonts w:ascii="Times" w:hAnsi="Times"/>
        </w:rPr>
        <w:t xml:space="preserve">Suitability and validation of the multivariate logistic regression (MLR) model presented in Table 3 was tested </w:t>
      </w:r>
      <w:r w:rsidRPr="00BC308E">
        <w:rPr>
          <w:rFonts w:ascii="Times" w:hAnsi="Times"/>
          <w:i/>
          <w:iCs/>
        </w:rPr>
        <w:t xml:space="preserve">post hoc </w:t>
      </w:r>
      <w:r w:rsidRPr="00BC308E">
        <w:rPr>
          <w:rFonts w:ascii="Times" w:hAnsi="Times"/>
        </w:rPr>
        <w:t xml:space="preserve">using two different methods: multicollinearity was calculated and reported to show appropriate suitability of each predictor variable in the overall model, and One Factor At a Time (OFAT) analysis was utilized to determine the effects of each variable on the overall statistical outcome. These </w:t>
      </w:r>
      <w:r w:rsidRPr="00BC308E">
        <w:rPr>
          <w:rFonts w:ascii="Times" w:hAnsi="Times"/>
          <w:i/>
          <w:iCs/>
        </w:rPr>
        <w:t xml:space="preserve">post hoc </w:t>
      </w:r>
      <w:r w:rsidRPr="00BC308E">
        <w:rPr>
          <w:rFonts w:ascii="Times" w:hAnsi="Times"/>
        </w:rPr>
        <w:t>analyses serve to fortify the logistic regression model and each of its constituent predictor variables</w:t>
      </w:r>
      <w:r w:rsidR="000A3E18">
        <w:rPr>
          <w:rFonts w:ascii="Times" w:hAnsi="Times"/>
        </w:rPr>
        <w:t>.</w:t>
      </w:r>
    </w:p>
    <w:p w14:paraId="1AA72851" w14:textId="77777777" w:rsidR="00AD04F4" w:rsidRPr="00BC308E" w:rsidRDefault="00AD04F4" w:rsidP="00AD04F4">
      <w:pPr>
        <w:spacing w:line="480" w:lineRule="auto"/>
        <w:ind w:firstLine="720"/>
        <w:rPr>
          <w:rFonts w:ascii="Times" w:hAnsi="Times"/>
        </w:rPr>
      </w:pPr>
    </w:p>
    <w:p w14:paraId="19C26FEA" w14:textId="77777777" w:rsidR="00AD04F4" w:rsidRDefault="00AD04F4" w:rsidP="00AD04F4">
      <w:pPr>
        <w:spacing w:line="480" w:lineRule="auto"/>
        <w:rPr>
          <w:rFonts w:ascii="Times" w:hAnsi="Times"/>
          <w:i/>
          <w:iCs/>
        </w:rPr>
      </w:pPr>
      <w:r w:rsidRPr="00BC308E">
        <w:rPr>
          <w:rFonts w:ascii="Times" w:hAnsi="Times"/>
          <w:i/>
          <w:iCs/>
        </w:rPr>
        <w:t>Multicollinearity</w:t>
      </w:r>
    </w:p>
    <w:p w14:paraId="534C183B" w14:textId="77777777" w:rsidR="00AD04F4" w:rsidRPr="00BC308E" w:rsidRDefault="00AD04F4" w:rsidP="00AD04F4">
      <w:pPr>
        <w:spacing w:line="480" w:lineRule="auto"/>
        <w:rPr>
          <w:rFonts w:ascii="Times" w:hAnsi="Times"/>
          <w:i/>
          <w:iCs/>
        </w:rPr>
      </w:pPr>
    </w:p>
    <w:p w14:paraId="294A806D" w14:textId="1D2CA4B2" w:rsidR="00AD04F4" w:rsidRPr="00BC308E" w:rsidRDefault="00AD04F4" w:rsidP="00AD04F4">
      <w:pPr>
        <w:spacing w:line="480" w:lineRule="auto"/>
        <w:rPr>
          <w:rFonts w:ascii="Times" w:eastAsiaTheme="minorEastAsia" w:hAnsi="Times"/>
        </w:rPr>
      </w:pPr>
      <w:r w:rsidRPr="00BC308E">
        <w:rPr>
          <w:rFonts w:ascii="Times" w:hAnsi="Times"/>
        </w:rPr>
        <w:tab/>
        <w:t>Multicollinearity (i.e., the phenomenon in which one predictor variable is linearly related to others) was estimated first by calculating the coefficient of determination (</w:t>
      </w:r>
      <m:oMath>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oMath>
      <w:r w:rsidRPr="00BC308E">
        <w:rPr>
          <w:rFonts w:ascii="Times" w:eastAsiaTheme="minorEastAsia" w:hAnsi="Times"/>
        </w:rPr>
        <w:t>) of a regression of predictor value</w:t>
      </w:r>
      <w:r w:rsidR="000A3E18">
        <w:rPr>
          <w:rFonts w:ascii="Times" w:eastAsiaTheme="minorEastAsia" w:hAnsi="Times"/>
        </w:rPr>
        <w:t>,</w:t>
      </w:r>
      <w:r w:rsidRPr="00BC308E">
        <w:rPr>
          <w:rFonts w:ascii="Times" w:eastAsiaTheme="minorEastAsia" w:hAnsi="Times"/>
        </w:rPr>
        <w:t xml:space="preserve"> </w:t>
      </w:r>
      <w:r w:rsidRPr="00BC308E">
        <w:rPr>
          <w:rFonts w:ascii="Times" w:eastAsiaTheme="minorEastAsia" w:hAnsi="Times"/>
          <w:i/>
          <w:iCs/>
        </w:rPr>
        <w:t>j</w:t>
      </w:r>
      <w:r w:rsidR="000A3E18" w:rsidRPr="000A3E18">
        <w:rPr>
          <w:rFonts w:ascii="Times" w:eastAsiaTheme="minorEastAsia" w:hAnsi="Times"/>
        </w:rPr>
        <w:t>,</w:t>
      </w:r>
      <w:r w:rsidR="000A3E18">
        <w:rPr>
          <w:rFonts w:ascii="Times" w:eastAsiaTheme="minorEastAsia" w:hAnsi="Times"/>
        </w:rPr>
        <w:t xml:space="preserve"> </w:t>
      </w:r>
      <w:r w:rsidRPr="00BC308E">
        <w:rPr>
          <w:rFonts w:ascii="Times" w:eastAsiaTheme="minorEastAsia" w:hAnsi="Times"/>
        </w:rPr>
        <w:t>on all other predictor values. The inverse of 1-</w:t>
      </w:r>
      <m:oMath>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oMath>
      <w:r w:rsidRPr="00BC308E">
        <w:rPr>
          <w:rFonts w:ascii="Times" w:eastAsiaTheme="minorEastAsia" w:hAnsi="Times"/>
        </w:rPr>
        <w:t xml:space="preserve">, known as the variance inflation factor (VIF; equation 1) quantified the severity of multicollinearity for each predictor value. </w:t>
      </w:r>
    </w:p>
    <w:p w14:paraId="2A2DAC24" w14:textId="77777777" w:rsidR="00AD04F4" w:rsidRPr="00BC308E" w:rsidRDefault="00AD04F4" w:rsidP="00AD04F4">
      <w:pPr>
        <w:spacing w:line="480" w:lineRule="auto"/>
        <w:rPr>
          <w:rFonts w:ascii="Times" w:eastAsiaTheme="minorEastAsia" w:hAnsi="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775"/>
      </w:tblGrid>
      <w:tr w:rsidR="00AD04F4" w:rsidRPr="00BC308E" w14:paraId="22535FDE" w14:textId="77777777" w:rsidTr="00AD04F4">
        <w:tc>
          <w:tcPr>
            <w:tcW w:w="5575" w:type="dxa"/>
          </w:tcPr>
          <w:p w14:paraId="3531B30D" w14:textId="77777777" w:rsidR="00AD04F4" w:rsidRPr="00BC308E" w:rsidRDefault="00AD04F4" w:rsidP="00B3488D">
            <w:pPr>
              <w:spacing w:line="480" w:lineRule="auto"/>
              <w:rPr>
                <w:rFonts w:ascii="Times" w:hAnsi="Times"/>
              </w:rPr>
            </w:pPr>
            <m:oMathPara>
              <m:oMathParaPr>
                <m:jc m:val="right"/>
              </m:oMathParaPr>
              <m:oMath>
                <m:r>
                  <w:rPr>
                    <w:rFonts w:ascii="Cambria Math" w:hAnsi="Cambria Math"/>
                  </w:rPr>
                  <m:t xml:space="preserve">VIF= </m:t>
                </m:r>
                <m:f>
                  <m:fPr>
                    <m:ctrlPr>
                      <w:rPr>
                        <w:rFonts w:ascii="Cambria Math" w:hAnsi="Cambria Math"/>
                        <w:i/>
                      </w:rPr>
                    </m:ctrlPr>
                  </m:fPr>
                  <m:num>
                    <m:r>
                      <w:rPr>
                        <w:rFonts w:ascii="Cambria Math" w:hAnsi="Cambria Math"/>
                      </w:rPr>
                      <m:t>1</m:t>
                    </m:r>
                  </m:num>
                  <m:den>
                    <m:r>
                      <w:rPr>
                        <w:rFonts w:ascii="Cambria Math" w:hAnsi="Cambria Math"/>
                      </w:rPr>
                      <m:t>1-</m:t>
                    </m:r>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den>
                </m:f>
              </m:oMath>
            </m:oMathPara>
          </w:p>
        </w:tc>
        <w:tc>
          <w:tcPr>
            <w:tcW w:w="3775" w:type="dxa"/>
          </w:tcPr>
          <w:p w14:paraId="4EAEC89F" w14:textId="77777777" w:rsidR="00AD04F4" w:rsidRPr="00BC308E" w:rsidRDefault="00AD04F4" w:rsidP="00B3488D">
            <w:pPr>
              <w:spacing w:line="480" w:lineRule="auto"/>
              <w:jc w:val="right"/>
              <w:rPr>
                <w:rFonts w:ascii="Times" w:hAnsi="Times"/>
              </w:rPr>
            </w:pPr>
            <w:r w:rsidRPr="00BC308E">
              <w:rPr>
                <w:rFonts w:ascii="Times" w:hAnsi="Times"/>
              </w:rPr>
              <w:t>(1)</w:t>
            </w:r>
          </w:p>
        </w:tc>
      </w:tr>
    </w:tbl>
    <w:p w14:paraId="739194E6" w14:textId="77777777" w:rsidR="00AD04F4" w:rsidRPr="00BC308E" w:rsidRDefault="00AD04F4" w:rsidP="00AD04F4">
      <w:pPr>
        <w:spacing w:line="480" w:lineRule="auto"/>
        <w:rPr>
          <w:rFonts w:ascii="Times" w:hAnsi="Times"/>
        </w:rPr>
      </w:pPr>
    </w:p>
    <w:p w14:paraId="2673238A" w14:textId="5DFB3E9B" w:rsidR="00AD04F4" w:rsidRPr="00BC308E" w:rsidRDefault="00AD04F4" w:rsidP="00AD04F4">
      <w:pPr>
        <w:spacing w:line="480" w:lineRule="auto"/>
        <w:rPr>
          <w:rFonts w:ascii="Times" w:eastAsiaTheme="minorEastAsia" w:hAnsi="Times"/>
        </w:rPr>
      </w:pPr>
      <w:r w:rsidRPr="00BC308E">
        <w:rPr>
          <w:rFonts w:ascii="Times" w:hAnsi="Times"/>
        </w:rPr>
        <w:t xml:space="preserve">where VIF is the variance inflation factor and </w:t>
      </w:r>
      <m:oMath>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oMath>
      <w:r w:rsidRPr="00BC308E">
        <w:rPr>
          <w:rFonts w:ascii="Times" w:eastAsiaTheme="minorEastAsia" w:hAnsi="Times"/>
        </w:rPr>
        <w:t xml:space="preserve"> is the coefficient of determination. A threshold of VIF &gt;10 has previously been described as having considerable collinearity; however, other </w:t>
      </w:r>
      <w:r w:rsidRPr="00BC308E">
        <w:rPr>
          <w:rFonts w:ascii="Times" w:eastAsiaTheme="minorEastAsia" w:hAnsi="Times"/>
        </w:rPr>
        <w:lastRenderedPageBreak/>
        <w:t xml:space="preserve">studies have suggested </w:t>
      </w:r>
      <w:r w:rsidR="000A3E18">
        <w:rPr>
          <w:rFonts w:ascii="Times" w:eastAsiaTheme="minorEastAsia" w:hAnsi="Times"/>
        </w:rPr>
        <w:t xml:space="preserve">a </w:t>
      </w:r>
      <w:r w:rsidRPr="00BC308E">
        <w:rPr>
          <w:rFonts w:ascii="Times" w:eastAsiaTheme="minorEastAsia" w:hAnsi="Times"/>
        </w:rPr>
        <w:t>VIF value</w:t>
      </w:r>
      <w:r w:rsidR="000A3E18">
        <w:rPr>
          <w:rFonts w:ascii="Times" w:eastAsiaTheme="minorEastAsia" w:hAnsi="Times"/>
        </w:rPr>
        <w:t xml:space="preserve"> </w:t>
      </w:r>
      <w:r w:rsidRPr="00BC308E">
        <w:rPr>
          <w:rFonts w:ascii="Times" w:eastAsiaTheme="minorEastAsia" w:hAnsi="Times"/>
        </w:rPr>
        <w:t>of 5 as</w:t>
      </w:r>
      <w:r w:rsidR="000A3E18">
        <w:rPr>
          <w:rFonts w:ascii="Times" w:eastAsiaTheme="minorEastAsia" w:hAnsi="Times"/>
        </w:rPr>
        <w:t xml:space="preserve"> a</w:t>
      </w:r>
      <w:r w:rsidRPr="00BC308E">
        <w:rPr>
          <w:rFonts w:ascii="Times" w:eastAsiaTheme="minorEastAsia" w:hAnsi="Times"/>
        </w:rPr>
        <w:t xml:space="preserve"> more conservative threshold estimate.</w:t>
      </w:r>
      <w:r w:rsidR="00C341D4">
        <w:rPr>
          <w:rFonts w:ascii="Times" w:eastAsiaTheme="minorEastAsia" w:hAnsi="Times"/>
        </w:rPr>
        <w:fldChar w:fldCharType="begin"/>
      </w:r>
      <w:r w:rsidR="00BD50A4">
        <w:rPr>
          <w:rFonts w:ascii="Times" w:eastAsiaTheme="minorEastAsia" w:hAnsi="Times"/>
        </w:rPr>
        <w:instrText xml:space="preserve"> ADDIN ZOTERO_ITEM CSL_CITATION {"citationID":"PpOp1xLo","properties":{"formattedCitation":"\\super 1\\uc0\\u8211{}4\\nosupersub{}","plainCitation":"1–4","noteIndex":0},"citationItems":[{"id":2441,"uris":["http://zotero.org/users/8677172/items/GJUHHBEC"],"itemData":{"id":2441,"type":"book","abstract":"Emphasizing the parallels between linear and logistic regression, Scott Menard explores logistic regression analysis and demonstrates its usefulness in analyzing dichotomous, polytomous nominal, and polytomous ordinal dependent variables. The book is aimed at readers with a background in bivariate and multiple linear regression.","ISBN":"978-0-8039-5757-2","language":"en","note":"Google-Books-ID: zBgXAQAAMAAJ","number-of-pages":"112","publisher":"SAGE Publications","source":"Google Books","title":"Applied Logistic Regression Analysis","author":[{"family":"Menard","given":"Scott"}],"issued":{"date-parts":[["1995",6,29]]}}},{"id":2439,"uris":["http://zotero.org/users/8677172/items/ZLH79DBP"],"itemData":{"id":2439,"type":"book","abstract":"An Introduction to Statistical Learning provides an accessible overview of the field of statistical learning, an essential toolset for making sense of the vast and complex data sets that have emerged in fields ranging from biology to finance to marketing to astrophysics in the past twenty years. This book presents some of the most important modeling and prediction techniques, along with relevant applications. Topics include linear regression, classification, resampling methods, shrinkage approaches, tree-based methods, support vector machines, clustering, and more. Color graphics and real-world examples are used to illustrate the methods presented. Since the goal of this textbook is to facilitate the use of these statistical learning techniques by practitioners in science, industry, and other fields, each chapter contains a tutorial on implementing the analyses and methods presented in R, an extremely popular open source statistical software platform.Two of the authors co-wrote The Elements of Statistical Learning (Hastie, Tibshirani and Friedman, 2nd edition 2009), a popular reference book for statistics and machine learning researchers. An Introduction to Statistical Learning covers many of the same topics, but at a level accessible to a much broader audience. This book is targeted at statisticians and non-statisticians alike who wish to use cutting-edge statistical learning techniques to analyze their data. The text assumes only a previous course in linear regression and no knowledge of matrix algebra.","ISBN":"978-1-4614-7138-7","language":"en","note":"Google-Books-ID: qcI_AAAAQBAJ","number-of-pages":"434","publisher":"Springer Science &amp; Business Media","source":"Google Books","title":"An Introduction to Statistical Learning: with Applications in R","title-short":"An Introduction to Statistical Learning","author":[{"family":"James","given":"Gareth"},{"family":"Witten","given":"Daniela"},{"family":"Hastie","given":"Trevor"},{"family":"Tibshirani","given":"Robert"}],"issued":{"date-parts":[["2013",6,24]]}}},{"id":2437,"uris":["http://zotero.org/users/8677172/items/JMEB78SY"],"itemData":{"id":2437,"type":"book","abstract":"This new book provides a unified, in-depth, readable introduction to the multipredictor regression methods most widely used in biostatistics: linear models for continuous outcomes, logistic models for binary outcomes, the Cox model for right-censored survival times, repeated-measures models for longitudinal and hierarchical outcomes, and generalized linear models for counts and other outcomes.  Treating these topics together takes advantage of all they have in common. The authors point out the many-shared elements in the methods they present for selecting, estimating, checking, and interpreting each of these models. They also show that these regression methods deal with confounding, mediation, and interaction of causal effects in essentially the same way.  The examples, analyzed using Stata, are drawn from the biomedical context but generalize to other areas of application. While a first course in statistics is assumed, a chapter reviewing basic statistical methods is included. Some advanced topics are covered but the presentation remains intuitive. A brief introduction to regression analysis of complex surveys and notes for further reading are provided. For many students and researchers learning to use these methods, this one book may be all they need to conduct and interpret multipredictor regression analyses.  The authors are on the faculty in the Division of Biostatistics, Department of Epidemiology and Biostatistics, University of California, San Francisco, and are authors or co-authors of more than 200 methodological as well as applied papers in the biological and biomedical sciences. The senior author, Charles E. McCulloch, is head of the Division and author of Generalized Linear Mixed Models (2003), Generalized, Linear, and Mixed Models (2000), and Variance Components (1992).  From the reviews:  \"This book provides a unified introduction to the regression methods listed in the title...The methods are well illustrated by data drawn from medical studies...A real strength of this book is the careful discussion of issues common to all of the multipredictor methods covered.\" Journal of Biopharmaceutical Statistics, 2005 \"This book is not just for biostatisticians. It is, in fact, a very good, and relatively nonmathematical, overview of multipredictor regression models. Although the examples are biologically oriented, they are generally easy to understand and follow...I heartily recommend the book\" Technometrics, February 2006 \"Overall, the text provides an overview of regression methods that is particularly strong in its breadth of coverage and emphasis on insight in place of mathematical detail. As intended, this well-unified approach should appeal to students who learn conceptually and verbally.\" Journal of the American Statistical Association, March 2006","ISBN":"978-1-4614-1353-0","language":"en","note":"Google-Books-ID: boMUM6N8V4wC","number-of-pages":"526","publisher":"Springer Science &amp; Business Media","source":"Google Books","title":"Regression Methods in Biostatistics: Linear, Logistic, Survival, and Repeated Measures Models","title-short":"Regression Methods in Biostatistics","author":[{"family":"Vittinghoff","given":"Eric"},{"family":"Glidden","given":"David V."},{"family":"Shiboski","given":"Stephen C."},{"family":"McCulloch","given":"Charles E."}],"issued":{"date-parts":[["2012",3,6]]}}},{"id":2435,"uris":["http://zotero.org/users/8677172/items/ALNR2PGJ"],"itemData":{"id":2435,"type":"book","abstract":"Multiple regression is at the heart of social science data analysis, because it deals with explanations and correlations. This book is a complete introduction to this statistical method.  This textbook is designed for the first social statistics course a student takes and, unlike other titles aimed at a higher level, has been specifically written with the undergraduate student in mind.","ISBN":"978-0-7619-8533-4","language":"en","number-of-pages":"230","publisher":"Pine Forge Press","source":"Google Books","title":"Multiple Regression: A Primer","title-short":"Multiple Regression","author":[{"family":"Allison","given":"Paul D."}],"issued":{"date-parts":[["1999"]]}}}],"schema":"https://github.com/citation-style-language/schema/raw/master/csl-citation.json"} </w:instrText>
      </w:r>
      <w:r w:rsidR="00C341D4">
        <w:rPr>
          <w:rFonts w:ascii="Times" w:eastAsiaTheme="minorEastAsia" w:hAnsi="Times"/>
        </w:rPr>
        <w:fldChar w:fldCharType="separate"/>
      </w:r>
      <w:r w:rsidR="00BD50A4" w:rsidRPr="00BD50A4">
        <w:rPr>
          <w:rFonts w:ascii="Times" w:hAnsi="Times" w:cs="Times New Roman"/>
          <w:vertAlign w:val="superscript"/>
        </w:rPr>
        <w:t>1–4</w:t>
      </w:r>
      <w:r w:rsidR="00C341D4">
        <w:rPr>
          <w:rFonts w:ascii="Times" w:eastAsiaTheme="minorEastAsia" w:hAnsi="Times"/>
        </w:rPr>
        <w:fldChar w:fldCharType="end"/>
      </w:r>
      <w:r w:rsidRPr="00BC308E">
        <w:rPr>
          <w:rFonts w:ascii="Times" w:eastAsiaTheme="minorEastAsia" w:hAnsi="Times"/>
        </w:rPr>
        <w:t xml:space="preserve"> The calculated </w:t>
      </w:r>
      <m:oMath>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oMath>
      <w:r w:rsidRPr="00BC308E">
        <w:rPr>
          <w:rFonts w:ascii="Times" w:eastAsiaTheme="minorEastAsia" w:hAnsi="Times"/>
        </w:rPr>
        <w:t xml:space="preserve"> and VIF values of the predictor values in this study (shown in table S1) indicate that multicollinearity was below the thresholds of 5 and 10 in all cases, suggesting that each factor was suitable and not codependent for the MLR model.</w:t>
      </w:r>
    </w:p>
    <w:tbl>
      <w:tblPr>
        <w:tblStyle w:val="TableGrid"/>
        <w:tblW w:w="5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230"/>
        <w:gridCol w:w="883"/>
      </w:tblGrid>
      <w:tr w:rsidR="00AD04F4" w:rsidRPr="00BC308E" w14:paraId="3B51EE8A" w14:textId="77777777" w:rsidTr="00933056">
        <w:trPr>
          <w:jc w:val="center"/>
        </w:trPr>
        <w:tc>
          <w:tcPr>
            <w:tcW w:w="5713" w:type="dxa"/>
            <w:gridSpan w:val="3"/>
            <w:tcBorders>
              <w:top w:val="single" w:sz="4" w:space="0" w:color="auto"/>
              <w:left w:val="single" w:sz="4" w:space="0" w:color="auto"/>
              <w:bottom w:val="single" w:sz="4" w:space="0" w:color="auto"/>
              <w:right w:val="single" w:sz="4" w:space="0" w:color="auto"/>
            </w:tcBorders>
          </w:tcPr>
          <w:p w14:paraId="2A2728B8" w14:textId="77777777" w:rsidR="00AD04F4" w:rsidRPr="00BC308E" w:rsidRDefault="00AD04F4" w:rsidP="00B3488D">
            <w:pPr>
              <w:rPr>
                <w:rFonts w:ascii="Times" w:eastAsiaTheme="minorEastAsia" w:hAnsi="Times"/>
                <w:b/>
                <w:bCs/>
              </w:rPr>
            </w:pPr>
            <w:r w:rsidRPr="00BC308E">
              <w:rPr>
                <w:rFonts w:ascii="Times" w:eastAsiaTheme="minorEastAsia" w:hAnsi="Times"/>
                <w:b/>
                <w:bCs/>
              </w:rPr>
              <w:t>Supplementary Table S1</w:t>
            </w:r>
          </w:p>
        </w:tc>
      </w:tr>
      <w:tr w:rsidR="00AD04F4" w:rsidRPr="00BC308E" w14:paraId="3D8A7E50" w14:textId="77777777" w:rsidTr="0093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600" w:type="dxa"/>
            <w:tcBorders>
              <w:top w:val="single" w:sz="4" w:space="0" w:color="auto"/>
              <w:left w:val="single" w:sz="4" w:space="0" w:color="auto"/>
              <w:right w:val="single" w:sz="4" w:space="0" w:color="auto"/>
            </w:tcBorders>
          </w:tcPr>
          <w:p w14:paraId="5138F9DA" w14:textId="77777777" w:rsidR="00AD04F4" w:rsidRPr="00BC308E" w:rsidRDefault="00AD04F4" w:rsidP="00B3488D">
            <w:pPr>
              <w:rPr>
                <w:rFonts w:ascii="Times" w:eastAsiaTheme="minorEastAsia" w:hAnsi="Times"/>
              </w:rPr>
            </w:pPr>
            <w:r w:rsidRPr="00BC308E">
              <w:rPr>
                <w:rFonts w:ascii="Times" w:eastAsiaTheme="minorEastAsia" w:hAnsi="Times"/>
              </w:rPr>
              <w:t>Predictor Value</w:t>
            </w:r>
          </w:p>
        </w:tc>
        <w:tc>
          <w:tcPr>
            <w:tcW w:w="1230" w:type="dxa"/>
            <w:tcBorders>
              <w:top w:val="single" w:sz="4" w:space="0" w:color="auto"/>
              <w:left w:val="single" w:sz="4" w:space="0" w:color="auto"/>
            </w:tcBorders>
          </w:tcPr>
          <w:p w14:paraId="11D5F23F" w14:textId="77777777" w:rsidR="00AD04F4" w:rsidRPr="00BC308E" w:rsidRDefault="00000000" w:rsidP="00B3488D">
            <w:pPr>
              <w:jc w:val="center"/>
              <w:rPr>
                <w:rFonts w:ascii="Times" w:eastAsiaTheme="minorEastAsia" w:hAnsi="Times"/>
              </w:rPr>
            </w:pPr>
            <m:oMath>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oMath>
            <w:r w:rsidR="00AD04F4" w:rsidRPr="00BC308E">
              <w:rPr>
                <w:rFonts w:ascii="Times" w:eastAsiaTheme="minorEastAsia" w:hAnsi="Times"/>
              </w:rPr>
              <w:t>-Value</w:t>
            </w:r>
          </w:p>
        </w:tc>
        <w:tc>
          <w:tcPr>
            <w:tcW w:w="883" w:type="dxa"/>
            <w:tcBorders>
              <w:top w:val="single" w:sz="4" w:space="0" w:color="auto"/>
              <w:right w:val="single" w:sz="4" w:space="0" w:color="auto"/>
            </w:tcBorders>
          </w:tcPr>
          <w:p w14:paraId="57BB0A64" w14:textId="77777777" w:rsidR="00AD04F4" w:rsidRPr="00BC308E" w:rsidRDefault="00AD04F4" w:rsidP="00B3488D">
            <w:pPr>
              <w:jc w:val="center"/>
              <w:rPr>
                <w:rFonts w:ascii="Times" w:eastAsiaTheme="minorEastAsia" w:hAnsi="Times"/>
              </w:rPr>
            </w:pPr>
            <w:r w:rsidRPr="00BC308E">
              <w:rPr>
                <w:rFonts w:ascii="Times" w:eastAsiaTheme="minorEastAsia" w:hAnsi="Times"/>
              </w:rPr>
              <w:t>VIF</w:t>
            </w:r>
          </w:p>
        </w:tc>
      </w:tr>
      <w:tr w:rsidR="00AD04F4" w:rsidRPr="00BC308E" w14:paraId="571EB30F" w14:textId="77777777" w:rsidTr="0093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600" w:type="dxa"/>
            <w:tcBorders>
              <w:left w:val="single" w:sz="4" w:space="0" w:color="auto"/>
              <w:right w:val="single" w:sz="4" w:space="0" w:color="auto"/>
            </w:tcBorders>
          </w:tcPr>
          <w:p w14:paraId="051C90B1" w14:textId="77777777" w:rsidR="00AD04F4" w:rsidRPr="00BC308E" w:rsidRDefault="00AD04F4" w:rsidP="00B3488D">
            <w:pPr>
              <w:rPr>
                <w:rFonts w:ascii="Times" w:eastAsiaTheme="minorEastAsia" w:hAnsi="Times"/>
              </w:rPr>
            </w:pPr>
            <w:r w:rsidRPr="00BC308E">
              <w:rPr>
                <w:rFonts w:ascii="Times" w:eastAsia="Times New Roman" w:hAnsi="Times" w:cs="Calibri"/>
                <w:color w:val="000000"/>
              </w:rPr>
              <w:t>(A) Age</w:t>
            </w:r>
          </w:p>
        </w:tc>
        <w:tc>
          <w:tcPr>
            <w:tcW w:w="1230" w:type="dxa"/>
            <w:tcBorders>
              <w:left w:val="single" w:sz="4" w:space="0" w:color="auto"/>
            </w:tcBorders>
          </w:tcPr>
          <w:p w14:paraId="33E790AC" w14:textId="77777777" w:rsidR="00AD04F4" w:rsidRPr="00BC308E" w:rsidRDefault="00AD04F4" w:rsidP="00B3488D">
            <w:pPr>
              <w:jc w:val="center"/>
              <w:rPr>
                <w:rFonts w:ascii="Times" w:eastAsiaTheme="minorEastAsia" w:hAnsi="Times"/>
              </w:rPr>
            </w:pPr>
            <w:r w:rsidRPr="00BC308E">
              <w:rPr>
                <w:rFonts w:ascii="Times" w:eastAsiaTheme="minorEastAsia" w:hAnsi="Times"/>
              </w:rPr>
              <w:t>0.709</w:t>
            </w:r>
          </w:p>
        </w:tc>
        <w:tc>
          <w:tcPr>
            <w:tcW w:w="883" w:type="dxa"/>
            <w:tcBorders>
              <w:right w:val="single" w:sz="4" w:space="0" w:color="auto"/>
            </w:tcBorders>
          </w:tcPr>
          <w:p w14:paraId="55A5DD11" w14:textId="77777777" w:rsidR="00AD04F4" w:rsidRPr="00BC308E" w:rsidRDefault="00AD04F4" w:rsidP="00B3488D">
            <w:pPr>
              <w:jc w:val="center"/>
              <w:rPr>
                <w:rFonts w:ascii="Times" w:eastAsiaTheme="minorEastAsia" w:hAnsi="Times"/>
              </w:rPr>
            </w:pPr>
            <w:r w:rsidRPr="00BC308E">
              <w:rPr>
                <w:rFonts w:ascii="Times" w:eastAsiaTheme="minorEastAsia" w:hAnsi="Times"/>
              </w:rPr>
              <w:t>3.438</w:t>
            </w:r>
          </w:p>
        </w:tc>
      </w:tr>
      <w:tr w:rsidR="00AD04F4" w:rsidRPr="00BC308E" w14:paraId="41393AE4" w14:textId="77777777" w:rsidTr="0093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600" w:type="dxa"/>
            <w:tcBorders>
              <w:left w:val="single" w:sz="4" w:space="0" w:color="auto"/>
              <w:right w:val="single" w:sz="4" w:space="0" w:color="auto"/>
            </w:tcBorders>
          </w:tcPr>
          <w:p w14:paraId="4FC83724" w14:textId="77777777" w:rsidR="00AD04F4" w:rsidRPr="00BC308E" w:rsidRDefault="00AD04F4" w:rsidP="00B3488D">
            <w:pPr>
              <w:rPr>
                <w:rFonts w:ascii="Times" w:eastAsiaTheme="minorEastAsia" w:hAnsi="Times"/>
              </w:rPr>
            </w:pPr>
            <w:r w:rsidRPr="00BC308E">
              <w:rPr>
                <w:rFonts w:ascii="Times" w:eastAsia="Times New Roman" w:hAnsi="Times" w:cs="Calibri"/>
                <w:color w:val="000000"/>
              </w:rPr>
              <w:t>(B) Male gender</w:t>
            </w:r>
          </w:p>
        </w:tc>
        <w:tc>
          <w:tcPr>
            <w:tcW w:w="1230" w:type="dxa"/>
            <w:tcBorders>
              <w:left w:val="single" w:sz="4" w:space="0" w:color="auto"/>
            </w:tcBorders>
          </w:tcPr>
          <w:p w14:paraId="4EF8411C" w14:textId="77777777" w:rsidR="00AD04F4" w:rsidRPr="00BC308E" w:rsidRDefault="00AD04F4" w:rsidP="00B3488D">
            <w:pPr>
              <w:jc w:val="center"/>
              <w:rPr>
                <w:rFonts w:ascii="Times" w:eastAsiaTheme="minorEastAsia" w:hAnsi="Times"/>
              </w:rPr>
            </w:pPr>
            <w:r w:rsidRPr="00BC308E">
              <w:rPr>
                <w:rFonts w:ascii="Times" w:eastAsiaTheme="minorEastAsia" w:hAnsi="Times"/>
              </w:rPr>
              <w:t>0.070</w:t>
            </w:r>
          </w:p>
        </w:tc>
        <w:tc>
          <w:tcPr>
            <w:tcW w:w="883" w:type="dxa"/>
            <w:tcBorders>
              <w:right w:val="single" w:sz="4" w:space="0" w:color="auto"/>
            </w:tcBorders>
          </w:tcPr>
          <w:p w14:paraId="24E6B1A1" w14:textId="77777777" w:rsidR="00AD04F4" w:rsidRPr="00BC308E" w:rsidRDefault="00AD04F4" w:rsidP="00B3488D">
            <w:pPr>
              <w:jc w:val="center"/>
              <w:rPr>
                <w:rFonts w:ascii="Times" w:eastAsiaTheme="minorEastAsia" w:hAnsi="Times"/>
              </w:rPr>
            </w:pPr>
            <w:r w:rsidRPr="00BC308E">
              <w:rPr>
                <w:rFonts w:ascii="Times" w:eastAsiaTheme="minorEastAsia" w:hAnsi="Times"/>
              </w:rPr>
              <w:t>1.076</w:t>
            </w:r>
          </w:p>
        </w:tc>
      </w:tr>
      <w:tr w:rsidR="00AD04F4" w:rsidRPr="00BC308E" w14:paraId="13FEAF07" w14:textId="77777777" w:rsidTr="00933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600" w:type="dxa"/>
            <w:tcBorders>
              <w:left w:val="single" w:sz="4" w:space="0" w:color="auto"/>
              <w:bottom w:val="single" w:sz="4" w:space="0" w:color="auto"/>
              <w:right w:val="single" w:sz="4" w:space="0" w:color="auto"/>
            </w:tcBorders>
          </w:tcPr>
          <w:p w14:paraId="4B9508A8" w14:textId="77777777" w:rsidR="00AD04F4" w:rsidRPr="00BC308E" w:rsidRDefault="00AD04F4" w:rsidP="00B3488D">
            <w:pPr>
              <w:rPr>
                <w:rFonts w:ascii="Times" w:eastAsiaTheme="minorEastAsia" w:hAnsi="Times"/>
              </w:rPr>
            </w:pPr>
            <w:r w:rsidRPr="00BC308E">
              <w:rPr>
                <w:rFonts w:ascii="Times" w:eastAsia="Times New Roman" w:hAnsi="Times" w:cs="Calibri"/>
                <w:color w:val="000000"/>
              </w:rPr>
              <w:t>(C) Trauma Experience</w:t>
            </w:r>
          </w:p>
        </w:tc>
        <w:tc>
          <w:tcPr>
            <w:tcW w:w="1230" w:type="dxa"/>
            <w:tcBorders>
              <w:left w:val="single" w:sz="4" w:space="0" w:color="auto"/>
              <w:bottom w:val="single" w:sz="4" w:space="0" w:color="auto"/>
            </w:tcBorders>
          </w:tcPr>
          <w:p w14:paraId="2F79E7FA" w14:textId="77777777" w:rsidR="00AD04F4" w:rsidRPr="00BC308E" w:rsidRDefault="00AD04F4" w:rsidP="00B3488D">
            <w:pPr>
              <w:jc w:val="center"/>
              <w:rPr>
                <w:rFonts w:ascii="Times" w:eastAsiaTheme="minorEastAsia" w:hAnsi="Times"/>
              </w:rPr>
            </w:pPr>
            <w:r w:rsidRPr="00BC308E">
              <w:rPr>
                <w:rFonts w:ascii="Times" w:eastAsiaTheme="minorEastAsia" w:hAnsi="Times"/>
              </w:rPr>
              <w:t>0.738</w:t>
            </w:r>
          </w:p>
        </w:tc>
        <w:tc>
          <w:tcPr>
            <w:tcW w:w="883" w:type="dxa"/>
            <w:tcBorders>
              <w:bottom w:val="single" w:sz="4" w:space="0" w:color="auto"/>
              <w:right w:val="single" w:sz="4" w:space="0" w:color="auto"/>
            </w:tcBorders>
          </w:tcPr>
          <w:p w14:paraId="72C53E94" w14:textId="77777777" w:rsidR="00AD04F4" w:rsidRPr="00BC308E" w:rsidRDefault="00AD04F4" w:rsidP="00B3488D">
            <w:pPr>
              <w:jc w:val="center"/>
              <w:rPr>
                <w:rFonts w:ascii="Times" w:eastAsiaTheme="minorEastAsia" w:hAnsi="Times"/>
              </w:rPr>
            </w:pPr>
            <w:r w:rsidRPr="00BC308E">
              <w:rPr>
                <w:rFonts w:ascii="Times" w:eastAsiaTheme="minorEastAsia" w:hAnsi="Times"/>
              </w:rPr>
              <w:t>3.817</w:t>
            </w:r>
          </w:p>
        </w:tc>
      </w:tr>
      <w:tr w:rsidR="00AD04F4" w:rsidRPr="00BC308E" w14:paraId="7682CE03" w14:textId="77777777" w:rsidTr="00933056">
        <w:trPr>
          <w:jc w:val="center"/>
        </w:trPr>
        <w:tc>
          <w:tcPr>
            <w:tcW w:w="3600" w:type="dxa"/>
            <w:tcBorders>
              <w:top w:val="single" w:sz="4" w:space="0" w:color="auto"/>
              <w:left w:val="single" w:sz="4" w:space="0" w:color="auto"/>
              <w:bottom w:val="single" w:sz="4" w:space="0" w:color="auto"/>
              <w:right w:val="single" w:sz="4" w:space="0" w:color="auto"/>
            </w:tcBorders>
          </w:tcPr>
          <w:p w14:paraId="2C8D4B61" w14:textId="77777777" w:rsidR="00AD04F4" w:rsidRPr="00BC308E" w:rsidRDefault="00AD04F4" w:rsidP="00B3488D">
            <w:pPr>
              <w:rPr>
                <w:rFonts w:ascii="Times" w:eastAsiaTheme="minorEastAsia" w:hAnsi="Times"/>
              </w:rPr>
            </w:pPr>
            <w:r w:rsidRPr="00BC308E">
              <w:rPr>
                <w:rFonts w:ascii="Times" w:eastAsia="Times New Roman" w:hAnsi="Times" w:cs="Calibri"/>
                <w:color w:val="000000"/>
              </w:rPr>
              <w:t>(D) Completion of Medical School</w:t>
            </w:r>
          </w:p>
        </w:tc>
        <w:tc>
          <w:tcPr>
            <w:tcW w:w="1230" w:type="dxa"/>
            <w:tcBorders>
              <w:top w:val="single" w:sz="4" w:space="0" w:color="auto"/>
              <w:left w:val="single" w:sz="4" w:space="0" w:color="auto"/>
              <w:bottom w:val="single" w:sz="4" w:space="0" w:color="auto"/>
              <w:right w:val="single" w:sz="4" w:space="0" w:color="auto"/>
            </w:tcBorders>
          </w:tcPr>
          <w:p w14:paraId="439185AE" w14:textId="77777777" w:rsidR="00AD04F4" w:rsidRPr="00BC308E" w:rsidRDefault="00AD04F4" w:rsidP="00B3488D">
            <w:pPr>
              <w:jc w:val="center"/>
              <w:rPr>
                <w:rFonts w:ascii="Times" w:eastAsiaTheme="minorEastAsia" w:hAnsi="Times"/>
              </w:rPr>
            </w:pPr>
            <w:r w:rsidRPr="00BC308E">
              <w:rPr>
                <w:rFonts w:ascii="Times" w:eastAsiaTheme="minorEastAsia" w:hAnsi="Times"/>
              </w:rPr>
              <w:t>0.280</w:t>
            </w:r>
          </w:p>
        </w:tc>
        <w:tc>
          <w:tcPr>
            <w:tcW w:w="883" w:type="dxa"/>
            <w:tcBorders>
              <w:top w:val="single" w:sz="4" w:space="0" w:color="auto"/>
              <w:left w:val="single" w:sz="4" w:space="0" w:color="auto"/>
              <w:bottom w:val="single" w:sz="4" w:space="0" w:color="auto"/>
              <w:right w:val="single" w:sz="4" w:space="0" w:color="auto"/>
            </w:tcBorders>
          </w:tcPr>
          <w:p w14:paraId="40C23BF4" w14:textId="77777777" w:rsidR="00AD04F4" w:rsidRPr="00BC308E" w:rsidRDefault="00AD04F4" w:rsidP="00B3488D">
            <w:pPr>
              <w:jc w:val="center"/>
              <w:rPr>
                <w:rFonts w:ascii="Times" w:eastAsiaTheme="minorEastAsia" w:hAnsi="Times"/>
              </w:rPr>
            </w:pPr>
            <w:r w:rsidRPr="00BC308E">
              <w:rPr>
                <w:rFonts w:ascii="Times" w:eastAsiaTheme="minorEastAsia" w:hAnsi="Times"/>
              </w:rPr>
              <w:t>1.390</w:t>
            </w:r>
          </w:p>
        </w:tc>
      </w:tr>
      <w:tr w:rsidR="00AD04F4" w:rsidRPr="00BC308E" w14:paraId="73AE0B8C" w14:textId="77777777" w:rsidTr="00933056">
        <w:trPr>
          <w:jc w:val="center"/>
        </w:trPr>
        <w:tc>
          <w:tcPr>
            <w:tcW w:w="3600" w:type="dxa"/>
            <w:tcBorders>
              <w:top w:val="single" w:sz="4" w:space="0" w:color="auto"/>
              <w:left w:val="single" w:sz="4" w:space="0" w:color="auto"/>
              <w:bottom w:val="single" w:sz="4" w:space="0" w:color="auto"/>
              <w:right w:val="single" w:sz="4" w:space="0" w:color="auto"/>
            </w:tcBorders>
          </w:tcPr>
          <w:p w14:paraId="13264925" w14:textId="77777777" w:rsidR="00AD04F4" w:rsidRPr="00BC308E" w:rsidRDefault="00AD04F4" w:rsidP="00B3488D">
            <w:pPr>
              <w:rPr>
                <w:rFonts w:ascii="Times" w:eastAsiaTheme="minorEastAsia" w:hAnsi="Times"/>
              </w:rPr>
            </w:pPr>
            <w:r w:rsidRPr="00BC308E">
              <w:rPr>
                <w:rFonts w:ascii="Times" w:eastAsia="Times New Roman" w:hAnsi="Times" w:cs="Calibri"/>
                <w:color w:val="000000"/>
              </w:rPr>
              <w:t>(E) Deployed/FR History</w:t>
            </w:r>
          </w:p>
        </w:tc>
        <w:tc>
          <w:tcPr>
            <w:tcW w:w="1230" w:type="dxa"/>
            <w:tcBorders>
              <w:top w:val="single" w:sz="4" w:space="0" w:color="auto"/>
              <w:left w:val="single" w:sz="4" w:space="0" w:color="auto"/>
              <w:bottom w:val="single" w:sz="4" w:space="0" w:color="auto"/>
              <w:right w:val="single" w:sz="4" w:space="0" w:color="auto"/>
            </w:tcBorders>
          </w:tcPr>
          <w:p w14:paraId="3ED0D440" w14:textId="77777777" w:rsidR="00AD04F4" w:rsidRPr="00BC308E" w:rsidRDefault="00AD04F4" w:rsidP="00B3488D">
            <w:pPr>
              <w:jc w:val="center"/>
              <w:rPr>
                <w:rFonts w:ascii="Times" w:eastAsiaTheme="minorEastAsia" w:hAnsi="Times"/>
              </w:rPr>
            </w:pPr>
            <w:r w:rsidRPr="00BC308E">
              <w:rPr>
                <w:rFonts w:ascii="Times" w:eastAsiaTheme="minorEastAsia" w:hAnsi="Times"/>
              </w:rPr>
              <w:t>0.254</w:t>
            </w:r>
          </w:p>
        </w:tc>
        <w:tc>
          <w:tcPr>
            <w:tcW w:w="883" w:type="dxa"/>
            <w:tcBorders>
              <w:top w:val="single" w:sz="4" w:space="0" w:color="auto"/>
              <w:left w:val="single" w:sz="4" w:space="0" w:color="auto"/>
              <w:bottom w:val="single" w:sz="4" w:space="0" w:color="auto"/>
              <w:right w:val="single" w:sz="4" w:space="0" w:color="auto"/>
            </w:tcBorders>
          </w:tcPr>
          <w:p w14:paraId="6C6B83D9" w14:textId="77777777" w:rsidR="00AD04F4" w:rsidRPr="00BC308E" w:rsidRDefault="00AD04F4" w:rsidP="00B3488D">
            <w:pPr>
              <w:jc w:val="center"/>
              <w:rPr>
                <w:rFonts w:ascii="Times" w:eastAsiaTheme="minorEastAsia" w:hAnsi="Times"/>
              </w:rPr>
            </w:pPr>
            <w:r w:rsidRPr="00BC308E">
              <w:rPr>
                <w:rFonts w:ascii="Times" w:eastAsiaTheme="minorEastAsia" w:hAnsi="Times"/>
              </w:rPr>
              <w:t>1.342</w:t>
            </w:r>
          </w:p>
        </w:tc>
      </w:tr>
      <w:tr w:rsidR="00AD04F4" w:rsidRPr="00BC308E" w14:paraId="3BBD55D5" w14:textId="77777777" w:rsidTr="00933056">
        <w:trPr>
          <w:jc w:val="center"/>
        </w:trPr>
        <w:tc>
          <w:tcPr>
            <w:tcW w:w="3600" w:type="dxa"/>
            <w:tcBorders>
              <w:top w:val="single" w:sz="4" w:space="0" w:color="auto"/>
              <w:left w:val="single" w:sz="4" w:space="0" w:color="auto"/>
              <w:bottom w:val="single" w:sz="4" w:space="0" w:color="auto"/>
              <w:right w:val="single" w:sz="4" w:space="0" w:color="auto"/>
            </w:tcBorders>
          </w:tcPr>
          <w:p w14:paraId="76FDF377" w14:textId="77777777" w:rsidR="00AD04F4" w:rsidRPr="00BC308E" w:rsidRDefault="00AD04F4" w:rsidP="00B3488D">
            <w:pPr>
              <w:rPr>
                <w:rFonts w:ascii="Times" w:eastAsiaTheme="minorEastAsia" w:hAnsi="Times"/>
              </w:rPr>
            </w:pPr>
            <w:r w:rsidRPr="00BC308E">
              <w:rPr>
                <w:rFonts w:ascii="Times" w:eastAsia="Times New Roman" w:hAnsi="Times" w:cs="Calibri"/>
                <w:color w:val="000000"/>
              </w:rPr>
              <w:t>(F) Prior MCI Response</w:t>
            </w:r>
          </w:p>
        </w:tc>
        <w:tc>
          <w:tcPr>
            <w:tcW w:w="1230" w:type="dxa"/>
            <w:tcBorders>
              <w:top w:val="single" w:sz="4" w:space="0" w:color="auto"/>
              <w:left w:val="single" w:sz="4" w:space="0" w:color="auto"/>
              <w:bottom w:val="single" w:sz="4" w:space="0" w:color="auto"/>
              <w:right w:val="single" w:sz="4" w:space="0" w:color="auto"/>
            </w:tcBorders>
          </w:tcPr>
          <w:p w14:paraId="077214F2" w14:textId="77777777" w:rsidR="00AD04F4" w:rsidRPr="00BC308E" w:rsidRDefault="00AD04F4" w:rsidP="00B3488D">
            <w:pPr>
              <w:jc w:val="center"/>
              <w:rPr>
                <w:rFonts w:ascii="Times" w:eastAsiaTheme="minorEastAsia" w:hAnsi="Times"/>
              </w:rPr>
            </w:pPr>
            <w:r w:rsidRPr="00BC308E">
              <w:rPr>
                <w:rFonts w:ascii="Times" w:eastAsiaTheme="minorEastAsia" w:hAnsi="Times"/>
              </w:rPr>
              <w:t>0.200</w:t>
            </w:r>
          </w:p>
        </w:tc>
        <w:tc>
          <w:tcPr>
            <w:tcW w:w="883" w:type="dxa"/>
            <w:tcBorders>
              <w:top w:val="single" w:sz="4" w:space="0" w:color="auto"/>
              <w:left w:val="single" w:sz="4" w:space="0" w:color="auto"/>
              <w:bottom w:val="single" w:sz="4" w:space="0" w:color="auto"/>
              <w:right w:val="single" w:sz="4" w:space="0" w:color="auto"/>
            </w:tcBorders>
          </w:tcPr>
          <w:p w14:paraId="3E9A2D01" w14:textId="77777777" w:rsidR="00AD04F4" w:rsidRPr="00BC308E" w:rsidRDefault="00AD04F4" w:rsidP="00B3488D">
            <w:pPr>
              <w:jc w:val="center"/>
              <w:rPr>
                <w:rFonts w:ascii="Times" w:eastAsiaTheme="minorEastAsia" w:hAnsi="Times"/>
              </w:rPr>
            </w:pPr>
            <w:r w:rsidRPr="00BC308E">
              <w:rPr>
                <w:rFonts w:ascii="Times" w:eastAsiaTheme="minorEastAsia" w:hAnsi="Times"/>
              </w:rPr>
              <w:t>1.250</w:t>
            </w:r>
          </w:p>
        </w:tc>
      </w:tr>
    </w:tbl>
    <w:p w14:paraId="69929761" w14:textId="77777777" w:rsidR="00AD04F4" w:rsidRDefault="00AD04F4" w:rsidP="00AD04F4">
      <w:pPr>
        <w:rPr>
          <w:rFonts w:ascii="Times" w:eastAsiaTheme="minorEastAsia" w:hAnsi="Times"/>
          <w:b/>
          <w:bCs/>
        </w:rPr>
      </w:pPr>
    </w:p>
    <w:p w14:paraId="37C65D9F" w14:textId="77777777" w:rsidR="00AD04F4" w:rsidRPr="00BC308E" w:rsidRDefault="00AD04F4" w:rsidP="00AD04F4">
      <w:pPr>
        <w:rPr>
          <w:rFonts w:ascii="Times" w:eastAsiaTheme="minorEastAsia" w:hAnsi="Times"/>
        </w:rPr>
      </w:pPr>
      <w:r w:rsidRPr="00BC308E">
        <w:rPr>
          <w:rFonts w:ascii="Times" w:eastAsiaTheme="minorEastAsia" w:hAnsi="Times"/>
          <w:b/>
          <w:bCs/>
        </w:rPr>
        <w:t>Supplementary Table S1:</w:t>
      </w:r>
      <w:r w:rsidRPr="00BC308E">
        <w:rPr>
          <w:rFonts w:ascii="Times" w:eastAsiaTheme="minorEastAsia" w:hAnsi="Times"/>
        </w:rPr>
        <w:t xml:space="preserve"> A tabulation of the </w:t>
      </w:r>
      <m:oMath>
        <m:sSubSup>
          <m:sSubSupPr>
            <m:ctrlPr>
              <w:rPr>
                <w:rFonts w:ascii="Cambria Math" w:hAnsi="Cambria Math"/>
                <w:i/>
              </w:rPr>
            </m:ctrlPr>
          </m:sSubSupPr>
          <m:e>
            <m:r>
              <w:rPr>
                <w:rFonts w:ascii="Cambria Math" w:hAnsi="Cambria Math"/>
              </w:rPr>
              <m:t>R</m:t>
            </m:r>
          </m:e>
          <m:sub>
            <m:r>
              <w:rPr>
                <w:rFonts w:ascii="Cambria Math" w:hAnsi="Cambria Math"/>
              </w:rPr>
              <m:t>j</m:t>
            </m:r>
          </m:sub>
          <m:sup>
            <m:r>
              <w:rPr>
                <w:rFonts w:ascii="Cambria Math" w:hAnsi="Cambria Math"/>
              </w:rPr>
              <m:t>2</m:t>
            </m:r>
          </m:sup>
        </m:sSubSup>
      </m:oMath>
      <w:r w:rsidRPr="00BC308E">
        <w:rPr>
          <w:rFonts w:ascii="Times" w:eastAsiaTheme="minorEastAsia" w:hAnsi="Times"/>
        </w:rPr>
        <w:t>-values and VIF values of each predictor value analyzed in this study showed that no moderate or significant multicollinearity was present in the MLR model.</w:t>
      </w:r>
    </w:p>
    <w:p w14:paraId="5002807E" w14:textId="77777777" w:rsidR="00AD04F4" w:rsidRPr="00BC308E" w:rsidRDefault="00AD04F4" w:rsidP="00AD04F4">
      <w:pPr>
        <w:spacing w:line="480" w:lineRule="auto"/>
        <w:rPr>
          <w:rFonts w:ascii="Times" w:hAnsi="Times"/>
        </w:rPr>
      </w:pPr>
    </w:p>
    <w:p w14:paraId="0B08328D" w14:textId="77777777" w:rsidR="00AD04F4" w:rsidRPr="00BC308E" w:rsidRDefault="00AD04F4" w:rsidP="00AD04F4">
      <w:pPr>
        <w:spacing w:line="480" w:lineRule="auto"/>
        <w:rPr>
          <w:rFonts w:ascii="Times" w:hAnsi="Times"/>
        </w:rPr>
      </w:pPr>
      <w:r w:rsidRPr="00BC308E">
        <w:rPr>
          <w:rFonts w:ascii="Times" w:hAnsi="Times"/>
        </w:rPr>
        <w:t>Overall, the two predictor values most associated with each other appear to be age and years of trauma experience with VIF values of 3.438 and 3.817, respectively. This makes intuitive sense as one would attain more trauma experience as one increases in age; however, this collinearity was not significant enough to affect the overall MLR model.</w:t>
      </w:r>
    </w:p>
    <w:p w14:paraId="5487F75B" w14:textId="77777777" w:rsidR="00AD04F4" w:rsidRPr="00BC308E" w:rsidRDefault="00AD04F4" w:rsidP="00AD04F4">
      <w:pPr>
        <w:spacing w:line="480" w:lineRule="auto"/>
        <w:rPr>
          <w:rFonts w:ascii="Times" w:hAnsi="Times"/>
        </w:rPr>
      </w:pPr>
    </w:p>
    <w:p w14:paraId="4925B19E" w14:textId="77777777" w:rsidR="00AD04F4" w:rsidRPr="00BC308E" w:rsidRDefault="00AD04F4" w:rsidP="00AD04F4">
      <w:pPr>
        <w:spacing w:line="480" w:lineRule="auto"/>
        <w:rPr>
          <w:rFonts w:ascii="Times" w:hAnsi="Times"/>
          <w:i/>
          <w:iCs/>
        </w:rPr>
      </w:pPr>
      <w:r w:rsidRPr="00BC308E">
        <w:rPr>
          <w:rFonts w:ascii="Times" w:hAnsi="Times"/>
          <w:i/>
          <w:iCs/>
        </w:rPr>
        <w:t>One Factor At a Time Analysis (OFAT)</w:t>
      </w:r>
    </w:p>
    <w:p w14:paraId="461BE1A6" w14:textId="77777777" w:rsidR="00AD04F4" w:rsidRPr="00BC308E" w:rsidRDefault="00AD04F4" w:rsidP="00AD04F4">
      <w:pPr>
        <w:spacing w:line="480" w:lineRule="auto"/>
        <w:rPr>
          <w:rFonts w:ascii="Times" w:hAnsi="Times"/>
        </w:rPr>
      </w:pPr>
      <w:r w:rsidRPr="00BC308E">
        <w:rPr>
          <w:rFonts w:ascii="Times" w:hAnsi="Times"/>
          <w:i/>
          <w:iCs/>
        </w:rPr>
        <w:tab/>
      </w:r>
      <w:r w:rsidRPr="00BC308E">
        <w:rPr>
          <w:rFonts w:ascii="Times" w:hAnsi="Times"/>
        </w:rPr>
        <w:t xml:space="preserve">The OFAT analysis served to indicate what factors if any, when omitted from the analysis, would significantly change the statistical conclusions derived from the MLR model. The results, shown in table S2, indicate that although the effect size of the odds ratio changed slightly with iterative removal of each predictor value, there was still a statistically significant increase in the odds of physiological/psychological discordance in those who have completed </w:t>
      </w:r>
      <w:r w:rsidRPr="00BC308E">
        <w:rPr>
          <w:rFonts w:ascii="Times" w:hAnsi="Times"/>
        </w:rPr>
        <w:lastRenderedPageBreak/>
        <w:t>medical school. This suggests that there were no “critical parameters” in the MLR model that, when removed, would invalidate the statistical argument made in this study.</w:t>
      </w:r>
    </w:p>
    <w:p w14:paraId="36AC82AF" w14:textId="77777777" w:rsidR="00AD04F4" w:rsidRPr="00BC308E" w:rsidRDefault="00AD04F4" w:rsidP="00AD04F4">
      <w:pPr>
        <w:spacing w:line="480" w:lineRule="auto"/>
        <w:rPr>
          <w:rFonts w:ascii="Times" w:hAnsi="Times"/>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440"/>
        <w:gridCol w:w="1620"/>
        <w:gridCol w:w="1440"/>
        <w:gridCol w:w="1440"/>
        <w:gridCol w:w="1440"/>
        <w:gridCol w:w="1620"/>
      </w:tblGrid>
      <w:tr w:rsidR="00AD04F4" w:rsidRPr="00BC308E" w14:paraId="0B2B1D17" w14:textId="77777777" w:rsidTr="00B3488D">
        <w:trPr>
          <w:trHeight w:val="320"/>
          <w:jc w:val="center"/>
        </w:trPr>
        <w:tc>
          <w:tcPr>
            <w:tcW w:w="10795" w:type="dxa"/>
            <w:gridSpan w:val="7"/>
            <w:shd w:val="clear" w:color="auto" w:fill="auto"/>
            <w:noWrap/>
          </w:tcPr>
          <w:p w14:paraId="131E4433"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Supplementary Table S2</w:t>
            </w:r>
          </w:p>
        </w:tc>
      </w:tr>
      <w:tr w:rsidR="00AD04F4" w:rsidRPr="00BC308E" w14:paraId="12F305BC" w14:textId="77777777" w:rsidTr="00B3488D">
        <w:trPr>
          <w:trHeight w:val="320"/>
          <w:jc w:val="center"/>
        </w:trPr>
        <w:tc>
          <w:tcPr>
            <w:tcW w:w="10795" w:type="dxa"/>
            <w:gridSpan w:val="7"/>
            <w:shd w:val="clear" w:color="auto" w:fill="auto"/>
            <w:noWrap/>
          </w:tcPr>
          <w:p w14:paraId="1007B68D"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One Factor At a Time (OFAT) Analysis:</w:t>
            </w:r>
          </w:p>
        </w:tc>
      </w:tr>
      <w:tr w:rsidR="00AD04F4" w:rsidRPr="00BC308E" w14:paraId="0F036FA6" w14:textId="77777777" w:rsidTr="00B3488D">
        <w:trPr>
          <w:trHeight w:val="320"/>
          <w:jc w:val="center"/>
        </w:trPr>
        <w:tc>
          <w:tcPr>
            <w:tcW w:w="1795" w:type="dxa"/>
            <w:shd w:val="clear" w:color="auto" w:fill="auto"/>
            <w:noWrap/>
          </w:tcPr>
          <w:p w14:paraId="102FADDB"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Metric Removed</w:t>
            </w:r>
          </w:p>
        </w:tc>
        <w:tc>
          <w:tcPr>
            <w:tcW w:w="1440" w:type="dxa"/>
          </w:tcPr>
          <w:p w14:paraId="102D52A6"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A</w:t>
            </w:r>
          </w:p>
        </w:tc>
        <w:tc>
          <w:tcPr>
            <w:tcW w:w="1620" w:type="dxa"/>
          </w:tcPr>
          <w:p w14:paraId="35C8649A"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B</w:t>
            </w:r>
          </w:p>
        </w:tc>
        <w:tc>
          <w:tcPr>
            <w:tcW w:w="1440" w:type="dxa"/>
          </w:tcPr>
          <w:p w14:paraId="63C8278F"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C</w:t>
            </w:r>
          </w:p>
        </w:tc>
        <w:tc>
          <w:tcPr>
            <w:tcW w:w="1440" w:type="dxa"/>
          </w:tcPr>
          <w:p w14:paraId="10A27AF5"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D</w:t>
            </w:r>
          </w:p>
        </w:tc>
        <w:tc>
          <w:tcPr>
            <w:tcW w:w="1440" w:type="dxa"/>
          </w:tcPr>
          <w:p w14:paraId="4453D2F5"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E</w:t>
            </w:r>
          </w:p>
        </w:tc>
        <w:tc>
          <w:tcPr>
            <w:tcW w:w="1620" w:type="dxa"/>
          </w:tcPr>
          <w:p w14:paraId="5ED0E58E"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F</w:t>
            </w:r>
          </w:p>
        </w:tc>
      </w:tr>
      <w:tr w:rsidR="00AD04F4" w:rsidRPr="00BC308E" w14:paraId="4BBC2ECF" w14:textId="77777777" w:rsidTr="00B3488D">
        <w:trPr>
          <w:trHeight w:val="320"/>
          <w:jc w:val="center"/>
        </w:trPr>
        <w:tc>
          <w:tcPr>
            <w:tcW w:w="1795" w:type="dxa"/>
            <w:shd w:val="clear" w:color="auto" w:fill="auto"/>
            <w:noWrap/>
          </w:tcPr>
          <w:p w14:paraId="11DEFED6" w14:textId="77777777" w:rsidR="00AD04F4" w:rsidRPr="00BC308E" w:rsidRDefault="00AD04F4" w:rsidP="00B3488D">
            <w:pPr>
              <w:jc w:val="center"/>
              <w:rPr>
                <w:rFonts w:ascii="Times" w:eastAsia="Times New Roman" w:hAnsi="Times" w:cs="Calibri"/>
                <w:b/>
                <w:bCs/>
                <w:color w:val="000000"/>
                <w:sz w:val="22"/>
                <w:szCs w:val="22"/>
              </w:rPr>
            </w:pPr>
          </w:p>
        </w:tc>
        <w:tc>
          <w:tcPr>
            <w:tcW w:w="9000" w:type="dxa"/>
            <w:gridSpan w:val="6"/>
          </w:tcPr>
          <w:p w14:paraId="32E30ED1" w14:textId="77777777" w:rsidR="00AD04F4" w:rsidRPr="00BC308E" w:rsidRDefault="00AD04F4" w:rsidP="00B3488D">
            <w:pPr>
              <w:jc w:val="cente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aOR (95% CI)</w:t>
            </w:r>
          </w:p>
        </w:tc>
      </w:tr>
      <w:tr w:rsidR="00AD04F4" w:rsidRPr="00BC308E" w14:paraId="38C39BB6" w14:textId="77777777" w:rsidTr="00B3488D">
        <w:trPr>
          <w:trHeight w:val="440"/>
          <w:jc w:val="center"/>
        </w:trPr>
        <w:tc>
          <w:tcPr>
            <w:tcW w:w="1795" w:type="dxa"/>
            <w:shd w:val="clear" w:color="auto" w:fill="auto"/>
            <w:noWrap/>
            <w:hideMark/>
          </w:tcPr>
          <w:p w14:paraId="0D5C8E99"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(A) Age</w:t>
            </w:r>
          </w:p>
        </w:tc>
        <w:tc>
          <w:tcPr>
            <w:tcW w:w="1440" w:type="dxa"/>
            <w:shd w:val="clear" w:color="auto" w:fill="000000" w:themeFill="text1"/>
          </w:tcPr>
          <w:p w14:paraId="32D73D6E"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0.738</w:t>
            </w:r>
          </w:p>
          <w:p w14:paraId="065C6122"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(0.296-0.796)</w:t>
            </w:r>
          </w:p>
        </w:tc>
        <w:tc>
          <w:tcPr>
            <w:tcW w:w="1620" w:type="dxa"/>
          </w:tcPr>
          <w:p w14:paraId="2107035C"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0.965</w:t>
            </w:r>
          </w:p>
          <w:p w14:paraId="2518A821"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(0.797-1.161)</w:t>
            </w:r>
          </w:p>
        </w:tc>
        <w:tc>
          <w:tcPr>
            <w:tcW w:w="1440" w:type="dxa"/>
          </w:tcPr>
          <w:p w14:paraId="3DF6CD4F"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0.898</w:t>
            </w:r>
          </w:p>
          <w:p w14:paraId="402F28F0"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(0.764-1.012)</w:t>
            </w:r>
          </w:p>
        </w:tc>
        <w:tc>
          <w:tcPr>
            <w:tcW w:w="1440" w:type="dxa"/>
          </w:tcPr>
          <w:p w14:paraId="6C4265D6"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0.958</w:t>
            </w:r>
          </w:p>
          <w:p w14:paraId="4A49BD1A"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(0.798-1.139)</w:t>
            </w:r>
          </w:p>
        </w:tc>
        <w:tc>
          <w:tcPr>
            <w:tcW w:w="1440" w:type="dxa"/>
          </w:tcPr>
          <w:p w14:paraId="09E859C0"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0.944</w:t>
            </w:r>
          </w:p>
          <w:p w14:paraId="31C7E348"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(0.757-1.147)</w:t>
            </w:r>
          </w:p>
        </w:tc>
        <w:tc>
          <w:tcPr>
            <w:tcW w:w="1620" w:type="dxa"/>
          </w:tcPr>
          <w:p w14:paraId="5C671466"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0.955</w:t>
            </w:r>
          </w:p>
          <w:p w14:paraId="798685B0"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(0.782-1.153)</w:t>
            </w:r>
          </w:p>
        </w:tc>
      </w:tr>
      <w:tr w:rsidR="00AD04F4" w:rsidRPr="00BC308E" w14:paraId="19127FCA" w14:textId="77777777" w:rsidTr="00B3488D">
        <w:trPr>
          <w:trHeight w:val="320"/>
          <w:jc w:val="center"/>
        </w:trPr>
        <w:tc>
          <w:tcPr>
            <w:tcW w:w="1795" w:type="dxa"/>
            <w:shd w:val="clear" w:color="auto" w:fill="auto"/>
            <w:noWrap/>
            <w:hideMark/>
          </w:tcPr>
          <w:p w14:paraId="433968D0"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(B) Male gender</w:t>
            </w:r>
          </w:p>
        </w:tc>
        <w:tc>
          <w:tcPr>
            <w:tcW w:w="1440" w:type="dxa"/>
          </w:tcPr>
          <w:p w14:paraId="0C76C949"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1.678</w:t>
            </w:r>
          </w:p>
          <w:p w14:paraId="4414A134"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(0.323-9.77)</w:t>
            </w:r>
          </w:p>
        </w:tc>
        <w:tc>
          <w:tcPr>
            <w:tcW w:w="1620" w:type="dxa"/>
            <w:shd w:val="clear" w:color="auto" w:fill="000000" w:themeFill="text1"/>
          </w:tcPr>
          <w:p w14:paraId="66791DC2" w14:textId="77777777" w:rsidR="00AD04F4" w:rsidRPr="00BC308E" w:rsidRDefault="00AD04F4" w:rsidP="00B3488D">
            <w:pPr>
              <w:rPr>
                <w:rFonts w:ascii="Times" w:eastAsia="Times New Roman" w:hAnsi="Times" w:cs="Calibri"/>
                <w:color w:val="000000"/>
                <w:sz w:val="22"/>
                <w:szCs w:val="22"/>
              </w:rPr>
            </w:pPr>
          </w:p>
        </w:tc>
        <w:tc>
          <w:tcPr>
            <w:tcW w:w="1440" w:type="dxa"/>
          </w:tcPr>
          <w:p w14:paraId="4F777B76"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2.144</w:t>
            </w:r>
          </w:p>
          <w:p w14:paraId="35C82B7E"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(0.396-14.79)</w:t>
            </w:r>
          </w:p>
        </w:tc>
        <w:tc>
          <w:tcPr>
            <w:tcW w:w="1440" w:type="dxa"/>
          </w:tcPr>
          <w:p w14:paraId="5B396181"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1.641</w:t>
            </w:r>
          </w:p>
          <w:p w14:paraId="435E7ECF"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(0.353-8.340)</w:t>
            </w:r>
          </w:p>
        </w:tc>
        <w:tc>
          <w:tcPr>
            <w:tcW w:w="1440" w:type="dxa"/>
          </w:tcPr>
          <w:p w14:paraId="1B33A916"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1.960</w:t>
            </w:r>
          </w:p>
          <w:p w14:paraId="27EA7B53"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(0.348-13.59)</w:t>
            </w:r>
          </w:p>
        </w:tc>
        <w:tc>
          <w:tcPr>
            <w:tcW w:w="1620" w:type="dxa"/>
          </w:tcPr>
          <w:p w14:paraId="6989D9D2"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1.867</w:t>
            </w:r>
          </w:p>
          <w:p w14:paraId="68762FBE"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(0.339-12.03)</w:t>
            </w:r>
          </w:p>
        </w:tc>
      </w:tr>
      <w:tr w:rsidR="00AD04F4" w:rsidRPr="00BC308E" w14:paraId="48E7DE5A" w14:textId="77777777" w:rsidTr="00B3488D">
        <w:trPr>
          <w:trHeight w:val="320"/>
          <w:jc w:val="center"/>
        </w:trPr>
        <w:tc>
          <w:tcPr>
            <w:tcW w:w="1795" w:type="dxa"/>
            <w:shd w:val="clear" w:color="auto" w:fill="auto"/>
            <w:noWrap/>
            <w:hideMark/>
          </w:tcPr>
          <w:p w14:paraId="75BD3435"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(C) Trauma Experience</w:t>
            </w:r>
          </w:p>
        </w:tc>
        <w:tc>
          <w:tcPr>
            <w:tcW w:w="1440" w:type="dxa"/>
          </w:tcPr>
          <w:p w14:paraId="7688CE8F"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0.881</w:t>
            </w:r>
          </w:p>
          <w:p w14:paraId="79694725"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(0.734-1.012)</w:t>
            </w:r>
          </w:p>
        </w:tc>
        <w:tc>
          <w:tcPr>
            <w:tcW w:w="1620" w:type="dxa"/>
          </w:tcPr>
          <w:p w14:paraId="56DB58BE"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0.915</w:t>
            </w:r>
          </w:p>
          <w:p w14:paraId="37E84611"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(0.713-1.144)</w:t>
            </w:r>
          </w:p>
        </w:tc>
        <w:tc>
          <w:tcPr>
            <w:tcW w:w="1440" w:type="dxa"/>
            <w:shd w:val="clear" w:color="auto" w:fill="000000" w:themeFill="text1"/>
          </w:tcPr>
          <w:p w14:paraId="64D4DA3B" w14:textId="77777777" w:rsidR="00AD04F4" w:rsidRPr="00BC308E" w:rsidRDefault="00AD04F4" w:rsidP="00B3488D">
            <w:pPr>
              <w:rPr>
                <w:rFonts w:ascii="Times" w:eastAsia="Times New Roman" w:hAnsi="Times" w:cs="Calibri"/>
                <w:color w:val="000000"/>
                <w:sz w:val="22"/>
                <w:szCs w:val="22"/>
              </w:rPr>
            </w:pPr>
          </w:p>
        </w:tc>
        <w:tc>
          <w:tcPr>
            <w:tcW w:w="1440" w:type="dxa"/>
          </w:tcPr>
          <w:p w14:paraId="54C50464"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1.001</w:t>
            </w:r>
          </w:p>
          <w:p w14:paraId="25464CF1"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(0.817-1.225)</w:t>
            </w:r>
          </w:p>
        </w:tc>
        <w:tc>
          <w:tcPr>
            <w:tcW w:w="1440" w:type="dxa"/>
          </w:tcPr>
          <w:p w14:paraId="15028083"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0.928</w:t>
            </w:r>
          </w:p>
          <w:p w14:paraId="1C08D598"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(0.723-1.163)</w:t>
            </w:r>
          </w:p>
        </w:tc>
        <w:tc>
          <w:tcPr>
            <w:tcW w:w="1620" w:type="dxa"/>
          </w:tcPr>
          <w:p w14:paraId="19F6DDF2"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0.919</w:t>
            </w:r>
          </w:p>
          <w:p w14:paraId="2EAD4975"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(0.719-1.144)</w:t>
            </w:r>
          </w:p>
        </w:tc>
      </w:tr>
      <w:tr w:rsidR="00AD04F4" w:rsidRPr="00BC308E" w14:paraId="0EB92B90" w14:textId="77777777" w:rsidTr="00B3488D">
        <w:trPr>
          <w:trHeight w:val="320"/>
          <w:jc w:val="center"/>
        </w:trPr>
        <w:tc>
          <w:tcPr>
            <w:tcW w:w="1795" w:type="dxa"/>
            <w:shd w:val="clear" w:color="auto" w:fill="auto"/>
            <w:noWrap/>
          </w:tcPr>
          <w:p w14:paraId="0249FC2A"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(D) Completion of Medical School</w:t>
            </w:r>
          </w:p>
        </w:tc>
        <w:tc>
          <w:tcPr>
            <w:tcW w:w="1440" w:type="dxa"/>
          </w:tcPr>
          <w:p w14:paraId="6B5B8616"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7.851</w:t>
            </w:r>
          </w:p>
          <w:p w14:paraId="3133E7FE"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b/>
                <w:bCs/>
                <w:color w:val="000000"/>
                <w:sz w:val="22"/>
                <w:szCs w:val="22"/>
              </w:rPr>
              <w:t>(1.32-60.95)*</w:t>
            </w:r>
          </w:p>
        </w:tc>
        <w:tc>
          <w:tcPr>
            <w:tcW w:w="1620" w:type="dxa"/>
          </w:tcPr>
          <w:p w14:paraId="2F57B857"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7.582</w:t>
            </w:r>
          </w:p>
          <w:p w14:paraId="5347BCDE"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b/>
                <w:bCs/>
                <w:color w:val="000000"/>
                <w:sz w:val="22"/>
                <w:szCs w:val="22"/>
              </w:rPr>
              <w:t>(1.302-56.52)*</w:t>
            </w:r>
          </w:p>
        </w:tc>
        <w:tc>
          <w:tcPr>
            <w:tcW w:w="1440" w:type="dxa"/>
          </w:tcPr>
          <w:p w14:paraId="022573A2"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6.894</w:t>
            </w:r>
          </w:p>
          <w:p w14:paraId="71D1BF4D"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(1.233-51.7)*</w:t>
            </w:r>
          </w:p>
        </w:tc>
        <w:tc>
          <w:tcPr>
            <w:tcW w:w="1440" w:type="dxa"/>
            <w:shd w:val="clear" w:color="auto" w:fill="000000" w:themeFill="text1"/>
          </w:tcPr>
          <w:p w14:paraId="16A4E8AF" w14:textId="77777777" w:rsidR="00AD04F4" w:rsidRPr="00BC308E" w:rsidRDefault="00AD04F4" w:rsidP="00B3488D">
            <w:pPr>
              <w:rPr>
                <w:rFonts w:ascii="Times" w:eastAsia="Times New Roman" w:hAnsi="Times" w:cs="Calibri"/>
                <w:sz w:val="22"/>
                <w:szCs w:val="22"/>
              </w:rPr>
            </w:pPr>
          </w:p>
        </w:tc>
        <w:tc>
          <w:tcPr>
            <w:tcW w:w="1440" w:type="dxa"/>
          </w:tcPr>
          <w:p w14:paraId="4F7F47C8"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8.048</w:t>
            </w:r>
          </w:p>
          <w:p w14:paraId="60F1A510"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(1.349-63.2)*</w:t>
            </w:r>
          </w:p>
        </w:tc>
        <w:tc>
          <w:tcPr>
            <w:tcW w:w="1620" w:type="dxa"/>
          </w:tcPr>
          <w:p w14:paraId="315635BF" w14:textId="77777777" w:rsidR="00AD04F4" w:rsidRPr="00BC308E" w:rsidRDefault="00AD04F4" w:rsidP="00B3488D">
            <w:pPr>
              <w:rPr>
                <w:rFonts w:ascii="Times" w:eastAsia="Times New Roman" w:hAnsi="Times" w:cs="Calibri"/>
                <w:b/>
                <w:bCs/>
                <w:color w:val="000000"/>
                <w:sz w:val="22"/>
                <w:szCs w:val="22"/>
              </w:rPr>
            </w:pPr>
            <w:r w:rsidRPr="00BC308E">
              <w:rPr>
                <w:rFonts w:ascii="Times" w:eastAsia="Times New Roman" w:hAnsi="Times" w:cs="Calibri"/>
                <w:b/>
                <w:bCs/>
                <w:color w:val="000000"/>
                <w:sz w:val="22"/>
                <w:szCs w:val="22"/>
              </w:rPr>
              <w:t>8.297</w:t>
            </w:r>
          </w:p>
          <w:p w14:paraId="5358BF8B"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b/>
                <w:bCs/>
                <w:color w:val="000000"/>
                <w:sz w:val="22"/>
                <w:szCs w:val="22"/>
              </w:rPr>
              <w:t>(1.408-64.6)*</w:t>
            </w:r>
          </w:p>
        </w:tc>
      </w:tr>
      <w:tr w:rsidR="00AD04F4" w:rsidRPr="00BC308E" w14:paraId="183FBE29" w14:textId="77777777" w:rsidTr="00B3488D">
        <w:trPr>
          <w:trHeight w:val="320"/>
          <w:jc w:val="center"/>
        </w:trPr>
        <w:tc>
          <w:tcPr>
            <w:tcW w:w="1795" w:type="dxa"/>
            <w:shd w:val="clear" w:color="auto" w:fill="auto"/>
            <w:noWrap/>
            <w:hideMark/>
          </w:tcPr>
          <w:p w14:paraId="70C8F4A6"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(E) Deployed/FR History</w:t>
            </w:r>
          </w:p>
        </w:tc>
        <w:tc>
          <w:tcPr>
            <w:tcW w:w="1440" w:type="dxa"/>
          </w:tcPr>
          <w:p w14:paraId="685E6D21"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1.285</w:t>
            </w:r>
          </w:p>
          <w:p w14:paraId="098D6954"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(0.214-8.372)</w:t>
            </w:r>
          </w:p>
        </w:tc>
        <w:tc>
          <w:tcPr>
            <w:tcW w:w="1620" w:type="dxa"/>
          </w:tcPr>
          <w:p w14:paraId="110E62EE"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1.319</w:t>
            </w:r>
          </w:p>
          <w:p w14:paraId="6FF60CC4"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(0.218-8.675)</w:t>
            </w:r>
          </w:p>
        </w:tc>
        <w:tc>
          <w:tcPr>
            <w:tcW w:w="1440" w:type="dxa"/>
          </w:tcPr>
          <w:p w14:paraId="4D549FE8"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1.040</w:t>
            </w:r>
          </w:p>
          <w:p w14:paraId="428765EA"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(0.185-5.855)</w:t>
            </w:r>
          </w:p>
        </w:tc>
        <w:tc>
          <w:tcPr>
            <w:tcW w:w="1440" w:type="dxa"/>
          </w:tcPr>
          <w:p w14:paraId="5F5DABA8"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0.965</w:t>
            </w:r>
          </w:p>
          <w:p w14:paraId="278F2A38"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(0.175-5.188)</w:t>
            </w:r>
          </w:p>
        </w:tc>
        <w:tc>
          <w:tcPr>
            <w:tcW w:w="1440" w:type="dxa"/>
            <w:shd w:val="clear" w:color="auto" w:fill="000000" w:themeFill="text1"/>
          </w:tcPr>
          <w:p w14:paraId="3A53662F" w14:textId="77777777" w:rsidR="00AD04F4" w:rsidRPr="00BC308E" w:rsidRDefault="00AD04F4" w:rsidP="00B3488D">
            <w:pPr>
              <w:rPr>
                <w:rFonts w:ascii="Times" w:eastAsia="Times New Roman" w:hAnsi="Times" w:cs="Calibri"/>
                <w:b/>
                <w:bCs/>
                <w:color w:val="000000"/>
                <w:sz w:val="22"/>
                <w:szCs w:val="22"/>
              </w:rPr>
            </w:pPr>
          </w:p>
        </w:tc>
        <w:tc>
          <w:tcPr>
            <w:tcW w:w="1620" w:type="dxa"/>
          </w:tcPr>
          <w:p w14:paraId="2C83E9A0"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1.390</w:t>
            </w:r>
          </w:p>
          <w:p w14:paraId="5BA65CB7"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(0.258-8.153)</w:t>
            </w:r>
          </w:p>
        </w:tc>
      </w:tr>
      <w:tr w:rsidR="00AD04F4" w:rsidRPr="00BC308E" w14:paraId="151816DB" w14:textId="77777777" w:rsidTr="00B3488D">
        <w:trPr>
          <w:trHeight w:val="320"/>
          <w:jc w:val="center"/>
        </w:trPr>
        <w:tc>
          <w:tcPr>
            <w:tcW w:w="1795" w:type="dxa"/>
            <w:shd w:val="clear" w:color="auto" w:fill="auto"/>
            <w:noWrap/>
            <w:hideMark/>
          </w:tcPr>
          <w:p w14:paraId="606EF107"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(F) Prior MCI Response</w:t>
            </w:r>
          </w:p>
        </w:tc>
        <w:tc>
          <w:tcPr>
            <w:tcW w:w="1440" w:type="dxa"/>
          </w:tcPr>
          <w:p w14:paraId="1B2173FC"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1.460</w:t>
            </w:r>
          </w:p>
          <w:p w14:paraId="6D6B473D"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(0.137-16.99)</w:t>
            </w:r>
          </w:p>
        </w:tc>
        <w:tc>
          <w:tcPr>
            <w:tcW w:w="1620" w:type="dxa"/>
          </w:tcPr>
          <w:p w14:paraId="4798CDF2"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1.574</w:t>
            </w:r>
          </w:p>
          <w:p w14:paraId="4C218E36"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(0.146-18.85)</w:t>
            </w:r>
          </w:p>
        </w:tc>
        <w:tc>
          <w:tcPr>
            <w:tcW w:w="1440" w:type="dxa"/>
          </w:tcPr>
          <w:p w14:paraId="3E598A87"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2.027</w:t>
            </w:r>
          </w:p>
          <w:p w14:paraId="0C243FE0"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(0.198-24.55)</w:t>
            </w:r>
          </w:p>
        </w:tc>
        <w:tc>
          <w:tcPr>
            <w:tcW w:w="1440" w:type="dxa"/>
          </w:tcPr>
          <w:p w14:paraId="65B33E41"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2.114</w:t>
            </w:r>
          </w:p>
          <w:p w14:paraId="28682133"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(0.239-22.80)</w:t>
            </w:r>
          </w:p>
        </w:tc>
        <w:tc>
          <w:tcPr>
            <w:tcW w:w="1440" w:type="dxa"/>
          </w:tcPr>
          <w:p w14:paraId="3DCE7659"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1.741</w:t>
            </w:r>
          </w:p>
          <w:p w14:paraId="349EFF7C" w14:textId="77777777" w:rsidR="00AD04F4" w:rsidRPr="00BC308E" w:rsidRDefault="00AD04F4" w:rsidP="00B3488D">
            <w:pPr>
              <w:rPr>
                <w:rFonts w:ascii="Times" w:eastAsia="Times New Roman" w:hAnsi="Times" w:cs="Calibri"/>
                <w:color w:val="000000"/>
                <w:sz w:val="22"/>
                <w:szCs w:val="22"/>
              </w:rPr>
            </w:pPr>
            <w:r w:rsidRPr="00BC308E">
              <w:rPr>
                <w:rFonts w:ascii="Times" w:eastAsia="Times New Roman" w:hAnsi="Times" w:cs="Calibri"/>
                <w:color w:val="000000"/>
                <w:sz w:val="22"/>
                <w:szCs w:val="22"/>
              </w:rPr>
              <w:t>(0.153-21.94)</w:t>
            </w:r>
          </w:p>
        </w:tc>
        <w:tc>
          <w:tcPr>
            <w:tcW w:w="1620" w:type="dxa"/>
            <w:shd w:val="clear" w:color="auto" w:fill="000000" w:themeFill="text1"/>
          </w:tcPr>
          <w:p w14:paraId="52BC1901" w14:textId="77777777" w:rsidR="00AD04F4" w:rsidRPr="00BC308E" w:rsidRDefault="00AD04F4" w:rsidP="00B3488D">
            <w:pPr>
              <w:rPr>
                <w:rFonts w:ascii="Times" w:eastAsia="Times New Roman" w:hAnsi="Times" w:cs="Calibri"/>
                <w:color w:val="000000"/>
                <w:sz w:val="22"/>
                <w:szCs w:val="22"/>
              </w:rPr>
            </w:pPr>
          </w:p>
        </w:tc>
      </w:tr>
    </w:tbl>
    <w:p w14:paraId="58317AB7" w14:textId="77777777" w:rsidR="00AD04F4" w:rsidRPr="00BC308E" w:rsidRDefault="00AD04F4" w:rsidP="00AD04F4">
      <w:pPr>
        <w:spacing w:line="480" w:lineRule="auto"/>
        <w:rPr>
          <w:rFonts w:ascii="Times" w:hAnsi="Times"/>
        </w:rPr>
      </w:pPr>
    </w:p>
    <w:p w14:paraId="62901BA6" w14:textId="36A72327" w:rsidR="00C341D4" w:rsidRDefault="00AD04F4" w:rsidP="00AD51AC">
      <w:pPr>
        <w:rPr>
          <w:rFonts w:ascii="Times" w:hAnsi="Times"/>
        </w:rPr>
      </w:pPr>
      <w:r w:rsidRPr="00BC308E">
        <w:rPr>
          <w:rFonts w:ascii="Times" w:hAnsi="Times"/>
          <w:b/>
          <w:bCs/>
        </w:rPr>
        <w:t>Supplementary Table S</w:t>
      </w:r>
      <w:r>
        <w:rPr>
          <w:rFonts w:ascii="Times" w:hAnsi="Times"/>
          <w:b/>
          <w:bCs/>
        </w:rPr>
        <w:t>2</w:t>
      </w:r>
      <w:r w:rsidRPr="00BC308E">
        <w:rPr>
          <w:rFonts w:ascii="Times" w:hAnsi="Times"/>
        </w:rPr>
        <w:t>: One Factor At a Time (OFAT) critical variable analysis of the multivariate logistic regression model. Columns A-G correspond to the respective variable removed (also shaded in black) from the left-most column. aOR = adjusted odds ratio of physiological/cognitive discordance adjusted for all predictor values minus the omitted value. *=p&lt;0.05</w:t>
      </w:r>
    </w:p>
    <w:p w14:paraId="44FC57EC" w14:textId="1FC5E0E3" w:rsidR="00C341D4" w:rsidRDefault="00C341D4" w:rsidP="00AD51AC">
      <w:pPr>
        <w:rPr>
          <w:rFonts w:ascii="Times" w:hAnsi="Times"/>
        </w:rPr>
      </w:pPr>
    </w:p>
    <w:p w14:paraId="05512A60" w14:textId="15D36A69" w:rsidR="00C341D4" w:rsidRDefault="00C341D4">
      <w:pPr>
        <w:rPr>
          <w:rFonts w:ascii="Times" w:hAnsi="Times"/>
        </w:rPr>
      </w:pPr>
      <w:r>
        <w:rPr>
          <w:rFonts w:ascii="Times" w:hAnsi="Times"/>
        </w:rPr>
        <w:br w:type="page"/>
      </w:r>
    </w:p>
    <w:p w14:paraId="6AA60733" w14:textId="0752E341" w:rsidR="00C341D4" w:rsidRDefault="00C341D4" w:rsidP="00AD51AC">
      <w:pPr>
        <w:rPr>
          <w:rFonts w:ascii="Times" w:hAnsi="Times"/>
        </w:rPr>
      </w:pPr>
      <w:r>
        <w:rPr>
          <w:rFonts w:ascii="Times" w:hAnsi="Times"/>
        </w:rPr>
        <w:lastRenderedPageBreak/>
        <w:t>References</w:t>
      </w:r>
    </w:p>
    <w:p w14:paraId="11E4E3F9" w14:textId="77777777" w:rsidR="00BD50A4" w:rsidRDefault="00BD50A4" w:rsidP="00AD51AC">
      <w:pPr>
        <w:rPr>
          <w:rFonts w:ascii="Times" w:hAnsi="Times"/>
        </w:rPr>
      </w:pPr>
    </w:p>
    <w:p w14:paraId="62FDBFEA" w14:textId="77777777" w:rsidR="00BD50A4" w:rsidRPr="00BD50A4" w:rsidRDefault="00BD50A4" w:rsidP="00BD50A4">
      <w:pPr>
        <w:pStyle w:val="Bibliography"/>
        <w:rPr>
          <w:rFonts w:ascii="Times" w:hAnsi="Times" w:cs="Times New Roman"/>
        </w:rPr>
      </w:pPr>
      <w:r>
        <w:fldChar w:fldCharType="begin"/>
      </w:r>
      <w:r>
        <w:instrText xml:space="preserve"> ADDIN ZOTERO_BIBL {"uncited":[],"omitted":[],"custom":[]} CSL_BIBLIOGRAPHY </w:instrText>
      </w:r>
      <w:r>
        <w:fldChar w:fldCharType="separate"/>
      </w:r>
      <w:r w:rsidRPr="00BD50A4">
        <w:rPr>
          <w:rFonts w:ascii="Times" w:hAnsi="Times" w:cs="Times New Roman"/>
        </w:rPr>
        <w:t xml:space="preserve">1. </w:t>
      </w:r>
      <w:r w:rsidRPr="00BD50A4">
        <w:rPr>
          <w:rFonts w:ascii="Times" w:hAnsi="Times" w:cs="Times New Roman"/>
        </w:rPr>
        <w:tab/>
        <w:t xml:space="preserve">Menard S. Applied Logistic Regression Analysis. SAGE Publications; 1995. </w:t>
      </w:r>
    </w:p>
    <w:p w14:paraId="3BB86B38" w14:textId="77777777" w:rsidR="00BD50A4" w:rsidRPr="00BD50A4" w:rsidRDefault="00BD50A4" w:rsidP="00BD50A4">
      <w:pPr>
        <w:pStyle w:val="Bibliography"/>
        <w:rPr>
          <w:rFonts w:ascii="Times" w:hAnsi="Times" w:cs="Times New Roman"/>
        </w:rPr>
      </w:pPr>
      <w:r w:rsidRPr="00BD50A4">
        <w:rPr>
          <w:rFonts w:ascii="Times" w:hAnsi="Times" w:cs="Times New Roman"/>
        </w:rPr>
        <w:t xml:space="preserve">2. </w:t>
      </w:r>
      <w:r w:rsidRPr="00BD50A4">
        <w:rPr>
          <w:rFonts w:ascii="Times" w:hAnsi="Times" w:cs="Times New Roman"/>
        </w:rPr>
        <w:tab/>
        <w:t xml:space="preserve">James G, Witten D, Hastie T, Tibshirani R. An Introduction to Statistical Learning: with Applications in R. Springer Science &amp; Business Media; 2013. </w:t>
      </w:r>
    </w:p>
    <w:p w14:paraId="2CF62846" w14:textId="77777777" w:rsidR="00BD50A4" w:rsidRPr="00BD50A4" w:rsidRDefault="00BD50A4" w:rsidP="00BD50A4">
      <w:pPr>
        <w:pStyle w:val="Bibliography"/>
        <w:rPr>
          <w:rFonts w:ascii="Times" w:hAnsi="Times" w:cs="Times New Roman"/>
        </w:rPr>
      </w:pPr>
      <w:r w:rsidRPr="00BD50A4">
        <w:rPr>
          <w:rFonts w:ascii="Times" w:hAnsi="Times" w:cs="Times New Roman"/>
        </w:rPr>
        <w:t xml:space="preserve">3. </w:t>
      </w:r>
      <w:r w:rsidRPr="00BD50A4">
        <w:rPr>
          <w:rFonts w:ascii="Times" w:hAnsi="Times" w:cs="Times New Roman"/>
        </w:rPr>
        <w:tab/>
        <w:t xml:space="preserve">Vittinghoff E, Glidden DV, Shiboski SC, McCulloch CE. Regression Methods in Biostatistics: Linear, Logistic, Survival, and Repeated Measures Models. Springer Science &amp; Business Media; 2012. </w:t>
      </w:r>
    </w:p>
    <w:p w14:paraId="7A73D29A" w14:textId="77777777" w:rsidR="00BD50A4" w:rsidRPr="00BD50A4" w:rsidRDefault="00BD50A4" w:rsidP="00BD50A4">
      <w:pPr>
        <w:pStyle w:val="Bibliography"/>
        <w:rPr>
          <w:rFonts w:ascii="Times" w:hAnsi="Times" w:cs="Times New Roman"/>
        </w:rPr>
      </w:pPr>
      <w:r w:rsidRPr="00BD50A4">
        <w:rPr>
          <w:rFonts w:ascii="Times" w:hAnsi="Times" w:cs="Times New Roman"/>
        </w:rPr>
        <w:t xml:space="preserve">4. </w:t>
      </w:r>
      <w:r w:rsidRPr="00BD50A4">
        <w:rPr>
          <w:rFonts w:ascii="Times" w:hAnsi="Times" w:cs="Times New Roman"/>
        </w:rPr>
        <w:tab/>
        <w:t xml:space="preserve">Allison PD. Multiple Regression: A Primer. Pine Forge Press; 1999. </w:t>
      </w:r>
    </w:p>
    <w:p w14:paraId="4E17F8C0" w14:textId="27A3E39B" w:rsidR="00BD50A4" w:rsidRPr="00C341D4" w:rsidRDefault="00BD50A4" w:rsidP="00AD51AC">
      <w:pPr>
        <w:rPr>
          <w:rFonts w:ascii="Times" w:hAnsi="Times"/>
        </w:rPr>
      </w:pPr>
      <w:r>
        <w:rPr>
          <w:rFonts w:ascii="Times" w:hAnsi="Times"/>
        </w:rPr>
        <w:fldChar w:fldCharType="end"/>
      </w:r>
    </w:p>
    <w:sectPr w:rsidR="00BD50A4" w:rsidRPr="00C3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8"/>
    <w:rsid w:val="000A3E18"/>
    <w:rsid w:val="001C5EF3"/>
    <w:rsid w:val="00373789"/>
    <w:rsid w:val="0038603E"/>
    <w:rsid w:val="003A0A43"/>
    <w:rsid w:val="004F0B81"/>
    <w:rsid w:val="00584E18"/>
    <w:rsid w:val="00926CD7"/>
    <w:rsid w:val="00933056"/>
    <w:rsid w:val="00AD04F4"/>
    <w:rsid w:val="00AD51AC"/>
    <w:rsid w:val="00BD50A4"/>
    <w:rsid w:val="00C341D4"/>
    <w:rsid w:val="00F0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A8F7E"/>
  <w15:chartTrackingRefBased/>
  <w15:docId w15:val="{F6AA8360-5C6F-BE49-8EA9-2DE9FF47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4F4"/>
    <w:rPr>
      <w:sz w:val="16"/>
      <w:szCs w:val="16"/>
    </w:rPr>
  </w:style>
  <w:style w:type="character" w:styleId="Hyperlink">
    <w:name w:val="Hyperlink"/>
    <w:basedOn w:val="DefaultParagraphFont"/>
    <w:uiPriority w:val="99"/>
    <w:unhideWhenUsed/>
    <w:rsid w:val="00AD04F4"/>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ibliography">
    <w:name w:val="Bibliography"/>
    <w:basedOn w:val="Normal"/>
    <w:next w:val="Normal"/>
    <w:uiPriority w:val="37"/>
    <w:unhideWhenUsed/>
    <w:rsid w:val="00BD50A4"/>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Tovar, Matthew A</dc:creator>
  <cp:keywords/>
  <dc:description/>
  <cp:lastModifiedBy>Tovar, Matthew A</cp:lastModifiedBy>
  <cp:revision>7</cp:revision>
  <dcterms:created xsi:type="dcterms:W3CDTF">2022-06-13T20:33:00Z</dcterms:created>
  <dcterms:modified xsi:type="dcterms:W3CDTF">2022-08-16T19:00:00Z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zotero-version="6.0.11"&gt;&lt;session id="qlhjQzHn"/&gt;&lt;style id="http://www.zotero.org/styles/the-new-england-journal-of-medicine"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