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FB9B9" w14:textId="78D7BC77" w:rsidR="008D6EC6" w:rsidRPr="00AB2C17" w:rsidRDefault="008D6EC6" w:rsidP="00683BA8">
      <w:pPr>
        <w:spacing w:line="480" w:lineRule="auto"/>
        <w:jc w:val="center"/>
        <w:rPr>
          <w:rFonts w:ascii="Times New Roman" w:hAnsi="Times New Roman" w:cs="Times New Roman"/>
          <w:color w:val="000000" w:themeColor="text1"/>
          <w:u w:val="single"/>
        </w:rPr>
      </w:pPr>
      <w:r w:rsidRPr="00AB2C17">
        <w:rPr>
          <w:rFonts w:ascii="Times New Roman" w:hAnsi="Times New Roman" w:cs="Times New Roman"/>
          <w:color w:val="000000" w:themeColor="text1"/>
          <w:u w:val="single"/>
        </w:rPr>
        <w:t>Appendix</w:t>
      </w:r>
    </w:p>
    <w:p w14:paraId="1671BF23" w14:textId="5A66A41D" w:rsidR="00425B45" w:rsidRDefault="00425B45" w:rsidP="00683BA8">
      <w:pPr>
        <w:spacing w:line="480" w:lineRule="auto"/>
        <w:rPr>
          <w:rFonts w:ascii="Times New Roman" w:hAnsi="Times New Roman" w:cs="Times New Roman"/>
          <w:i/>
          <w:color w:val="000000" w:themeColor="text1"/>
        </w:rPr>
      </w:pPr>
    </w:p>
    <w:p w14:paraId="2EB2E3BF" w14:textId="6A067DDB" w:rsidR="00645000" w:rsidRDefault="00645000" w:rsidP="00683BA8">
      <w:pPr>
        <w:spacing w:line="480" w:lineRule="auto"/>
        <w:rPr>
          <w:rFonts w:ascii="Times New Roman" w:hAnsi="Times New Roman" w:cs="Times New Roman"/>
          <w:i/>
          <w:color w:val="000000" w:themeColor="text1"/>
        </w:rPr>
      </w:pPr>
      <w:r>
        <w:rPr>
          <w:rFonts w:ascii="Times New Roman" w:hAnsi="Times New Roman" w:cs="Times New Roman"/>
          <w:i/>
          <w:color w:val="000000" w:themeColor="text1"/>
        </w:rPr>
        <w:t>Characteristics of semi-structured interview respondents</w:t>
      </w:r>
    </w:p>
    <w:p w14:paraId="3DBD604A" w14:textId="62753C1D" w:rsidR="00645000" w:rsidRDefault="00645000" w:rsidP="00683BA8">
      <w:pPr>
        <w:spacing w:line="480" w:lineRule="auto"/>
        <w:rPr>
          <w:rFonts w:ascii="Times New Roman" w:hAnsi="Times New Roman" w:cs="Times New Roman"/>
          <w:iCs/>
          <w:color w:val="000000" w:themeColor="text1"/>
        </w:rPr>
      </w:pPr>
      <w:r>
        <w:rPr>
          <w:rFonts w:ascii="Times New Roman" w:hAnsi="Times New Roman" w:cs="Times New Roman"/>
          <w:iCs/>
          <w:color w:val="000000" w:themeColor="text1"/>
        </w:rPr>
        <w:t xml:space="preserve">Participants in the semi-structured interviews are necessarily self-selected. There are more women (14) than men (7) in our respondents. Respondents come from a range of ethnic backgrounds </w:t>
      </w:r>
      <w:r w:rsidR="000B75D9">
        <w:rPr>
          <w:rFonts w:ascii="Times New Roman" w:hAnsi="Times New Roman" w:cs="Times New Roman"/>
          <w:iCs/>
          <w:color w:val="000000" w:themeColor="text1"/>
        </w:rPr>
        <w:t>(7 described their ethnicity as Indian/British Indian, 4 as mixed white and black Caribbean, 4 as Pakistani, and others from a range of different groups). The median age group was age 45-54, but 7 respondents were younger than 45, and 3 were older than 55.</w:t>
      </w:r>
    </w:p>
    <w:p w14:paraId="46900352" w14:textId="77777777" w:rsidR="00945EA1" w:rsidRPr="00645000" w:rsidRDefault="00945EA1" w:rsidP="00683BA8">
      <w:pPr>
        <w:spacing w:line="480" w:lineRule="auto"/>
        <w:rPr>
          <w:rFonts w:ascii="Times New Roman" w:hAnsi="Times New Roman" w:cs="Times New Roman"/>
          <w:iCs/>
          <w:color w:val="000000" w:themeColor="text1"/>
        </w:rPr>
      </w:pPr>
    </w:p>
    <w:p w14:paraId="249492AB" w14:textId="56A0A13B" w:rsidR="00CF14C1" w:rsidRPr="00AB2C17" w:rsidRDefault="00E706C7" w:rsidP="00683BA8">
      <w:pPr>
        <w:spacing w:line="480" w:lineRule="auto"/>
        <w:rPr>
          <w:rFonts w:ascii="Times New Roman" w:hAnsi="Times New Roman" w:cs="Times New Roman"/>
          <w:i/>
          <w:color w:val="000000" w:themeColor="text1"/>
        </w:rPr>
      </w:pPr>
      <w:r>
        <w:rPr>
          <w:rFonts w:ascii="Times New Roman" w:hAnsi="Times New Roman" w:cs="Times New Roman"/>
          <w:i/>
          <w:color w:val="000000" w:themeColor="text1"/>
        </w:rPr>
        <w:t>Supplementary analysis; parties other than Labour and the Conservatives</w:t>
      </w:r>
    </w:p>
    <w:p w14:paraId="644B4453" w14:textId="021BB761" w:rsidR="00E706C7" w:rsidRDefault="00CB7E0A" w:rsidP="00683BA8">
      <w:pPr>
        <w:spacing w:line="480" w:lineRule="auto"/>
        <w:rPr>
          <w:rFonts w:ascii="Times New Roman" w:eastAsia="Times New Roman" w:hAnsi="Times New Roman" w:cs="Times New Roman"/>
          <w:color w:val="000000" w:themeColor="text1"/>
          <w:shd w:val="clear" w:color="auto" w:fill="FFFFFF"/>
          <w:lang w:eastAsia="en-GB"/>
        </w:rPr>
      </w:pPr>
      <w:r w:rsidRPr="00AB2C17">
        <w:rPr>
          <w:rFonts w:ascii="Times New Roman" w:eastAsia="Times New Roman" w:hAnsi="Times New Roman" w:cs="Times New Roman"/>
          <w:color w:val="000000" w:themeColor="text1"/>
          <w:shd w:val="clear" w:color="auto" w:fill="FFFFFF"/>
          <w:lang w:eastAsia="en-GB"/>
        </w:rPr>
        <w:t xml:space="preserve">The other national election in 2019 was the European Parliament election which took place in June. The UK had initially been expected to have left the EU by this point, but an exit deal had not been </w:t>
      </w:r>
      <w:proofErr w:type="gramStart"/>
      <w:r w:rsidRPr="00AB2C17">
        <w:rPr>
          <w:rFonts w:ascii="Times New Roman" w:eastAsia="Times New Roman" w:hAnsi="Times New Roman" w:cs="Times New Roman"/>
          <w:color w:val="000000" w:themeColor="text1"/>
          <w:shd w:val="clear" w:color="auto" w:fill="FFFFFF"/>
          <w:lang w:eastAsia="en-GB"/>
        </w:rPr>
        <w:t>signed</w:t>
      </w:r>
      <w:proofErr w:type="gramEnd"/>
      <w:r w:rsidRPr="00AB2C17">
        <w:rPr>
          <w:rFonts w:ascii="Times New Roman" w:eastAsia="Times New Roman" w:hAnsi="Times New Roman" w:cs="Times New Roman"/>
          <w:color w:val="000000" w:themeColor="text1"/>
          <w:shd w:val="clear" w:color="auto" w:fill="FFFFFF"/>
          <w:lang w:eastAsia="en-GB"/>
        </w:rPr>
        <w:t xml:space="preserve"> and the election was mostly fought on this issue, with the newly-formed Brexit Party (a successor party to UKIP) and the pro-EU Liberal Democrats in first and second place respectively. However, t</w:t>
      </w:r>
      <w:r w:rsidR="009770D4" w:rsidRPr="00AB2C17">
        <w:rPr>
          <w:rFonts w:ascii="Times New Roman" w:eastAsia="Times New Roman" w:hAnsi="Times New Roman" w:cs="Times New Roman"/>
          <w:color w:val="000000" w:themeColor="text1"/>
          <w:shd w:val="clear" w:color="auto" w:fill="FFFFFF"/>
          <w:lang w:eastAsia="en-GB"/>
        </w:rPr>
        <w:t xml:space="preserve">here is little evidence </w:t>
      </w:r>
      <w:r w:rsidRPr="00AB2C17">
        <w:rPr>
          <w:rFonts w:ascii="Times New Roman" w:eastAsia="Times New Roman" w:hAnsi="Times New Roman" w:cs="Times New Roman"/>
          <w:color w:val="000000" w:themeColor="text1"/>
          <w:shd w:val="clear" w:color="auto" w:fill="FFFFFF"/>
          <w:lang w:eastAsia="en-GB"/>
        </w:rPr>
        <w:t xml:space="preserve">in our data </w:t>
      </w:r>
      <w:r w:rsidR="009770D4" w:rsidRPr="00AB2C17">
        <w:rPr>
          <w:rFonts w:ascii="Times New Roman" w:eastAsia="Times New Roman" w:hAnsi="Times New Roman" w:cs="Times New Roman"/>
          <w:color w:val="000000" w:themeColor="text1"/>
          <w:shd w:val="clear" w:color="auto" w:fill="FFFFFF"/>
          <w:lang w:eastAsia="en-GB"/>
        </w:rPr>
        <w:t xml:space="preserve">that the Brexit Party or the Liberal Democrats were able to mobilise ethnic </w:t>
      </w:r>
      <w:r w:rsidR="001C2182">
        <w:rPr>
          <w:rFonts w:ascii="Times New Roman" w:eastAsia="Times New Roman" w:hAnsi="Times New Roman" w:cs="Times New Roman"/>
          <w:color w:val="000000" w:themeColor="text1"/>
          <w:shd w:val="clear" w:color="auto" w:fill="FFFFFF"/>
          <w:lang w:eastAsia="en-GB"/>
        </w:rPr>
        <w:t xml:space="preserve">minority </w:t>
      </w:r>
      <w:r w:rsidR="009770D4" w:rsidRPr="00AB2C17">
        <w:rPr>
          <w:rFonts w:ascii="Times New Roman" w:eastAsia="Times New Roman" w:hAnsi="Times New Roman" w:cs="Times New Roman"/>
          <w:color w:val="000000" w:themeColor="text1"/>
          <w:shd w:val="clear" w:color="auto" w:fill="FFFFFF"/>
          <w:lang w:eastAsia="en-GB"/>
        </w:rPr>
        <w:t>voters around the referendum divide as effectively as they did with the rest of the electorate. The panel for the 2019 European Parliament election in Table 1 shows that r</w:t>
      </w:r>
      <w:r w:rsidR="00C550F9">
        <w:rPr>
          <w:rFonts w:ascii="Times New Roman" w:eastAsia="Times New Roman" w:hAnsi="Times New Roman" w:cs="Times New Roman"/>
          <w:color w:val="000000" w:themeColor="text1"/>
          <w:shd w:val="clear" w:color="auto" w:fill="FFFFFF"/>
          <w:lang w:eastAsia="en-GB"/>
        </w:rPr>
        <w:t>oughly 5</w:t>
      </w:r>
      <w:r w:rsidR="009770D4" w:rsidRPr="00AB2C17">
        <w:rPr>
          <w:rFonts w:ascii="Times New Roman" w:eastAsia="Times New Roman" w:hAnsi="Times New Roman" w:cs="Times New Roman"/>
          <w:color w:val="000000" w:themeColor="text1"/>
          <w:shd w:val="clear" w:color="auto" w:fill="FFFFFF"/>
          <w:lang w:eastAsia="en-GB"/>
        </w:rPr>
        <w:t xml:space="preserve">% of Leavers from ethnic minority backgrounds who voted in the election supported the Brexit Party or UKIP; the Brexit Party won 31% of the whole electorate (including Remainers) and were the party that received the most votes overall. </w:t>
      </w:r>
    </w:p>
    <w:p w14:paraId="0A22ACD6" w14:textId="6889F163" w:rsidR="004E146F" w:rsidRPr="00AB2C17" w:rsidRDefault="009770D4" w:rsidP="00683BA8">
      <w:pPr>
        <w:spacing w:line="480" w:lineRule="auto"/>
        <w:ind w:firstLine="720"/>
        <w:rPr>
          <w:rFonts w:ascii="Times New Roman" w:eastAsia="Times New Roman" w:hAnsi="Times New Roman" w:cs="Times New Roman"/>
          <w:color w:val="000000" w:themeColor="text1"/>
          <w:shd w:val="clear" w:color="auto" w:fill="FFFFFF"/>
          <w:lang w:eastAsia="en-GB"/>
        </w:rPr>
      </w:pPr>
      <w:r w:rsidRPr="00AB2C17">
        <w:rPr>
          <w:rFonts w:ascii="Times New Roman" w:eastAsia="Times New Roman" w:hAnsi="Times New Roman" w:cs="Times New Roman"/>
          <w:color w:val="000000" w:themeColor="text1"/>
          <w:shd w:val="clear" w:color="auto" w:fill="FFFFFF"/>
          <w:lang w:eastAsia="en-GB"/>
        </w:rPr>
        <w:t>It might be that the Brexit Party’s association with the figure of Nigel Farage</w:t>
      </w:r>
      <w:r w:rsidRPr="00AB2C17">
        <w:rPr>
          <w:rStyle w:val="FootnoteReference"/>
          <w:rFonts w:ascii="Times New Roman" w:hAnsi="Times New Roman" w:cs="Times New Roman"/>
          <w:color w:val="000000" w:themeColor="text1"/>
        </w:rPr>
        <w:footnoteReference w:id="1"/>
      </w:r>
      <w:r w:rsidRPr="00AB2C17">
        <w:rPr>
          <w:rFonts w:ascii="Times New Roman" w:eastAsia="Times New Roman" w:hAnsi="Times New Roman" w:cs="Times New Roman"/>
          <w:color w:val="000000" w:themeColor="text1"/>
          <w:shd w:val="clear" w:color="auto" w:fill="FFFFFF"/>
          <w:lang w:eastAsia="en-GB"/>
        </w:rPr>
        <w:t xml:space="preserve"> whose party effectively mobilised anti-immigrant sentiment before the referendum was called </w:t>
      </w:r>
      <w:r w:rsidRPr="00AB2C17">
        <w:rPr>
          <w:rFonts w:ascii="Times New Roman" w:eastAsia="Times New Roman" w:hAnsi="Times New Roman" w:cs="Times New Roman"/>
          <w:color w:val="000000" w:themeColor="text1"/>
          <w:shd w:val="clear" w:color="auto" w:fill="FFFFFF"/>
          <w:lang w:eastAsia="en-GB"/>
        </w:rPr>
        <w:fldChar w:fldCharType="begin" w:fldLock="1"/>
      </w:r>
      <w:r w:rsidR="00645000">
        <w:rPr>
          <w:rFonts w:ascii="Times New Roman" w:eastAsia="Times New Roman" w:hAnsi="Times New Roman" w:cs="Times New Roman"/>
          <w:color w:val="000000" w:themeColor="text1"/>
          <w:shd w:val="clear" w:color="auto" w:fill="FFFFFF"/>
          <w:lang w:eastAsia="en-GB"/>
        </w:rPr>
        <w:instrText>ADDIN CSL_CITATION {"citationItems":[{"id":"ITEM-1","itemData":{"abstract":"Abstract While Euroscepticism is the most important driver of United Kingdom Independence Party ( UKIP ) support , other attitudinal drivers–namely dissatisfaction towards mainstream parties and xenophobia–are also important. Examining vote-switching between first-and ... \n","author":[{"dropping-particle":"","family":"Ford","given":"Robert","non-dropping-particle":"","parse-names":false,"suffix":""},{"dropping-particle":"","family":"Goodwin","given":"Matthew J","non-dropping-particle":"","parse-names":false,"suffix":""},{"dropping-particle":"","family":"Cutts","given":"David","non-dropping-particle":"","parse-names":false,"suffix":""}],"container-title":"European Journal of Political Research","id":"ITEM-1","issue":"2","issued":{"date-parts":[["2011"]]},"page":"204-234","title":"Strategic Eurosceptics and polite xenophobes: Support for the United Kingdom Independence Party (UKIP) in the 2009 European Parliament elections","type":"article-journal","volume":"51"},"uris":["http://www.mendeley.com/documents/?uuid=125f9840-8276-40ce-8400-63c1e5e49baf"]},{"id":"ITEM-2","itemData":{"ISBN":"1317938550","abstract":"The UK Independence Party (UKIP) is the most significant new party in British politics for a generation. In recent years UKIP and their charismatic leader Nigel Farage have captivated British politics, media and voters. Yet both the party and the roots of its support remain poorly understood. Where has this political revolt come from? Who is supporting them, and why? How are UKIP attempting to win over voters? And how far can their insurgency against the main parties go? Drawing on a wealth of new data – from surveys of UKIP voters to extensive interviews with party insiders – in this book prominent political scientists Robert Ford and Matthew Goodwin put UKIP's revolt under the microscope and show how many conventional wisdoms about the party and the radical right are wrong. Along the way they provide unprecedented insight into this new revolt, and deliver some crucial messages for those with an interest in the state of British politics, the radical right in Europe and political behaviour more generally.","author":[{"dropping-particle":"","family":"Ford","given":"Robert","non-dropping-particle":"","parse-names":false,"suffix":""},{"dropping-particle":"","family":"Goodwin","given":"Matthew J","non-dropping-particle":"","parse-names":false,"suffix":""}],"id":"ITEM-2","issued":{"date-parts":[["2014"]]},"number-of-pages":"336","publisher":"Routledge","publisher-place":"Abingdon","title":"Revolt on the Right: Explaining Support for the Radical Right in Britain","type":"book"},"uris":["http://www.mendeley.com/documents/?uuid=14d22e51-b9e1-43a9-8b85-856e9a928191"]}],"mendeley":{"formattedCitation":"(Ford et al., 2011; Ford &amp; Goodwin, 2014)","plainTextFormattedCitation":"(Ford et al., 2011; Ford &amp; Goodwin, 2014)","previouslyFormattedCitation":"(Ford et al., 2011; Ford &amp; Goodwin, 2014)"},"properties":{"noteIndex":0},"schema":"https://github.com/citation-style-language/schema/raw/master/csl-citation.json"}</w:instrText>
      </w:r>
      <w:r w:rsidRPr="00AB2C17">
        <w:rPr>
          <w:rFonts w:ascii="Times New Roman" w:eastAsia="Times New Roman" w:hAnsi="Times New Roman" w:cs="Times New Roman"/>
          <w:color w:val="000000" w:themeColor="text1"/>
          <w:shd w:val="clear" w:color="auto" w:fill="FFFFFF"/>
          <w:lang w:eastAsia="en-GB"/>
        </w:rPr>
        <w:fldChar w:fldCharType="separate"/>
      </w:r>
      <w:r w:rsidR="00FB3E53" w:rsidRPr="00FB3E53">
        <w:rPr>
          <w:rFonts w:ascii="Times New Roman" w:eastAsia="Times New Roman" w:hAnsi="Times New Roman" w:cs="Times New Roman"/>
          <w:noProof/>
          <w:color w:val="000000" w:themeColor="text1"/>
          <w:shd w:val="clear" w:color="auto" w:fill="FFFFFF"/>
          <w:lang w:eastAsia="en-GB"/>
        </w:rPr>
        <w:t xml:space="preserve">(Ford et al., 2011; </w:t>
      </w:r>
      <w:r w:rsidR="00FB3E53" w:rsidRPr="00FB3E53">
        <w:rPr>
          <w:rFonts w:ascii="Times New Roman" w:eastAsia="Times New Roman" w:hAnsi="Times New Roman" w:cs="Times New Roman"/>
          <w:noProof/>
          <w:color w:val="000000" w:themeColor="text1"/>
          <w:shd w:val="clear" w:color="auto" w:fill="FFFFFF"/>
          <w:lang w:eastAsia="en-GB"/>
        </w:rPr>
        <w:lastRenderedPageBreak/>
        <w:t>Ford &amp; Goodwin, 2014)</w:t>
      </w:r>
      <w:r w:rsidRPr="00AB2C17">
        <w:rPr>
          <w:rFonts w:ascii="Times New Roman" w:eastAsia="Times New Roman" w:hAnsi="Times New Roman" w:cs="Times New Roman"/>
          <w:color w:val="000000" w:themeColor="text1"/>
          <w:shd w:val="clear" w:color="auto" w:fill="FFFFFF"/>
          <w:lang w:eastAsia="en-GB"/>
        </w:rPr>
        <w:fldChar w:fldCharType="end"/>
      </w:r>
      <w:r w:rsidRPr="00AB2C17">
        <w:rPr>
          <w:rFonts w:ascii="Times New Roman" w:eastAsia="Times New Roman" w:hAnsi="Times New Roman" w:cs="Times New Roman"/>
          <w:color w:val="000000" w:themeColor="text1"/>
          <w:shd w:val="clear" w:color="auto" w:fill="FFFFFF"/>
          <w:lang w:eastAsia="en-GB"/>
        </w:rPr>
        <w:t xml:space="preserve">, and during it </w:t>
      </w:r>
      <w:r w:rsidRPr="00AB2C17">
        <w:rPr>
          <w:rFonts w:ascii="Times New Roman" w:eastAsia="Times New Roman" w:hAnsi="Times New Roman" w:cs="Times New Roman"/>
          <w:color w:val="000000" w:themeColor="text1"/>
          <w:shd w:val="clear" w:color="auto" w:fill="FFFFFF"/>
          <w:lang w:eastAsia="en-GB"/>
        </w:rPr>
        <w:fldChar w:fldCharType="begin" w:fldLock="1"/>
      </w:r>
      <w:r w:rsidR="00645000">
        <w:rPr>
          <w:rFonts w:ascii="Times New Roman" w:eastAsia="Times New Roman" w:hAnsi="Times New Roman" w:cs="Times New Roman"/>
          <w:color w:val="000000" w:themeColor="text1"/>
          <w:shd w:val="clear" w:color="auto" w:fill="FFFFFF"/>
          <w:lang w:eastAsia="en-GB"/>
        </w:rPr>
        <w:instrText>ADDIN CSL_CITATION {"citationItems":[{"id":"ITEM-1","itemData":{"author":[{"dropping-particle":"","family":"Sobolewska","given":"Maria","non-dropping-particle":"","parse-names":false,"suffix":""},{"dropping-particle":"","family":"Ford","given":"Robert","non-dropping-particle":"","parse-names":false,"suffix":""}],"id":"ITEM-1","issued":{"date-parts":[["2020"]]},"publisher":"Cambridge University Press","publisher-place":"Cambridge","title":"Brexitland: Identity, diversity and the reshaping of British politics","type":"book"},"uris":["http://www.mendeley.com/documents/?uuid=cdd1b806-517b-4428-8369-2b3e319ea3d2"]}],"mendeley":{"formattedCitation":"(Sobolewska &amp; Ford, 2020)","plainTextFormattedCitation":"(Sobolewska &amp; Ford, 2020)","previouslyFormattedCitation":"(Sobolewska &amp; Ford, 2020)"},"properties":{"noteIndex":0},"schema":"https://github.com/citation-style-language/schema/raw/master/csl-citation.json"}</w:instrText>
      </w:r>
      <w:r w:rsidRPr="00AB2C17">
        <w:rPr>
          <w:rFonts w:ascii="Times New Roman" w:eastAsia="Times New Roman" w:hAnsi="Times New Roman" w:cs="Times New Roman"/>
          <w:color w:val="000000" w:themeColor="text1"/>
          <w:shd w:val="clear" w:color="auto" w:fill="FFFFFF"/>
          <w:lang w:eastAsia="en-GB"/>
        </w:rPr>
        <w:fldChar w:fldCharType="separate"/>
      </w:r>
      <w:r w:rsidR="00FB3E53" w:rsidRPr="00FB3E53">
        <w:rPr>
          <w:rFonts w:ascii="Times New Roman" w:eastAsia="Times New Roman" w:hAnsi="Times New Roman" w:cs="Times New Roman"/>
          <w:noProof/>
          <w:color w:val="000000" w:themeColor="text1"/>
          <w:shd w:val="clear" w:color="auto" w:fill="FFFFFF"/>
          <w:lang w:eastAsia="en-GB"/>
        </w:rPr>
        <w:t>(Sobolewska &amp; Ford, 2020)</w:t>
      </w:r>
      <w:r w:rsidRPr="00AB2C17">
        <w:rPr>
          <w:rFonts w:ascii="Times New Roman" w:eastAsia="Times New Roman" w:hAnsi="Times New Roman" w:cs="Times New Roman"/>
          <w:color w:val="000000" w:themeColor="text1"/>
          <w:shd w:val="clear" w:color="auto" w:fill="FFFFFF"/>
          <w:lang w:eastAsia="en-GB"/>
        </w:rPr>
        <w:fldChar w:fldCharType="end"/>
      </w:r>
      <w:r w:rsidRPr="00AB2C17">
        <w:rPr>
          <w:rFonts w:ascii="Times New Roman" w:eastAsia="Times New Roman" w:hAnsi="Times New Roman" w:cs="Times New Roman"/>
          <w:color w:val="000000" w:themeColor="text1"/>
          <w:shd w:val="clear" w:color="auto" w:fill="FFFFFF"/>
          <w:lang w:eastAsia="en-GB"/>
        </w:rPr>
        <w:t xml:space="preserve">, meant that the party is seen as unattractive to Leavers among ethnic minorities. </w:t>
      </w:r>
      <w:r w:rsidR="00C551B8" w:rsidRPr="00AB2C17">
        <w:rPr>
          <w:rFonts w:ascii="Times New Roman" w:eastAsia="Times New Roman" w:hAnsi="Times New Roman" w:cs="Times New Roman"/>
          <w:color w:val="000000" w:themeColor="text1"/>
          <w:shd w:val="clear" w:color="auto" w:fill="FFFFFF"/>
          <w:lang w:eastAsia="en-GB"/>
        </w:rPr>
        <w:t xml:space="preserve">However, </w:t>
      </w:r>
      <w:r w:rsidRPr="00AB2C17">
        <w:rPr>
          <w:rFonts w:ascii="Times New Roman" w:eastAsia="Times New Roman" w:hAnsi="Times New Roman" w:cs="Times New Roman"/>
          <w:color w:val="000000" w:themeColor="text1"/>
          <w:shd w:val="clear" w:color="auto" w:fill="FFFFFF"/>
          <w:lang w:eastAsia="en-GB"/>
        </w:rPr>
        <w:t>the Liberal Democrats were also unable to mobilise voters in favour of Remain; they received 20% of the vote at the national level, and were the second largest party</w:t>
      </w:r>
      <w:r w:rsidR="00AE69DF" w:rsidRPr="00AB2C17">
        <w:rPr>
          <w:rFonts w:ascii="Times New Roman" w:eastAsia="Times New Roman" w:hAnsi="Times New Roman" w:cs="Times New Roman"/>
          <w:color w:val="000000" w:themeColor="text1"/>
          <w:shd w:val="clear" w:color="auto" w:fill="FFFFFF"/>
          <w:lang w:eastAsia="en-GB"/>
        </w:rPr>
        <w:t xml:space="preserve"> in vote share</w:t>
      </w:r>
      <w:r w:rsidR="00C550F9">
        <w:rPr>
          <w:rFonts w:ascii="Times New Roman" w:eastAsia="Times New Roman" w:hAnsi="Times New Roman" w:cs="Times New Roman"/>
          <w:color w:val="000000" w:themeColor="text1"/>
          <w:shd w:val="clear" w:color="auto" w:fill="FFFFFF"/>
          <w:lang w:eastAsia="en-GB"/>
        </w:rPr>
        <w:t>, but received only 5</w:t>
      </w:r>
      <w:r w:rsidRPr="00AB2C17">
        <w:rPr>
          <w:rFonts w:ascii="Times New Roman" w:eastAsia="Times New Roman" w:hAnsi="Times New Roman" w:cs="Times New Roman"/>
          <w:color w:val="000000" w:themeColor="text1"/>
          <w:shd w:val="clear" w:color="auto" w:fill="FFFFFF"/>
          <w:lang w:eastAsia="en-GB"/>
        </w:rPr>
        <w:t>% of the vote even among ethnic minority Remainers. This underlines the extent to which party politics among minority voters is very much a two-horse race; combined, Labour and the Conservatives received between 93</w:t>
      </w:r>
      <w:r w:rsidR="009503AE">
        <w:rPr>
          <w:rFonts w:ascii="Times New Roman" w:eastAsia="Times New Roman" w:hAnsi="Times New Roman" w:cs="Times New Roman"/>
          <w:color w:val="000000" w:themeColor="text1"/>
          <w:shd w:val="clear" w:color="auto" w:fill="FFFFFF"/>
          <w:lang w:eastAsia="en-GB"/>
        </w:rPr>
        <w:t>%</w:t>
      </w:r>
      <w:r w:rsidRPr="00AB2C17">
        <w:rPr>
          <w:rFonts w:ascii="Times New Roman" w:eastAsia="Times New Roman" w:hAnsi="Times New Roman" w:cs="Times New Roman"/>
          <w:color w:val="000000" w:themeColor="text1"/>
          <w:shd w:val="clear" w:color="auto" w:fill="FFFFFF"/>
          <w:lang w:eastAsia="en-GB"/>
        </w:rPr>
        <w:t xml:space="preserve"> and 98% of votes of ethnic minorities in general elections since 2015.</w:t>
      </w:r>
      <w:r w:rsidR="00CB7E0A" w:rsidRPr="00AB2C17">
        <w:rPr>
          <w:rFonts w:ascii="Times New Roman" w:eastAsia="Times New Roman" w:hAnsi="Times New Roman" w:cs="Times New Roman"/>
          <w:color w:val="000000" w:themeColor="text1"/>
          <w:shd w:val="clear" w:color="auto" w:fill="FFFFFF"/>
          <w:lang w:eastAsia="en-GB"/>
        </w:rPr>
        <w:t xml:space="preserve"> </w:t>
      </w:r>
      <w:r w:rsidR="00C551B8" w:rsidRPr="00AB2C17">
        <w:rPr>
          <w:rFonts w:ascii="Times New Roman" w:eastAsia="Times New Roman" w:hAnsi="Times New Roman" w:cs="Times New Roman"/>
          <w:color w:val="000000" w:themeColor="text1"/>
          <w:shd w:val="clear" w:color="auto" w:fill="FFFFFF"/>
          <w:lang w:eastAsia="en-GB"/>
        </w:rPr>
        <w:t>Neverth</w:t>
      </w:r>
      <w:r w:rsidR="00FB3E53">
        <w:rPr>
          <w:rFonts w:ascii="Times New Roman" w:eastAsia="Times New Roman" w:hAnsi="Times New Roman" w:cs="Times New Roman"/>
          <w:color w:val="000000" w:themeColor="text1"/>
          <w:shd w:val="clear" w:color="auto" w:fill="FFFFFF"/>
          <w:lang w:eastAsia="en-GB"/>
        </w:rPr>
        <w:t>e</w:t>
      </w:r>
      <w:r w:rsidR="00C551B8" w:rsidRPr="00AB2C17">
        <w:rPr>
          <w:rFonts w:ascii="Times New Roman" w:eastAsia="Times New Roman" w:hAnsi="Times New Roman" w:cs="Times New Roman"/>
          <w:color w:val="000000" w:themeColor="text1"/>
          <w:shd w:val="clear" w:color="auto" w:fill="FFFFFF"/>
          <w:lang w:eastAsia="en-GB"/>
        </w:rPr>
        <w:t>less</w:t>
      </w:r>
      <w:r w:rsidR="00CB7E0A" w:rsidRPr="00AB2C17">
        <w:rPr>
          <w:rFonts w:ascii="Times New Roman" w:eastAsia="Times New Roman" w:hAnsi="Times New Roman" w:cs="Times New Roman"/>
          <w:color w:val="000000" w:themeColor="text1"/>
          <w:shd w:val="clear" w:color="auto" w:fill="FFFFFF"/>
          <w:lang w:eastAsia="en-GB"/>
        </w:rPr>
        <w:t xml:space="preserve">, it may also be that </w:t>
      </w:r>
      <w:r w:rsidR="00CB7E0A" w:rsidRPr="00AB2C17">
        <w:rPr>
          <w:rFonts w:ascii="Times New Roman" w:eastAsia="Times New Roman" w:hAnsi="Times New Roman" w:cs="Times New Roman"/>
          <w:i/>
          <w:iCs/>
          <w:color w:val="000000" w:themeColor="text1"/>
          <w:shd w:val="clear" w:color="auto" w:fill="FFFFFF"/>
          <w:lang w:eastAsia="en-GB"/>
        </w:rPr>
        <w:t xml:space="preserve">Understanding Society </w:t>
      </w:r>
      <w:r w:rsidR="00CB7E0A" w:rsidRPr="00AB2C17">
        <w:rPr>
          <w:rFonts w:ascii="Times New Roman" w:eastAsia="Times New Roman" w:hAnsi="Times New Roman" w:cs="Times New Roman"/>
          <w:color w:val="000000" w:themeColor="text1"/>
          <w:shd w:val="clear" w:color="auto" w:fill="FFFFFF"/>
          <w:lang w:eastAsia="en-GB"/>
        </w:rPr>
        <w:t xml:space="preserve">data suffers from reporting bias, as some respondents were asked to report both their 2019 general election vote and 2019 European Parliament election vote in the same survey. Given the lower turnout for European Parliament elections (even in this relatively politically salient election turnout was only 51%) it is possible that respondents were not able to accurately recall their vote in the earlier election. </w:t>
      </w:r>
    </w:p>
    <w:p w14:paraId="6F6D9971" w14:textId="77777777" w:rsidR="00AA3042" w:rsidRPr="00AB2C17" w:rsidRDefault="00AA3042" w:rsidP="00683BA8">
      <w:pPr>
        <w:spacing w:line="480" w:lineRule="auto"/>
        <w:rPr>
          <w:rFonts w:ascii="Times New Roman" w:eastAsia="Times New Roman" w:hAnsi="Times New Roman" w:cs="Times New Roman"/>
          <w:color w:val="000000" w:themeColor="text1"/>
          <w:shd w:val="clear" w:color="auto" w:fill="FFFFFF"/>
          <w:lang w:eastAsia="en-GB"/>
        </w:rPr>
      </w:pPr>
    </w:p>
    <w:p w14:paraId="7DD039E6" w14:textId="77777777" w:rsidR="00834D3C" w:rsidRDefault="00834D3C" w:rsidP="00683BA8">
      <w:pPr>
        <w:spacing w:line="480" w:lineRule="auto"/>
        <w:rPr>
          <w:rFonts w:ascii="Times New Roman" w:hAnsi="Times New Roman" w:cs="Times New Roman"/>
          <w:i/>
          <w:iCs/>
          <w:color w:val="000000" w:themeColor="text1"/>
        </w:rPr>
      </w:pPr>
      <w:r>
        <w:rPr>
          <w:rFonts w:ascii="Times New Roman" w:hAnsi="Times New Roman" w:cs="Times New Roman"/>
          <w:i/>
          <w:iCs/>
          <w:color w:val="000000" w:themeColor="text1"/>
        </w:rPr>
        <w:br w:type="page"/>
      </w:r>
    </w:p>
    <w:p w14:paraId="46C1E45E" w14:textId="1A139F3A" w:rsidR="004E146F" w:rsidRPr="00AB2C17" w:rsidRDefault="004E146F" w:rsidP="004E146F">
      <w:pPr>
        <w:spacing w:line="480" w:lineRule="auto"/>
        <w:rPr>
          <w:rFonts w:ascii="Times New Roman" w:hAnsi="Times New Roman" w:cs="Times New Roman"/>
          <w:i/>
          <w:iCs/>
          <w:color w:val="000000" w:themeColor="text1"/>
        </w:rPr>
      </w:pPr>
      <w:r w:rsidRPr="00AB2C17">
        <w:rPr>
          <w:rFonts w:ascii="Times New Roman" w:hAnsi="Times New Roman" w:cs="Times New Roman"/>
          <w:i/>
          <w:iCs/>
          <w:color w:val="000000" w:themeColor="text1"/>
        </w:rPr>
        <w:lastRenderedPageBreak/>
        <w:t>Voter support for parties and Leave/ Remain in general elections since 2015</w:t>
      </w:r>
    </w:p>
    <w:p w14:paraId="3DD38F75" w14:textId="01B17B05" w:rsidR="00C830BB" w:rsidRPr="00AB2C17" w:rsidRDefault="00C830BB" w:rsidP="00C830BB">
      <w:pPr>
        <w:pStyle w:val="Caption"/>
        <w:keepNext/>
        <w:spacing w:line="360" w:lineRule="auto"/>
        <w:rPr>
          <w:rFonts w:ascii="Times New Roman" w:hAnsi="Times New Roman" w:cs="Times New Roman"/>
          <w:color w:val="000000" w:themeColor="text1"/>
        </w:rPr>
      </w:pPr>
      <w:r w:rsidRPr="00AB2C17">
        <w:rPr>
          <w:rFonts w:ascii="Times New Roman" w:hAnsi="Times New Roman" w:cs="Times New Roman"/>
          <w:color w:val="000000" w:themeColor="text1"/>
        </w:rPr>
        <w:t xml:space="preserve">Table </w:t>
      </w:r>
      <w:r w:rsidRPr="00AB2C17">
        <w:rPr>
          <w:rFonts w:ascii="Times New Roman" w:hAnsi="Times New Roman" w:cs="Times New Roman"/>
          <w:color w:val="000000" w:themeColor="text1"/>
        </w:rPr>
        <w:fldChar w:fldCharType="begin"/>
      </w:r>
      <w:r w:rsidRPr="00AB2C17">
        <w:rPr>
          <w:rFonts w:ascii="Times New Roman" w:hAnsi="Times New Roman" w:cs="Times New Roman"/>
          <w:color w:val="000000" w:themeColor="text1"/>
        </w:rPr>
        <w:instrText xml:space="preserve"> SEQ Table \* ARABIC </w:instrText>
      </w:r>
      <w:r w:rsidRPr="00AB2C17">
        <w:rPr>
          <w:rFonts w:ascii="Times New Roman" w:hAnsi="Times New Roman" w:cs="Times New Roman"/>
          <w:color w:val="000000" w:themeColor="text1"/>
        </w:rPr>
        <w:fldChar w:fldCharType="separate"/>
      </w:r>
      <w:r w:rsidR="00AB2C17" w:rsidRPr="00AB2C17">
        <w:rPr>
          <w:rFonts w:ascii="Times New Roman" w:hAnsi="Times New Roman" w:cs="Times New Roman"/>
          <w:noProof/>
          <w:color w:val="000000" w:themeColor="text1"/>
        </w:rPr>
        <w:t>1</w:t>
      </w:r>
      <w:r w:rsidRPr="00AB2C17">
        <w:rPr>
          <w:rFonts w:ascii="Times New Roman" w:hAnsi="Times New Roman" w:cs="Times New Roman"/>
          <w:color w:val="000000" w:themeColor="text1"/>
        </w:rPr>
        <w:fldChar w:fldCharType="end"/>
      </w:r>
      <w:r w:rsidRPr="00AB2C17">
        <w:rPr>
          <w:rFonts w:ascii="Times New Roman" w:hAnsi="Times New Roman" w:cs="Times New Roman"/>
          <w:color w:val="000000" w:themeColor="text1"/>
        </w:rPr>
        <w:t>: Proportion of Remain and Leave supporters voting for each party in 2015, 2017 and 2019 elections</w:t>
      </w:r>
      <w:r w:rsidR="0052286E" w:rsidRPr="00AB2C17">
        <w:rPr>
          <w:rFonts w:ascii="Times New Roman" w:hAnsi="Times New Roman" w:cs="Times New Roman"/>
          <w:color w:val="000000" w:themeColor="text1"/>
        </w:rPr>
        <w:t xml:space="preserve"> (general and European Parliament in 2019)</w:t>
      </w:r>
      <w:r w:rsidRPr="00AB2C17">
        <w:rPr>
          <w:rFonts w:ascii="Times New Roman" w:hAnsi="Times New Roman" w:cs="Times New Roman"/>
          <w:color w:val="000000" w:themeColor="text1"/>
        </w:rPr>
        <w:t xml:space="preserve">, ethnic minority respondents only. Data: </w:t>
      </w:r>
      <w:r w:rsidRPr="00AB2C17">
        <w:rPr>
          <w:rFonts w:ascii="Times New Roman" w:hAnsi="Times New Roman" w:cs="Times New Roman"/>
          <w:i w:val="0"/>
          <w:iCs w:val="0"/>
          <w:color w:val="000000" w:themeColor="text1"/>
        </w:rPr>
        <w:t>Understanding Society</w:t>
      </w:r>
      <w:r w:rsidRPr="00AB2C17">
        <w:rPr>
          <w:rFonts w:ascii="Times New Roman" w:hAnsi="Times New Roman" w:cs="Times New Roman"/>
          <w:color w:val="000000" w:themeColor="text1"/>
        </w:rPr>
        <w:t>, weighted estimates.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1487"/>
        <w:gridCol w:w="1299"/>
        <w:gridCol w:w="1347"/>
        <w:gridCol w:w="1223"/>
        <w:gridCol w:w="1353"/>
        <w:gridCol w:w="924"/>
      </w:tblGrid>
      <w:tr w:rsidR="009503AE" w:rsidRPr="00AB2C17" w14:paraId="3D505C08" w14:textId="77777777" w:rsidTr="009503AE">
        <w:tc>
          <w:tcPr>
            <w:tcW w:w="1446" w:type="dxa"/>
            <w:tcBorders>
              <w:top w:val="single" w:sz="4" w:space="0" w:color="auto"/>
              <w:bottom w:val="single" w:sz="4" w:space="0" w:color="auto"/>
            </w:tcBorders>
          </w:tcPr>
          <w:p w14:paraId="78334920" w14:textId="77777777"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2015</w:t>
            </w:r>
          </w:p>
        </w:tc>
        <w:tc>
          <w:tcPr>
            <w:tcW w:w="1503" w:type="dxa"/>
            <w:tcBorders>
              <w:top w:val="single" w:sz="4" w:space="0" w:color="auto"/>
              <w:bottom w:val="single" w:sz="4" w:space="0" w:color="auto"/>
            </w:tcBorders>
          </w:tcPr>
          <w:p w14:paraId="628957B8" w14:textId="77777777"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Conservative</w:t>
            </w:r>
          </w:p>
        </w:tc>
        <w:tc>
          <w:tcPr>
            <w:tcW w:w="1460" w:type="dxa"/>
            <w:tcBorders>
              <w:top w:val="single" w:sz="4" w:space="0" w:color="auto"/>
              <w:bottom w:val="single" w:sz="4" w:space="0" w:color="auto"/>
            </w:tcBorders>
            <w:shd w:val="clear" w:color="auto" w:fill="auto"/>
          </w:tcPr>
          <w:p w14:paraId="49F71ADD" w14:textId="77777777"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Labour</w:t>
            </w:r>
          </w:p>
        </w:tc>
        <w:tc>
          <w:tcPr>
            <w:tcW w:w="1398" w:type="dxa"/>
            <w:tcBorders>
              <w:top w:val="single" w:sz="4" w:space="0" w:color="auto"/>
              <w:bottom w:val="single" w:sz="4" w:space="0" w:color="auto"/>
            </w:tcBorders>
          </w:tcPr>
          <w:p w14:paraId="27CE7524" w14:textId="77777777"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Liberal Democrats</w:t>
            </w:r>
          </w:p>
        </w:tc>
        <w:tc>
          <w:tcPr>
            <w:tcW w:w="1378" w:type="dxa"/>
            <w:tcBorders>
              <w:top w:val="single" w:sz="4" w:space="0" w:color="auto"/>
              <w:bottom w:val="single" w:sz="4" w:space="0" w:color="auto"/>
            </w:tcBorders>
          </w:tcPr>
          <w:p w14:paraId="3670AC49" w14:textId="77777777"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Others</w:t>
            </w:r>
          </w:p>
        </w:tc>
        <w:tc>
          <w:tcPr>
            <w:tcW w:w="825" w:type="dxa"/>
            <w:tcBorders>
              <w:top w:val="single" w:sz="4" w:space="0" w:color="auto"/>
              <w:bottom w:val="single" w:sz="4" w:space="0" w:color="auto"/>
            </w:tcBorders>
          </w:tcPr>
          <w:p w14:paraId="2C7D244E" w14:textId="77777777" w:rsidR="009503AE" w:rsidRPr="00AB2C17" w:rsidRDefault="009503AE" w:rsidP="00F7571A">
            <w:pPr>
              <w:spacing w:line="360" w:lineRule="auto"/>
              <w:rPr>
                <w:rFonts w:ascii="Times New Roman" w:eastAsia="Times New Roman" w:hAnsi="Times New Roman" w:cs="Times New Roman"/>
                <w:b/>
                <w:bCs/>
                <w:color w:val="000000" w:themeColor="text1"/>
                <w:shd w:val="clear" w:color="auto" w:fill="FFFFFF"/>
                <w:lang w:eastAsia="en-GB"/>
              </w:rPr>
            </w:pPr>
          </w:p>
        </w:tc>
        <w:tc>
          <w:tcPr>
            <w:tcW w:w="1016" w:type="dxa"/>
            <w:tcBorders>
              <w:top w:val="single" w:sz="4" w:space="0" w:color="auto"/>
              <w:bottom w:val="single" w:sz="4" w:space="0" w:color="auto"/>
            </w:tcBorders>
          </w:tcPr>
          <w:p w14:paraId="1B8E4DEE" w14:textId="49F73A1C" w:rsidR="009503AE" w:rsidRPr="00AB2C17" w:rsidRDefault="009503AE" w:rsidP="00DA46CC">
            <w:pPr>
              <w:spacing w:line="360" w:lineRule="auto"/>
              <w:jc w:val="right"/>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N</w:t>
            </w:r>
          </w:p>
        </w:tc>
      </w:tr>
      <w:tr w:rsidR="009503AE" w:rsidRPr="00AB2C17" w14:paraId="04854DDE" w14:textId="77777777" w:rsidTr="009503AE">
        <w:tc>
          <w:tcPr>
            <w:tcW w:w="1446" w:type="dxa"/>
            <w:tcBorders>
              <w:top w:val="single" w:sz="4" w:space="0" w:color="auto"/>
            </w:tcBorders>
          </w:tcPr>
          <w:p w14:paraId="4EE77E11" w14:textId="77777777"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Remain</w:t>
            </w:r>
          </w:p>
        </w:tc>
        <w:tc>
          <w:tcPr>
            <w:tcW w:w="1503" w:type="dxa"/>
            <w:tcBorders>
              <w:top w:val="single" w:sz="4" w:space="0" w:color="auto"/>
            </w:tcBorders>
          </w:tcPr>
          <w:p w14:paraId="21DC1FE1" w14:textId="45A8DACA"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18</w:t>
            </w:r>
            <w:r w:rsidRPr="00AB2C17">
              <w:rPr>
                <w:rFonts w:ascii="Times New Roman" w:eastAsia="Times New Roman" w:hAnsi="Times New Roman" w:cs="Times New Roman"/>
                <w:color w:val="000000" w:themeColor="text1"/>
                <w:sz w:val="22"/>
                <w:szCs w:val="22"/>
                <w:shd w:val="clear" w:color="auto" w:fill="FFFFFF"/>
                <w:lang w:eastAsia="en-GB"/>
              </w:rPr>
              <w:t>%</w:t>
            </w:r>
          </w:p>
        </w:tc>
        <w:tc>
          <w:tcPr>
            <w:tcW w:w="1460" w:type="dxa"/>
            <w:tcBorders>
              <w:top w:val="single" w:sz="4" w:space="0" w:color="auto"/>
            </w:tcBorders>
            <w:shd w:val="clear" w:color="auto" w:fill="auto"/>
          </w:tcPr>
          <w:p w14:paraId="14BFBC14" w14:textId="0E40348C"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69</w:t>
            </w:r>
            <w:r w:rsidRPr="00AB2C17">
              <w:rPr>
                <w:rFonts w:ascii="Times New Roman" w:eastAsia="Times New Roman" w:hAnsi="Times New Roman" w:cs="Times New Roman"/>
                <w:color w:val="000000" w:themeColor="text1"/>
                <w:sz w:val="22"/>
                <w:szCs w:val="22"/>
                <w:shd w:val="clear" w:color="auto" w:fill="FFFFFF"/>
                <w:lang w:eastAsia="en-GB"/>
              </w:rPr>
              <w:t>%</w:t>
            </w:r>
          </w:p>
        </w:tc>
        <w:tc>
          <w:tcPr>
            <w:tcW w:w="1398" w:type="dxa"/>
            <w:tcBorders>
              <w:top w:val="single" w:sz="4" w:space="0" w:color="auto"/>
            </w:tcBorders>
          </w:tcPr>
          <w:p w14:paraId="1A9F0DBB" w14:textId="5A91CC6B"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7</w:t>
            </w:r>
            <w:r w:rsidRPr="00AB2C17">
              <w:rPr>
                <w:rFonts w:ascii="Times New Roman" w:eastAsia="Times New Roman" w:hAnsi="Times New Roman" w:cs="Times New Roman"/>
                <w:color w:val="000000" w:themeColor="text1"/>
                <w:sz w:val="22"/>
                <w:szCs w:val="22"/>
                <w:shd w:val="clear" w:color="auto" w:fill="FFFFFF"/>
                <w:lang w:eastAsia="en-GB"/>
              </w:rPr>
              <w:t>%</w:t>
            </w:r>
          </w:p>
        </w:tc>
        <w:tc>
          <w:tcPr>
            <w:tcW w:w="1378" w:type="dxa"/>
            <w:tcBorders>
              <w:top w:val="single" w:sz="4" w:space="0" w:color="auto"/>
            </w:tcBorders>
          </w:tcPr>
          <w:p w14:paraId="62DE76D4" w14:textId="3D30AEAD"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6</w:t>
            </w:r>
            <w:r w:rsidRPr="00AB2C17">
              <w:rPr>
                <w:rFonts w:ascii="Times New Roman" w:eastAsia="Times New Roman" w:hAnsi="Times New Roman" w:cs="Times New Roman"/>
                <w:color w:val="000000" w:themeColor="text1"/>
                <w:sz w:val="22"/>
                <w:szCs w:val="22"/>
                <w:shd w:val="clear" w:color="auto" w:fill="FFFFFF"/>
                <w:lang w:eastAsia="en-GB"/>
              </w:rPr>
              <w:t>%</w:t>
            </w:r>
          </w:p>
        </w:tc>
        <w:tc>
          <w:tcPr>
            <w:tcW w:w="825" w:type="dxa"/>
            <w:tcBorders>
              <w:top w:val="single" w:sz="4" w:space="0" w:color="auto"/>
            </w:tcBorders>
          </w:tcPr>
          <w:p w14:paraId="4591130C" w14:textId="77777777" w:rsidR="009503AE" w:rsidRDefault="009503AE" w:rsidP="009503AE">
            <w:pPr>
              <w:spacing w:line="360" w:lineRule="auto"/>
              <w:rPr>
                <w:rFonts w:ascii="Times New Roman" w:eastAsia="Times New Roman" w:hAnsi="Times New Roman" w:cs="Times New Roman"/>
                <w:color w:val="000000" w:themeColor="text1"/>
                <w:shd w:val="clear" w:color="auto" w:fill="FFFFFF"/>
                <w:lang w:eastAsia="en-GB"/>
              </w:rPr>
            </w:pPr>
          </w:p>
        </w:tc>
        <w:tc>
          <w:tcPr>
            <w:tcW w:w="1016" w:type="dxa"/>
            <w:tcBorders>
              <w:top w:val="single" w:sz="4" w:space="0" w:color="auto"/>
            </w:tcBorders>
          </w:tcPr>
          <w:p w14:paraId="0B819031" w14:textId="57E69FE6" w:rsidR="009503AE" w:rsidRPr="00AB2C17" w:rsidRDefault="009503AE" w:rsidP="00DA46CC">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298</w:t>
            </w:r>
          </w:p>
        </w:tc>
      </w:tr>
      <w:tr w:rsidR="009503AE" w:rsidRPr="00AB2C17" w14:paraId="6695AA24" w14:textId="77777777" w:rsidTr="009503AE">
        <w:tc>
          <w:tcPr>
            <w:tcW w:w="1446" w:type="dxa"/>
            <w:tcBorders>
              <w:bottom w:val="single" w:sz="4" w:space="0" w:color="auto"/>
            </w:tcBorders>
          </w:tcPr>
          <w:p w14:paraId="0908FB9E" w14:textId="77777777"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Leave</w:t>
            </w:r>
          </w:p>
        </w:tc>
        <w:tc>
          <w:tcPr>
            <w:tcW w:w="1503" w:type="dxa"/>
            <w:tcBorders>
              <w:bottom w:val="single" w:sz="4" w:space="0" w:color="auto"/>
            </w:tcBorders>
          </w:tcPr>
          <w:p w14:paraId="38A99831" w14:textId="68983775"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31</w:t>
            </w:r>
            <w:r w:rsidRPr="00AB2C17">
              <w:rPr>
                <w:rFonts w:ascii="Times New Roman" w:eastAsia="Times New Roman" w:hAnsi="Times New Roman" w:cs="Times New Roman"/>
                <w:color w:val="000000" w:themeColor="text1"/>
                <w:sz w:val="22"/>
                <w:szCs w:val="22"/>
                <w:shd w:val="clear" w:color="auto" w:fill="FFFFFF"/>
                <w:lang w:eastAsia="en-GB"/>
              </w:rPr>
              <w:t>%</w:t>
            </w:r>
          </w:p>
        </w:tc>
        <w:tc>
          <w:tcPr>
            <w:tcW w:w="1460" w:type="dxa"/>
            <w:tcBorders>
              <w:bottom w:val="single" w:sz="4" w:space="0" w:color="auto"/>
            </w:tcBorders>
            <w:shd w:val="clear" w:color="auto" w:fill="auto"/>
          </w:tcPr>
          <w:p w14:paraId="5D4067B1" w14:textId="77777777"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62%</w:t>
            </w:r>
          </w:p>
        </w:tc>
        <w:tc>
          <w:tcPr>
            <w:tcW w:w="1398" w:type="dxa"/>
            <w:tcBorders>
              <w:bottom w:val="single" w:sz="4" w:space="0" w:color="auto"/>
            </w:tcBorders>
          </w:tcPr>
          <w:p w14:paraId="0AD6CD9E" w14:textId="77777777"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3%</w:t>
            </w:r>
          </w:p>
        </w:tc>
        <w:tc>
          <w:tcPr>
            <w:tcW w:w="1378" w:type="dxa"/>
            <w:tcBorders>
              <w:bottom w:val="single" w:sz="4" w:space="0" w:color="auto"/>
            </w:tcBorders>
          </w:tcPr>
          <w:p w14:paraId="6D9AD17B" w14:textId="3441B0A3"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5</w:t>
            </w:r>
            <w:r w:rsidRPr="00AB2C17">
              <w:rPr>
                <w:rFonts w:ascii="Times New Roman" w:eastAsia="Times New Roman" w:hAnsi="Times New Roman" w:cs="Times New Roman"/>
                <w:color w:val="000000" w:themeColor="text1"/>
                <w:sz w:val="22"/>
                <w:szCs w:val="22"/>
                <w:shd w:val="clear" w:color="auto" w:fill="FFFFFF"/>
                <w:lang w:eastAsia="en-GB"/>
              </w:rPr>
              <w:t>%</w:t>
            </w:r>
          </w:p>
        </w:tc>
        <w:tc>
          <w:tcPr>
            <w:tcW w:w="825" w:type="dxa"/>
            <w:tcBorders>
              <w:bottom w:val="single" w:sz="4" w:space="0" w:color="auto"/>
            </w:tcBorders>
          </w:tcPr>
          <w:p w14:paraId="0033AF26" w14:textId="77777777" w:rsidR="009503AE" w:rsidRDefault="009503AE" w:rsidP="00F7571A">
            <w:pPr>
              <w:spacing w:line="360" w:lineRule="auto"/>
              <w:rPr>
                <w:rFonts w:ascii="Times New Roman" w:eastAsia="Times New Roman" w:hAnsi="Times New Roman" w:cs="Times New Roman"/>
                <w:color w:val="000000" w:themeColor="text1"/>
                <w:shd w:val="clear" w:color="auto" w:fill="FFFFFF"/>
                <w:lang w:eastAsia="en-GB"/>
              </w:rPr>
            </w:pPr>
          </w:p>
        </w:tc>
        <w:tc>
          <w:tcPr>
            <w:tcW w:w="1016" w:type="dxa"/>
            <w:tcBorders>
              <w:bottom w:val="single" w:sz="4" w:space="0" w:color="auto"/>
            </w:tcBorders>
          </w:tcPr>
          <w:p w14:paraId="67634687" w14:textId="69947AB0" w:rsidR="009503AE" w:rsidRPr="00AB2C17" w:rsidRDefault="009503AE" w:rsidP="00DA46CC">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155</w:t>
            </w:r>
          </w:p>
        </w:tc>
      </w:tr>
      <w:tr w:rsidR="009503AE" w:rsidRPr="00AB2C17" w14:paraId="2EAD9BA7" w14:textId="77777777" w:rsidTr="009503AE">
        <w:tc>
          <w:tcPr>
            <w:tcW w:w="1446" w:type="dxa"/>
            <w:tcBorders>
              <w:top w:val="single" w:sz="4" w:space="0" w:color="auto"/>
              <w:bottom w:val="single" w:sz="4" w:space="0" w:color="auto"/>
            </w:tcBorders>
          </w:tcPr>
          <w:p w14:paraId="16AD2602" w14:textId="77777777"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2017</w:t>
            </w:r>
          </w:p>
        </w:tc>
        <w:tc>
          <w:tcPr>
            <w:tcW w:w="1503" w:type="dxa"/>
            <w:tcBorders>
              <w:top w:val="single" w:sz="4" w:space="0" w:color="auto"/>
              <w:bottom w:val="single" w:sz="4" w:space="0" w:color="auto"/>
            </w:tcBorders>
          </w:tcPr>
          <w:p w14:paraId="0B97E908" w14:textId="77777777"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Conservative</w:t>
            </w:r>
          </w:p>
        </w:tc>
        <w:tc>
          <w:tcPr>
            <w:tcW w:w="1460" w:type="dxa"/>
            <w:tcBorders>
              <w:top w:val="single" w:sz="4" w:space="0" w:color="auto"/>
              <w:bottom w:val="single" w:sz="4" w:space="0" w:color="auto"/>
            </w:tcBorders>
            <w:shd w:val="clear" w:color="auto" w:fill="auto"/>
          </w:tcPr>
          <w:p w14:paraId="5DD38443" w14:textId="77777777"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Labour</w:t>
            </w:r>
          </w:p>
        </w:tc>
        <w:tc>
          <w:tcPr>
            <w:tcW w:w="1398" w:type="dxa"/>
            <w:tcBorders>
              <w:top w:val="single" w:sz="4" w:space="0" w:color="auto"/>
              <w:bottom w:val="single" w:sz="4" w:space="0" w:color="auto"/>
            </w:tcBorders>
          </w:tcPr>
          <w:p w14:paraId="1685EC90" w14:textId="77777777"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Liberal Democrats</w:t>
            </w:r>
          </w:p>
        </w:tc>
        <w:tc>
          <w:tcPr>
            <w:tcW w:w="1378" w:type="dxa"/>
            <w:tcBorders>
              <w:top w:val="single" w:sz="4" w:space="0" w:color="auto"/>
              <w:bottom w:val="single" w:sz="4" w:space="0" w:color="auto"/>
            </w:tcBorders>
          </w:tcPr>
          <w:p w14:paraId="2AD10B35" w14:textId="77777777"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Others</w:t>
            </w:r>
          </w:p>
        </w:tc>
        <w:tc>
          <w:tcPr>
            <w:tcW w:w="825" w:type="dxa"/>
            <w:tcBorders>
              <w:top w:val="single" w:sz="4" w:space="0" w:color="auto"/>
              <w:bottom w:val="single" w:sz="4" w:space="0" w:color="auto"/>
            </w:tcBorders>
          </w:tcPr>
          <w:p w14:paraId="0ACB7385" w14:textId="77777777" w:rsidR="009503AE" w:rsidRPr="00AB2C17" w:rsidRDefault="009503AE" w:rsidP="00F7571A">
            <w:pPr>
              <w:spacing w:line="360" w:lineRule="auto"/>
              <w:rPr>
                <w:rFonts w:ascii="Times New Roman" w:eastAsia="Times New Roman" w:hAnsi="Times New Roman" w:cs="Times New Roman"/>
                <w:b/>
                <w:bCs/>
                <w:color w:val="000000" w:themeColor="text1"/>
                <w:shd w:val="clear" w:color="auto" w:fill="FFFFFF"/>
                <w:lang w:eastAsia="en-GB"/>
              </w:rPr>
            </w:pPr>
          </w:p>
        </w:tc>
        <w:tc>
          <w:tcPr>
            <w:tcW w:w="1016" w:type="dxa"/>
            <w:tcBorders>
              <w:top w:val="single" w:sz="4" w:space="0" w:color="auto"/>
              <w:bottom w:val="single" w:sz="4" w:space="0" w:color="auto"/>
            </w:tcBorders>
          </w:tcPr>
          <w:p w14:paraId="30A7C141" w14:textId="59D2E5EC" w:rsidR="009503AE" w:rsidRPr="00AB2C17" w:rsidRDefault="009503AE" w:rsidP="00DA46CC">
            <w:pPr>
              <w:spacing w:line="360" w:lineRule="auto"/>
              <w:jc w:val="right"/>
              <w:rPr>
                <w:rFonts w:ascii="Times New Roman" w:eastAsia="Times New Roman" w:hAnsi="Times New Roman" w:cs="Times New Roman"/>
                <w:b/>
                <w:bCs/>
                <w:color w:val="000000" w:themeColor="text1"/>
                <w:sz w:val="22"/>
                <w:szCs w:val="22"/>
                <w:shd w:val="clear" w:color="auto" w:fill="FFFFFF"/>
                <w:lang w:eastAsia="en-GB"/>
              </w:rPr>
            </w:pPr>
          </w:p>
        </w:tc>
      </w:tr>
      <w:tr w:rsidR="009503AE" w:rsidRPr="00AB2C17" w14:paraId="099B3161" w14:textId="77777777" w:rsidTr="009503AE">
        <w:tc>
          <w:tcPr>
            <w:tcW w:w="1446" w:type="dxa"/>
            <w:tcBorders>
              <w:top w:val="single" w:sz="4" w:space="0" w:color="auto"/>
            </w:tcBorders>
          </w:tcPr>
          <w:p w14:paraId="5539229E" w14:textId="77777777"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Remain</w:t>
            </w:r>
          </w:p>
        </w:tc>
        <w:tc>
          <w:tcPr>
            <w:tcW w:w="1503" w:type="dxa"/>
            <w:tcBorders>
              <w:top w:val="single" w:sz="4" w:space="0" w:color="auto"/>
            </w:tcBorders>
          </w:tcPr>
          <w:p w14:paraId="0BF1F625" w14:textId="77777777"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13%</w:t>
            </w:r>
          </w:p>
        </w:tc>
        <w:tc>
          <w:tcPr>
            <w:tcW w:w="1460" w:type="dxa"/>
            <w:tcBorders>
              <w:top w:val="single" w:sz="4" w:space="0" w:color="auto"/>
            </w:tcBorders>
            <w:shd w:val="clear" w:color="auto" w:fill="auto"/>
          </w:tcPr>
          <w:p w14:paraId="5C7CAEC0" w14:textId="595347DC"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84</w:t>
            </w:r>
            <w:r w:rsidRPr="00AB2C17">
              <w:rPr>
                <w:rFonts w:ascii="Times New Roman" w:eastAsia="Times New Roman" w:hAnsi="Times New Roman" w:cs="Times New Roman"/>
                <w:color w:val="000000" w:themeColor="text1"/>
                <w:sz w:val="22"/>
                <w:szCs w:val="22"/>
                <w:shd w:val="clear" w:color="auto" w:fill="FFFFFF"/>
                <w:lang w:eastAsia="en-GB"/>
              </w:rPr>
              <w:t>%</w:t>
            </w:r>
          </w:p>
        </w:tc>
        <w:tc>
          <w:tcPr>
            <w:tcW w:w="1398" w:type="dxa"/>
            <w:tcBorders>
              <w:top w:val="single" w:sz="4" w:space="0" w:color="auto"/>
            </w:tcBorders>
          </w:tcPr>
          <w:p w14:paraId="3648D644" w14:textId="77777777"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1%</w:t>
            </w:r>
          </w:p>
        </w:tc>
        <w:tc>
          <w:tcPr>
            <w:tcW w:w="1378" w:type="dxa"/>
            <w:tcBorders>
              <w:top w:val="single" w:sz="4" w:space="0" w:color="auto"/>
            </w:tcBorders>
          </w:tcPr>
          <w:p w14:paraId="2350B25E" w14:textId="3EF917E9"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2</w:t>
            </w:r>
            <w:r w:rsidRPr="00AB2C17">
              <w:rPr>
                <w:rFonts w:ascii="Times New Roman" w:eastAsia="Times New Roman" w:hAnsi="Times New Roman" w:cs="Times New Roman"/>
                <w:color w:val="000000" w:themeColor="text1"/>
                <w:sz w:val="22"/>
                <w:szCs w:val="22"/>
                <w:shd w:val="clear" w:color="auto" w:fill="FFFFFF"/>
                <w:lang w:eastAsia="en-GB"/>
              </w:rPr>
              <w:t>%</w:t>
            </w:r>
          </w:p>
        </w:tc>
        <w:tc>
          <w:tcPr>
            <w:tcW w:w="825" w:type="dxa"/>
            <w:tcBorders>
              <w:top w:val="single" w:sz="4" w:space="0" w:color="auto"/>
            </w:tcBorders>
          </w:tcPr>
          <w:p w14:paraId="46BB7A7F" w14:textId="77777777" w:rsidR="009503AE" w:rsidRDefault="009503AE" w:rsidP="00F7571A">
            <w:pPr>
              <w:spacing w:line="360" w:lineRule="auto"/>
              <w:rPr>
                <w:rFonts w:ascii="Times New Roman" w:eastAsia="Times New Roman" w:hAnsi="Times New Roman" w:cs="Times New Roman"/>
                <w:color w:val="000000" w:themeColor="text1"/>
                <w:shd w:val="clear" w:color="auto" w:fill="FFFFFF"/>
                <w:lang w:eastAsia="en-GB"/>
              </w:rPr>
            </w:pPr>
          </w:p>
        </w:tc>
        <w:tc>
          <w:tcPr>
            <w:tcW w:w="1016" w:type="dxa"/>
            <w:tcBorders>
              <w:top w:val="single" w:sz="4" w:space="0" w:color="auto"/>
            </w:tcBorders>
          </w:tcPr>
          <w:p w14:paraId="69D77472" w14:textId="3A1B5C94" w:rsidR="009503AE" w:rsidRPr="00AB2C17" w:rsidRDefault="009503AE" w:rsidP="00DA46CC">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1,407</w:t>
            </w:r>
          </w:p>
        </w:tc>
      </w:tr>
      <w:tr w:rsidR="009503AE" w:rsidRPr="00AB2C17" w14:paraId="66B75BE6" w14:textId="77777777" w:rsidTr="009503AE">
        <w:tc>
          <w:tcPr>
            <w:tcW w:w="1446" w:type="dxa"/>
            <w:tcBorders>
              <w:bottom w:val="single" w:sz="4" w:space="0" w:color="auto"/>
            </w:tcBorders>
          </w:tcPr>
          <w:p w14:paraId="21C2024C" w14:textId="77777777"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Leave</w:t>
            </w:r>
          </w:p>
        </w:tc>
        <w:tc>
          <w:tcPr>
            <w:tcW w:w="1503" w:type="dxa"/>
            <w:tcBorders>
              <w:bottom w:val="single" w:sz="4" w:space="0" w:color="auto"/>
            </w:tcBorders>
          </w:tcPr>
          <w:p w14:paraId="2ADEEFF5" w14:textId="74372C06"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26</w:t>
            </w:r>
            <w:r w:rsidRPr="00AB2C17">
              <w:rPr>
                <w:rFonts w:ascii="Times New Roman" w:eastAsia="Times New Roman" w:hAnsi="Times New Roman" w:cs="Times New Roman"/>
                <w:color w:val="000000" w:themeColor="text1"/>
                <w:sz w:val="22"/>
                <w:szCs w:val="22"/>
                <w:shd w:val="clear" w:color="auto" w:fill="FFFFFF"/>
                <w:lang w:eastAsia="en-GB"/>
              </w:rPr>
              <w:t>%</w:t>
            </w:r>
          </w:p>
        </w:tc>
        <w:tc>
          <w:tcPr>
            <w:tcW w:w="1460" w:type="dxa"/>
            <w:tcBorders>
              <w:bottom w:val="single" w:sz="4" w:space="0" w:color="auto"/>
            </w:tcBorders>
            <w:shd w:val="clear" w:color="auto" w:fill="auto"/>
          </w:tcPr>
          <w:p w14:paraId="45A85562" w14:textId="3090CD79" w:rsidR="009503AE" w:rsidRPr="00AB2C17" w:rsidRDefault="009503AE" w:rsidP="009503AE">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70</w:t>
            </w:r>
            <w:r w:rsidRPr="00AB2C17">
              <w:rPr>
                <w:rFonts w:ascii="Times New Roman" w:eastAsia="Times New Roman" w:hAnsi="Times New Roman" w:cs="Times New Roman"/>
                <w:color w:val="000000" w:themeColor="text1"/>
                <w:sz w:val="22"/>
                <w:szCs w:val="22"/>
                <w:shd w:val="clear" w:color="auto" w:fill="FFFFFF"/>
                <w:lang w:eastAsia="en-GB"/>
              </w:rPr>
              <w:t>%</w:t>
            </w:r>
          </w:p>
        </w:tc>
        <w:tc>
          <w:tcPr>
            <w:tcW w:w="1398" w:type="dxa"/>
            <w:tcBorders>
              <w:bottom w:val="single" w:sz="4" w:space="0" w:color="auto"/>
            </w:tcBorders>
          </w:tcPr>
          <w:p w14:paraId="65E06019" w14:textId="77777777"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1%</w:t>
            </w:r>
          </w:p>
        </w:tc>
        <w:tc>
          <w:tcPr>
            <w:tcW w:w="1378" w:type="dxa"/>
            <w:tcBorders>
              <w:bottom w:val="single" w:sz="4" w:space="0" w:color="auto"/>
            </w:tcBorders>
          </w:tcPr>
          <w:p w14:paraId="6BD39491" w14:textId="77777777"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3%</w:t>
            </w:r>
          </w:p>
        </w:tc>
        <w:tc>
          <w:tcPr>
            <w:tcW w:w="825" w:type="dxa"/>
            <w:tcBorders>
              <w:bottom w:val="single" w:sz="4" w:space="0" w:color="auto"/>
            </w:tcBorders>
          </w:tcPr>
          <w:p w14:paraId="2C4ECE84" w14:textId="77777777" w:rsidR="009503AE" w:rsidRDefault="009503AE" w:rsidP="00F7571A">
            <w:pPr>
              <w:spacing w:line="360" w:lineRule="auto"/>
              <w:rPr>
                <w:rFonts w:ascii="Times New Roman" w:eastAsia="Times New Roman" w:hAnsi="Times New Roman" w:cs="Times New Roman"/>
                <w:color w:val="000000" w:themeColor="text1"/>
                <w:shd w:val="clear" w:color="auto" w:fill="FFFFFF"/>
                <w:lang w:eastAsia="en-GB"/>
              </w:rPr>
            </w:pPr>
          </w:p>
        </w:tc>
        <w:tc>
          <w:tcPr>
            <w:tcW w:w="1016" w:type="dxa"/>
            <w:tcBorders>
              <w:bottom w:val="single" w:sz="4" w:space="0" w:color="auto"/>
            </w:tcBorders>
          </w:tcPr>
          <w:p w14:paraId="2EF777B0" w14:textId="21574716" w:rsidR="009503AE" w:rsidRPr="00AB2C17" w:rsidRDefault="009503AE" w:rsidP="00DA46CC">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598</w:t>
            </w:r>
          </w:p>
        </w:tc>
      </w:tr>
      <w:tr w:rsidR="009503AE" w:rsidRPr="00AB2C17" w14:paraId="3C785227" w14:textId="77777777" w:rsidTr="009503AE">
        <w:tc>
          <w:tcPr>
            <w:tcW w:w="1446" w:type="dxa"/>
            <w:tcBorders>
              <w:top w:val="single" w:sz="4" w:space="0" w:color="auto"/>
              <w:bottom w:val="single" w:sz="4" w:space="0" w:color="auto"/>
            </w:tcBorders>
          </w:tcPr>
          <w:p w14:paraId="234D72E7" w14:textId="77777777"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2019 European Parliament</w:t>
            </w:r>
          </w:p>
        </w:tc>
        <w:tc>
          <w:tcPr>
            <w:tcW w:w="1503" w:type="dxa"/>
            <w:tcBorders>
              <w:top w:val="single" w:sz="4" w:space="0" w:color="auto"/>
              <w:bottom w:val="single" w:sz="4" w:space="0" w:color="auto"/>
            </w:tcBorders>
          </w:tcPr>
          <w:p w14:paraId="6D3DD46B" w14:textId="77777777"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Conservative</w:t>
            </w:r>
          </w:p>
        </w:tc>
        <w:tc>
          <w:tcPr>
            <w:tcW w:w="1460" w:type="dxa"/>
            <w:tcBorders>
              <w:top w:val="single" w:sz="4" w:space="0" w:color="auto"/>
              <w:bottom w:val="single" w:sz="4" w:space="0" w:color="auto"/>
            </w:tcBorders>
            <w:shd w:val="clear" w:color="auto" w:fill="auto"/>
          </w:tcPr>
          <w:p w14:paraId="780AF82A" w14:textId="77777777"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Labour</w:t>
            </w:r>
          </w:p>
        </w:tc>
        <w:tc>
          <w:tcPr>
            <w:tcW w:w="1398" w:type="dxa"/>
            <w:tcBorders>
              <w:top w:val="single" w:sz="4" w:space="0" w:color="auto"/>
              <w:bottom w:val="single" w:sz="4" w:space="0" w:color="auto"/>
            </w:tcBorders>
          </w:tcPr>
          <w:p w14:paraId="57DF67A8" w14:textId="77777777"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Liberal Democrats</w:t>
            </w:r>
          </w:p>
        </w:tc>
        <w:tc>
          <w:tcPr>
            <w:tcW w:w="1378" w:type="dxa"/>
            <w:tcBorders>
              <w:top w:val="single" w:sz="4" w:space="0" w:color="auto"/>
              <w:bottom w:val="single" w:sz="4" w:space="0" w:color="auto"/>
            </w:tcBorders>
          </w:tcPr>
          <w:p w14:paraId="3098705F" w14:textId="2AA4ED7A"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Pr>
                <w:rFonts w:ascii="Times New Roman" w:eastAsia="Times New Roman" w:hAnsi="Times New Roman" w:cs="Times New Roman"/>
                <w:b/>
                <w:bCs/>
                <w:color w:val="000000" w:themeColor="text1"/>
                <w:sz w:val="22"/>
                <w:szCs w:val="22"/>
                <w:shd w:val="clear" w:color="auto" w:fill="FFFFFF"/>
                <w:lang w:eastAsia="en-GB"/>
              </w:rPr>
              <w:t>Others</w:t>
            </w:r>
          </w:p>
        </w:tc>
        <w:tc>
          <w:tcPr>
            <w:tcW w:w="825" w:type="dxa"/>
            <w:tcBorders>
              <w:top w:val="single" w:sz="4" w:space="0" w:color="auto"/>
              <w:bottom w:val="single" w:sz="4" w:space="0" w:color="auto"/>
            </w:tcBorders>
          </w:tcPr>
          <w:p w14:paraId="758E732F" w14:textId="143721C3" w:rsidR="009503AE" w:rsidRPr="00AB2C17" w:rsidRDefault="009503AE" w:rsidP="00F7571A">
            <w:pPr>
              <w:spacing w:line="360" w:lineRule="auto"/>
              <w:rPr>
                <w:rFonts w:ascii="Times New Roman" w:eastAsia="Times New Roman" w:hAnsi="Times New Roman" w:cs="Times New Roman"/>
                <w:b/>
                <w:bCs/>
                <w:color w:val="000000" w:themeColor="text1"/>
                <w:shd w:val="clear" w:color="auto" w:fill="FFFFFF"/>
                <w:lang w:eastAsia="en-GB"/>
              </w:rPr>
            </w:pPr>
            <w:proofErr w:type="spellStart"/>
            <w:r w:rsidRPr="00AB2C17">
              <w:rPr>
                <w:rFonts w:ascii="Times New Roman" w:eastAsia="Times New Roman" w:hAnsi="Times New Roman" w:cs="Times New Roman"/>
                <w:b/>
                <w:bCs/>
                <w:color w:val="000000" w:themeColor="text1"/>
                <w:sz w:val="22"/>
                <w:szCs w:val="22"/>
                <w:shd w:val="clear" w:color="auto" w:fill="FFFFFF"/>
                <w:lang w:eastAsia="en-GB"/>
              </w:rPr>
              <w:t>Brexit</w:t>
            </w:r>
            <w:proofErr w:type="spellEnd"/>
            <w:r w:rsidRPr="00AB2C17">
              <w:rPr>
                <w:rFonts w:ascii="Times New Roman" w:eastAsia="Times New Roman" w:hAnsi="Times New Roman" w:cs="Times New Roman"/>
                <w:b/>
                <w:bCs/>
                <w:color w:val="000000" w:themeColor="text1"/>
                <w:sz w:val="22"/>
                <w:szCs w:val="22"/>
                <w:shd w:val="clear" w:color="auto" w:fill="FFFFFF"/>
                <w:lang w:eastAsia="en-GB"/>
              </w:rPr>
              <w:t xml:space="preserve"> Party/UKIP</w:t>
            </w:r>
          </w:p>
        </w:tc>
        <w:tc>
          <w:tcPr>
            <w:tcW w:w="1016" w:type="dxa"/>
            <w:tcBorders>
              <w:top w:val="single" w:sz="4" w:space="0" w:color="auto"/>
              <w:bottom w:val="single" w:sz="4" w:space="0" w:color="auto"/>
            </w:tcBorders>
          </w:tcPr>
          <w:p w14:paraId="631BCC45" w14:textId="66556848" w:rsidR="009503AE" w:rsidRPr="00AB2C17" w:rsidRDefault="009503AE" w:rsidP="00DA46CC">
            <w:pPr>
              <w:spacing w:line="360" w:lineRule="auto"/>
              <w:jc w:val="right"/>
              <w:rPr>
                <w:rFonts w:ascii="Times New Roman" w:eastAsia="Times New Roman" w:hAnsi="Times New Roman" w:cs="Times New Roman"/>
                <w:b/>
                <w:bCs/>
                <w:color w:val="000000" w:themeColor="text1"/>
                <w:sz w:val="22"/>
                <w:szCs w:val="22"/>
                <w:shd w:val="clear" w:color="auto" w:fill="FFFFFF"/>
                <w:lang w:eastAsia="en-GB"/>
              </w:rPr>
            </w:pPr>
          </w:p>
        </w:tc>
      </w:tr>
      <w:tr w:rsidR="009503AE" w:rsidRPr="00AB2C17" w14:paraId="1874346D" w14:textId="77777777" w:rsidTr="009503AE">
        <w:tc>
          <w:tcPr>
            <w:tcW w:w="1446" w:type="dxa"/>
            <w:tcBorders>
              <w:top w:val="single" w:sz="4" w:space="0" w:color="auto"/>
            </w:tcBorders>
          </w:tcPr>
          <w:p w14:paraId="6EF468E6" w14:textId="77777777"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Remain</w:t>
            </w:r>
          </w:p>
        </w:tc>
        <w:tc>
          <w:tcPr>
            <w:tcW w:w="1503" w:type="dxa"/>
            <w:tcBorders>
              <w:top w:val="single" w:sz="4" w:space="0" w:color="auto"/>
            </w:tcBorders>
          </w:tcPr>
          <w:p w14:paraId="31692B61" w14:textId="469A2225"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14</w:t>
            </w:r>
            <w:r w:rsidRPr="00AB2C17">
              <w:rPr>
                <w:rFonts w:ascii="Times New Roman" w:eastAsia="Times New Roman" w:hAnsi="Times New Roman" w:cs="Times New Roman"/>
                <w:color w:val="000000" w:themeColor="text1"/>
                <w:sz w:val="22"/>
                <w:szCs w:val="22"/>
                <w:shd w:val="clear" w:color="auto" w:fill="FFFFFF"/>
                <w:lang w:eastAsia="en-GB"/>
              </w:rPr>
              <w:t>%</w:t>
            </w:r>
          </w:p>
        </w:tc>
        <w:tc>
          <w:tcPr>
            <w:tcW w:w="1460" w:type="dxa"/>
            <w:tcBorders>
              <w:top w:val="single" w:sz="4" w:space="0" w:color="auto"/>
            </w:tcBorders>
            <w:shd w:val="clear" w:color="auto" w:fill="auto"/>
          </w:tcPr>
          <w:p w14:paraId="2AB1EA67" w14:textId="1BB0F4B1"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75</w:t>
            </w:r>
            <w:r w:rsidRPr="00AB2C17">
              <w:rPr>
                <w:rFonts w:ascii="Times New Roman" w:eastAsia="Times New Roman" w:hAnsi="Times New Roman" w:cs="Times New Roman"/>
                <w:color w:val="000000" w:themeColor="text1"/>
                <w:sz w:val="22"/>
                <w:szCs w:val="22"/>
                <w:shd w:val="clear" w:color="auto" w:fill="FFFFFF"/>
                <w:lang w:eastAsia="en-GB"/>
              </w:rPr>
              <w:t>%</w:t>
            </w:r>
          </w:p>
        </w:tc>
        <w:tc>
          <w:tcPr>
            <w:tcW w:w="1398" w:type="dxa"/>
            <w:tcBorders>
              <w:top w:val="single" w:sz="4" w:space="0" w:color="auto"/>
            </w:tcBorders>
          </w:tcPr>
          <w:p w14:paraId="067A33CF" w14:textId="76F6CD8D"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5</w:t>
            </w:r>
            <w:r w:rsidRPr="00AB2C17">
              <w:rPr>
                <w:rFonts w:ascii="Times New Roman" w:eastAsia="Times New Roman" w:hAnsi="Times New Roman" w:cs="Times New Roman"/>
                <w:color w:val="000000" w:themeColor="text1"/>
                <w:sz w:val="22"/>
                <w:szCs w:val="22"/>
                <w:shd w:val="clear" w:color="auto" w:fill="FFFFFF"/>
                <w:lang w:eastAsia="en-GB"/>
              </w:rPr>
              <w:t>%</w:t>
            </w:r>
          </w:p>
        </w:tc>
        <w:tc>
          <w:tcPr>
            <w:tcW w:w="1378" w:type="dxa"/>
            <w:tcBorders>
              <w:top w:val="single" w:sz="4" w:space="0" w:color="auto"/>
            </w:tcBorders>
          </w:tcPr>
          <w:p w14:paraId="19223D21" w14:textId="03EE43D3"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4</w:t>
            </w:r>
            <w:r w:rsidRPr="00AB2C17">
              <w:rPr>
                <w:rFonts w:ascii="Times New Roman" w:eastAsia="Times New Roman" w:hAnsi="Times New Roman" w:cs="Times New Roman"/>
                <w:color w:val="000000" w:themeColor="text1"/>
                <w:sz w:val="22"/>
                <w:szCs w:val="22"/>
                <w:shd w:val="clear" w:color="auto" w:fill="FFFFFF"/>
                <w:lang w:eastAsia="en-GB"/>
              </w:rPr>
              <w:t>%</w:t>
            </w:r>
          </w:p>
        </w:tc>
        <w:tc>
          <w:tcPr>
            <w:tcW w:w="825" w:type="dxa"/>
            <w:tcBorders>
              <w:top w:val="single" w:sz="4" w:space="0" w:color="auto"/>
            </w:tcBorders>
          </w:tcPr>
          <w:p w14:paraId="310B50BE" w14:textId="65380C21" w:rsidR="009503AE" w:rsidRDefault="009503AE" w:rsidP="00F7571A">
            <w:pPr>
              <w:spacing w:line="360" w:lineRule="auto"/>
              <w:rPr>
                <w:rFonts w:ascii="Times New Roman" w:eastAsia="Times New Roman" w:hAnsi="Times New Roman" w:cs="Times New Roman"/>
                <w:color w:val="000000" w:themeColor="text1"/>
                <w:shd w:val="clear" w:color="auto" w:fill="FFFFFF"/>
                <w:lang w:eastAsia="en-GB"/>
              </w:rPr>
            </w:pPr>
            <w:r>
              <w:rPr>
                <w:rFonts w:ascii="Times New Roman" w:eastAsia="Times New Roman" w:hAnsi="Times New Roman" w:cs="Times New Roman"/>
                <w:color w:val="000000" w:themeColor="text1"/>
                <w:shd w:val="clear" w:color="auto" w:fill="FFFFFF"/>
                <w:lang w:eastAsia="en-GB"/>
              </w:rPr>
              <w:t>2%</w:t>
            </w:r>
          </w:p>
        </w:tc>
        <w:tc>
          <w:tcPr>
            <w:tcW w:w="1016" w:type="dxa"/>
            <w:tcBorders>
              <w:top w:val="single" w:sz="4" w:space="0" w:color="auto"/>
            </w:tcBorders>
          </w:tcPr>
          <w:p w14:paraId="518FE5EA" w14:textId="74E5DAE4" w:rsidR="009503AE" w:rsidRPr="00AB2C17" w:rsidRDefault="009503AE" w:rsidP="00DA46CC">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497</w:t>
            </w:r>
          </w:p>
        </w:tc>
      </w:tr>
      <w:tr w:rsidR="009503AE" w:rsidRPr="00AB2C17" w14:paraId="09A3FBFD" w14:textId="77777777" w:rsidTr="009503AE">
        <w:tc>
          <w:tcPr>
            <w:tcW w:w="1446" w:type="dxa"/>
            <w:tcBorders>
              <w:bottom w:val="single" w:sz="4" w:space="0" w:color="auto"/>
            </w:tcBorders>
          </w:tcPr>
          <w:p w14:paraId="3D0BFB16" w14:textId="77777777"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Leave</w:t>
            </w:r>
          </w:p>
        </w:tc>
        <w:tc>
          <w:tcPr>
            <w:tcW w:w="1503" w:type="dxa"/>
            <w:tcBorders>
              <w:bottom w:val="single" w:sz="4" w:space="0" w:color="auto"/>
            </w:tcBorders>
          </w:tcPr>
          <w:p w14:paraId="0FAC4B65" w14:textId="18F93CBE"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36</w:t>
            </w:r>
            <w:r w:rsidRPr="00AB2C17">
              <w:rPr>
                <w:rFonts w:ascii="Times New Roman" w:eastAsia="Times New Roman" w:hAnsi="Times New Roman" w:cs="Times New Roman"/>
                <w:color w:val="000000" w:themeColor="text1"/>
                <w:sz w:val="22"/>
                <w:szCs w:val="22"/>
                <w:shd w:val="clear" w:color="auto" w:fill="FFFFFF"/>
                <w:lang w:eastAsia="en-GB"/>
              </w:rPr>
              <w:t>%</w:t>
            </w:r>
          </w:p>
        </w:tc>
        <w:tc>
          <w:tcPr>
            <w:tcW w:w="1460" w:type="dxa"/>
            <w:tcBorders>
              <w:bottom w:val="single" w:sz="4" w:space="0" w:color="auto"/>
            </w:tcBorders>
            <w:shd w:val="clear" w:color="auto" w:fill="auto"/>
          </w:tcPr>
          <w:p w14:paraId="5FD51158" w14:textId="46134E84"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57</w:t>
            </w:r>
            <w:r w:rsidRPr="00AB2C17">
              <w:rPr>
                <w:rFonts w:ascii="Times New Roman" w:eastAsia="Times New Roman" w:hAnsi="Times New Roman" w:cs="Times New Roman"/>
                <w:color w:val="000000" w:themeColor="text1"/>
                <w:sz w:val="22"/>
                <w:szCs w:val="22"/>
                <w:shd w:val="clear" w:color="auto" w:fill="FFFFFF"/>
                <w:lang w:eastAsia="en-GB"/>
              </w:rPr>
              <w:t>%</w:t>
            </w:r>
          </w:p>
        </w:tc>
        <w:tc>
          <w:tcPr>
            <w:tcW w:w="1398" w:type="dxa"/>
            <w:tcBorders>
              <w:bottom w:val="single" w:sz="4" w:space="0" w:color="auto"/>
            </w:tcBorders>
          </w:tcPr>
          <w:p w14:paraId="0C074AE4" w14:textId="77777777"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0%</w:t>
            </w:r>
          </w:p>
        </w:tc>
        <w:tc>
          <w:tcPr>
            <w:tcW w:w="1378" w:type="dxa"/>
            <w:tcBorders>
              <w:bottom w:val="single" w:sz="4" w:space="0" w:color="auto"/>
            </w:tcBorders>
          </w:tcPr>
          <w:p w14:paraId="0ED0D237" w14:textId="66ACAA66"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2</w:t>
            </w:r>
            <w:r w:rsidRPr="00AB2C17">
              <w:rPr>
                <w:rFonts w:ascii="Times New Roman" w:eastAsia="Times New Roman" w:hAnsi="Times New Roman" w:cs="Times New Roman"/>
                <w:color w:val="000000" w:themeColor="text1"/>
                <w:sz w:val="22"/>
                <w:szCs w:val="22"/>
                <w:shd w:val="clear" w:color="auto" w:fill="FFFFFF"/>
                <w:lang w:eastAsia="en-GB"/>
              </w:rPr>
              <w:t>%</w:t>
            </w:r>
          </w:p>
        </w:tc>
        <w:tc>
          <w:tcPr>
            <w:tcW w:w="825" w:type="dxa"/>
            <w:tcBorders>
              <w:bottom w:val="single" w:sz="4" w:space="0" w:color="auto"/>
            </w:tcBorders>
          </w:tcPr>
          <w:p w14:paraId="274E89F5" w14:textId="65F2A4B1" w:rsidR="009503AE" w:rsidRPr="00AB2C17" w:rsidRDefault="009503AE" w:rsidP="00F7571A">
            <w:pPr>
              <w:spacing w:line="360" w:lineRule="auto"/>
              <w:rPr>
                <w:rFonts w:ascii="Times New Roman" w:eastAsia="Times New Roman" w:hAnsi="Times New Roman" w:cs="Times New Roman"/>
                <w:color w:val="000000" w:themeColor="text1"/>
                <w:shd w:val="clear" w:color="auto" w:fill="FFFFFF"/>
                <w:lang w:eastAsia="en-GB"/>
              </w:rPr>
            </w:pPr>
            <w:r>
              <w:rPr>
                <w:rFonts w:ascii="Times New Roman" w:eastAsia="Times New Roman" w:hAnsi="Times New Roman" w:cs="Times New Roman"/>
                <w:color w:val="000000" w:themeColor="text1"/>
                <w:shd w:val="clear" w:color="auto" w:fill="FFFFFF"/>
                <w:lang w:eastAsia="en-GB"/>
              </w:rPr>
              <w:t>5%</w:t>
            </w:r>
          </w:p>
        </w:tc>
        <w:tc>
          <w:tcPr>
            <w:tcW w:w="1016" w:type="dxa"/>
            <w:tcBorders>
              <w:bottom w:val="single" w:sz="4" w:space="0" w:color="auto"/>
            </w:tcBorders>
          </w:tcPr>
          <w:p w14:paraId="7C1D4318" w14:textId="132DAEAC" w:rsidR="009503AE" w:rsidRPr="00AB2C17" w:rsidRDefault="009503AE" w:rsidP="00DA46CC">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210</w:t>
            </w:r>
          </w:p>
        </w:tc>
      </w:tr>
      <w:tr w:rsidR="009503AE" w:rsidRPr="00AB2C17" w14:paraId="1C16F2E8" w14:textId="77777777" w:rsidTr="009503AE">
        <w:tc>
          <w:tcPr>
            <w:tcW w:w="1446" w:type="dxa"/>
            <w:tcBorders>
              <w:top w:val="single" w:sz="4" w:space="0" w:color="auto"/>
              <w:bottom w:val="single" w:sz="4" w:space="0" w:color="auto"/>
            </w:tcBorders>
          </w:tcPr>
          <w:p w14:paraId="7306CD95" w14:textId="77777777"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2019 general election</w:t>
            </w:r>
          </w:p>
        </w:tc>
        <w:tc>
          <w:tcPr>
            <w:tcW w:w="1503" w:type="dxa"/>
            <w:tcBorders>
              <w:top w:val="single" w:sz="4" w:space="0" w:color="auto"/>
              <w:bottom w:val="single" w:sz="4" w:space="0" w:color="auto"/>
            </w:tcBorders>
          </w:tcPr>
          <w:p w14:paraId="6709C191" w14:textId="77777777"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Conservative</w:t>
            </w:r>
          </w:p>
        </w:tc>
        <w:tc>
          <w:tcPr>
            <w:tcW w:w="1460" w:type="dxa"/>
            <w:tcBorders>
              <w:top w:val="single" w:sz="4" w:space="0" w:color="auto"/>
              <w:bottom w:val="single" w:sz="4" w:space="0" w:color="auto"/>
            </w:tcBorders>
            <w:shd w:val="clear" w:color="auto" w:fill="auto"/>
          </w:tcPr>
          <w:p w14:paraId="7C53BC00" w14:textId="77777777"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Labour</w:t>
            </w:r>
          </w:p>
        </w:tc>
        <w:tc>
          <w:tcPr>
            <w:tcW w:w="1398" w:type="dxa"/>
            <w:tcBorders>
              <w:top w:val="single" w:sz="4" w:space="0" w:color="auto"/>
              <w:bottom w:val="single" w:sz="4" w:space="0" w:color="auto"/>
            </w:tcBorders>
          </w:tcPr>
          <w:p w14:paraId="33605485" w14:textId="77777777"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Liberal Democrats</w:t>
            </w:r>
          </w:p>
        </w:tc>
        <w:tc>
          <w:tcPr>
            <w:tcW w:w="1378" w:type="dxa"/>
            <w:tcBorders>
              <w:top w:val="single" w:sz="4" w:space="0" w:color="auto"/>
              <w:bottom w:val="single" w:sz="4" w:space="0" w:color="auto"/>
            </w:tcBorders>
          </w:tcPr>
          <w:p w14:paraId="11974A5C" w14:textId="77777777" w:rsidR="009503AE" w:rsidRPr="00AB2C17" w:rsidRDefault="009503AE" w:rsidP="00F7571A">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Others</w:t>
            </w:r>
          </w:p>
        </w:tc>
        <w:tc>
          <w:tcPr>
            <w:tcW w:w="825" w:type="dxa"/>
            <w:tcBorders>
              <w:top w:val="single" w:sz="4" w:space="0" w:color="auto"/>
              <w:bottom w:val="single" w:sz="4" w:space="0" w:color="auto"/>
            </w:tcBorders>
          </w:tcPr>
          <w:p w14:paraId="664BD1EA" w14:textId="77777777" w:rsidR="009503AE" w:rsidRPr="00AB2C17" w:rsidRDefault="009503AE" w:rsidP="00F7571A">
            <w:pPr>
              <w:spacing w:line="360" w:lineRule="auto"/>
              <w:rPr>
                <w:rFonts w:ascii="Times New Roman" w:eastAsia="Times New Roman" w:hAnsi="Times New Roman" w:cs="Times New Roman"/>
                <w:b/>
                <w:bCs/>
                <w:color w:val="000000" w:themeColor="text1"/>
                <w:shd w:val="clear" w:color="auto" w:fill="FFFFFF"/>
                <w:lang w:eastAsia="en-GB"/>
              </w:rPr>
            </w:pPr>
          </w:p>
        </w:tc>
        <w:tc>
          <w:tcPr>
            <w:tcW w:w="1016" w:type="dxa"/>
            <w:tcBorders>
              <w:top w:val="single" w:sz="4" w:space="0" w:color="auto"/>
              <w:bottom w:val="single" w:sz="4" w:space="0" w:color="auto"/>
            </w:tcBorders>
          </w:tcPr>
          <w:p w14:paraId="740C6F4E" w14:textId="0B0F5566" w:rsidR="009503AE" w:rsidRPr="00AB2C17" w:rsidRDefault="009503AE" w:rsidP="00DA46CC">
            <w:pPr>
              <w:spacing w:line="360" w:lineRule="auto"/>
              <w:jc w:val="right"/>
              <w:rPr>
                <w:rFonts w:ascii="Times New Roman" w:eastAsia="Times New Roman" w:hAnsi="Times New Roman" w:cs="Times New Roman"/>
                <w:b/>
                <w:bCs/>
                <w:color w:val="000000" w:themeColor="text1"/>
                <w:sz w:val="22"/>
                <w:szCs w:val="22"/>
                <w:shd w:val="clear" w:color="auto" w:fill="FFFFFF"/>
                <w:lang w:eastAsia="en-GB"/>
              </w:rPr>
            </w:pPr>
          </w:p>
        </w:tc>
      </w:tr>
      <w:tr w:rsidR="009503AE" w:rsidRPr="00AB2C17" w14:paraId="0467D8F5" w14:textId="77777777" w:rsidTr="009503AE">
        <w:tc>
          <w:tcPr>
            <w:tcW w:w="1446" w:type="dxa"/>
            <w:tcBorders>
              <w:top w:val="single" w:sz="4" w:space="0" w:color="auto"/>
            </w:tcBorders>
          </w:tcPr>
          <w:p w14:paraId="37717397" w14:textId="77777777"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Remain</w:t>
            </w:r>
          </w:p>
        </w:tc>
        <w:tc>
          <w:tcPr>
            <w:tcW w:w="1503" w:type="dxa"/>
            <w:tcBorders>
              <w:top w:val="single" w:sz="4" w:space="0" w:color="auto"/>
            </w:tcBorders>
          </w:tcPr>
          <w:p w14:paraId="166C425F" w14:textId="77777777"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17%</w:t>
            </w:r>
          </w:p>
        </w:tc>
        <w:tc>
          <w:tcPr>
            <w:tcW w:w="1460" w:type="dxa"/>
            <w:tcBorders>
              <w:top w:val="single" w:sz="4" w:space="0" w:color="auto"/>
            </w:tcBorders>
            <w:shd w:val="clear" w:color="auto" w:fill="auto"/>
          </w:tcPr>
          <w:p w14:paraId="523AFA2C" w14:textId="4BEDF193" w:rsidR="009503AE" w:rsidRPr="00AB2C17" w:rsidRDefault="00DA46CC"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73</w:t>
            </w:r>
            <w:r w:rsidR="009503AE" w:rsidRPr="00AB2C17">
              <w:rPr>
                <w:rFonts w:ascii="Times New Roman" w:eastAsia="Times New Roman" w:hAnsi="Times New Roman" w:cs="Times New Roman"/>
                <w:color w:val="000000" w:themeColor="text1"/>
                <w:sz w:val="22"/>
                <w:szCs w:val="22"/>
                <w:shd w:val="clear" w:color="auto" w:fill="FFFFFF"/>
                <w:lang w:eastAsia="en-GB"/>
              </w:rPr>
              <w:t>%</w:t>
            </w:r>
          </w:p>
        </w:tc>
        <w:tc>
          <w:tcPr>
            <w:tcW w:w="1398" w:type="dxa"/>
            <w:tcBorders>
              <w:top w:val="single" w:sz="4" w:space="0" w:color="auto"/>
            </w:tcBorders>
          </w:tcPr>
          <w:p w14:paraId="3B9C44A6" w14:textId="598E6628" w:rsidR="009503AE" w:rsidRPr="00AB2C17" w:rsidRDefault="00DA46CC"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6</w:t>
            </w:r>
            <w:r w:rsidR="009503AE" w:rsidRPr="00AB2C17">
              <w:rPr>
                <w:rFonts w:ascii="Times New Roman" w:eastAsia="Times New Roman" w:hAnsi="Times New Roman" w:cs="Times New Roman"/>
                <w:color w:val="000000" w:themeColor="text1"/>
                <w:sz w:val="22"/>
                <w:szCs w:val="22"/>
                <w:shd w:val="clear" w:color="auto" w:fill="FFFFFF"/>
                <w:lang w:eastAsia="en-GB"/>
              </w:rPr>
              <w:t>%</w:t>
            </w:r>
          </w:p>
        </w:tc>
        <w:tc>
          <w:tcPr>
            <w:tcW w:w="1378" w:type="dxa"/>
            <w:tcBorders>
              <w:top w:val="single" w:sz="4" w:space="0" w:color="auto"/>
            </w:tcBorders>
          </w:tcPr>
          <w:p w14:paraId="750265E6" w14:textId="77777777"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4%</w:t>
            </w:r>
          </w:p>
        </w:tc>
        <w:tc>
          <w:tcPr>
            <w:tcW w:w="825" w:type="dxa"/>
            <w:tcBorders>
              <w:top w:val="single" w:sz="4" w:space="0" w:color="auto"/>
            </w:tcBorders>
          </w:tcPr>
          <w:p w14:paraId="55C8C79A" w14:textId="77777777" w:rsidR="009503AE" w:rsidRPr="00AB2C17" w:rsidRDefault="009503AE" w:rsidP="00F7571A">
            <w:pPr>
              <w:spacing w:line="360" w:lineRule="auto"/>
              <w:rPr>
                <w:rFonts w:ascii="Times New Roman" w:eastAsia="Times New Roman" w:hAnsi="Times New Roman" w:cs="Times New Roman"/>
                <w:color w:val="000000" w:themeColor="text1"/>
                <w:shd w:val="clear" w:color="auto" w:fill="FFFFFF"/>
                <w:lang w:eastAsia="en-GB"/>
              </w:rPr>
            </w:pPr>
          </w:p>
        </w:tc>
        <w:tc>
          <w:tcPr>
            <w:tcW w:w="1016" w:type="dxa"/>
            <w:tcBorders>
              <w:top w:val="single" w:sz="4" w:space="0" w:color="auto"/>
            </w:tcBorders>
          </w:tcPr>
          <w:p w14:paraId="780C2156" w14:textId="1633FB9B" w:rsidR="009503AE" w:rsidRPr="00AB2C17" w:rsidRDefault="00DA46CC" w:rsidP="00DA46CC">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752</w:t>
            </w:r>
          </w:p>
        </w:tc>
      </w:tr>
      <w:tr w:rsidR="009503AE" w:rsidRPr="00AB2C17" w14:paraId="68ADF8C0" w14:textId="77777777" w:rsidTr="009503AE">
        <w:tc>
          <w:tcPr>
            <w:tcW w:w="1446" w:type="dxa"/>
            <w:tcBorders>
              <w:bottom w:val="single" w:sz="4" w:space="0" w:color="auto"/>
            </w:tcBorders>
          </w:tcPr>
          <w:p w14:paraId="1EFAD419" w14:textId="77777777" w:rsidR="009503AE" w:rsidRPr="00AB2C17" w:rsidRDefault="009503AE"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Leave</w:t>
            </w:r>
          </w:p>
        </w:tc>
        <w:tc>
          <w:tcPr>
            <w:tcW w:w="1503" w:type="dxa"/>
            <w:tcBorders>
              <w:bottom w:val="single" w:sz="4" w:space="0" w:color="auto"/>
            </w:tcBorders>
          </w:tcPr>
          <w:p w14:paraId="17A77330" w14:textId="3A07561B" w:rsidR="009503AE" w:rsidRPr="00AB2C17" w:rsidRDefault="00DA46CC"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36</w:t>
            </w:r>
            <w:r w:rsidR="009503AE" w:rsidRPr="00AB2C17">
              <w:rPr>
                <w:rFonts w:ascii="Times New Roman" w:eastAsia="Times New Roman" w:hAnsi="Times New Roman" w:cs="Times New Roman"/>
                <w:color w:val="000000" w:themeColor="text1"/>
                <w:sz w:val="22"/>
                <w:szCs w:val="22"/>
                <w:shd w:val="clear" w:color="auto" w:fill="FFFFFF"/>
                <w:lang w:eastAsia="en-GB"/>
              </w:rPr>
              <w:t>%</w:t>
            </w:r>
          </w:p>
        </w:tc>
        <w:tc>
          <w:tcPr>
            <w:tcW w:w="1460" w:type="dxa"/>
            <w:tcBorders>
              <w:bottom w:val="single" w:sz="4" w:space="0" w:color="auto"/>
            </w:tcBorders>
            <w:shd w:val="clear" w:color="auto" w:fill="auto"/>
          </w:tcPr>
          <w:p w14:paraId="0DFAC372" w14:textId="03595F33" w:rsidR="009503AE" w:rsidRPr="00AB2C17" w:rsidRDefault="00DA46CC"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61</w:t>
            </w:r>
            <w:r w:rsidR="009503AE" w:rsidRPr="00AB2C17">
              <w:rPr>
                <w:rFonts w:ascii="Times New Roman" w:eastAsia="Times New Roman" w:hAnsi="Times New Roman" w:cs="Times New Roman"/>
                <w:color w:val="000000" w:themeColor="text1"/>
                <w:sz w:val="22"/>
                <w:szCs w:val="22"/>
                <w:shd w:val="clear" w:color="auto" w:fill="FFFFFF"/>
                <w:lang w:eastAsia="en-GB"/>
              </w:rPr>
              <w:t>%</w:t>
            </w:r>
          </w:p>
        </w:tc>
        <w:tc>
          <w:tcPr>
            <w:tcW w:w="1398" w:type="dxa"/>
            <w:tcBorders>
              <w:bottom w:val="single" w:sz="4" w:space="0" w:color="auto"/>
            </w:tcBorders>
          </w:tcPr>
          <w:p w14:paraId="68289912" w14:textId="16A5CC05" w:rsidR="009503AE" w:rsidRPr="00AB2C17" w:rsidRDefault="00DA46CC"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&lt;</w:t>
            </w:r>
            <w:r w:rsidR="009503AE" w:rsidRPr="00AB2C17">
              <w:rPr>
                <w:rFonts w:ascii="Times New Roman" w:eastAsia="Times New Roman" w:hAnsi="Times New Roman" w:cs="Times New Roman"/>
                <w:color w:val="000000" w:themeColor="text1"/>
                <w:sz w:val="22"/>
                <w:szCs w:val="22"/>
                <w:shd w:val="clear" w:color="auto" w:fill="FFFFFF"/>
                <w:lang w:eastAsia="en-GB"/>
              </w:rPr>
              <w:t>1%</w:t>
            </w:r>
          </w:p>
        </w:tc>
        <w:tc>
          <w:tcPr>
            <w:tcW w:w="1378" w:type="dxa"/>
            <w:tcBorders>
              <w:bottom w:val="single" w:sz="4" w:space="0" w:color="auto"/>
            </w:tcBorders>
          </w:tcPr>
          <w:p w14:paraId="78852B44" w14:textId="54B7A224" w:rsidR="009503AE" w:rsidRPr="00AB2C17" w:rsidRDefault="00DA46CC" w:rsidP="00F7571A">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3</w:t>
            </w:r>
            <w:r w:rsidR="009503AE" w:rsidRPr="00AB2C17">
              <w:rPr>
                <w:rFonts w:ascii="Times New Roman" w:eastAsia="Times New Roman" w:hAnsi="Times New Roman" w:cs="Times New Roman"/>
                <w:color w:val="000000" w:themeColor="text1"/>
                <w:sz w:val="22"/>
                <w:szCs w:val="22"/>
                <w:shd w:val="clear" w:color="auto" w:fill="FFFFFF"/>
                <w:lang w:eastAsia="en-GB"/>
              </w:rPr>
              <w:t>%</w:t>
            </w:r>
          </w:p>
        </w:tc>
        <w:tc>
          <w:tcPr>
            <w:tcW w:w="825" w:type="dxa"/>
            <w:tcBorders>
              <w:bottom w:val="single" w:sz="4" w:space="0" w:color="auto"/>
            </w:tcBorders>
          </w:tcPr>
          <w:p w14:paraId="5C037C89" w14:textId="77777777" w:rsidR="009503AE" w:rsidRPr="00AB2C17" w:rsidRDefault="009503AE" w:rsidP="00F7571A">
            <w:pPr>
              <w:spacing w:line="360" w:lineRule="auto"/>
              <w:rPr>
                <w:rFonts w:ascii="Times New Roman" w:eastAsia="Times New Roman" w:hAnsi="Times New Roman" w:cs="Times New Roman"/>
                <w:color w:val="000000" w:themeColor="text1"/>
                <w:shd w:val="clear" w:color="auto" w:fill="FFFFFF"/>
                <w:lang w:eastAsia="en-GB"/>
              </w:rPr>
            </w:pPr>
          </w:p>
        </w:tc>
        <w:tc>
          <w:tcPr>
            <w:tcW w:w="1016" w:type="dxa"/>
            <w:tcBorders>
              <w:bottom w:val="single" w:sz="4" w:space="0" w:color="auto"/>
            </w:tcBorders>
          </w:tcPr>
          <w:p w14:paraId="27D9C6D7" w14:textId="6EF9DBD6" w:rsidR="009503AE" w:rsidRPr="00AB2C17" w:rsidRDefault="00DA46CC" w:rsidP="00DA46CC">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320</w:t>
            </w:r>
          </w:p>
        </w:tc>
      </w:tr>
    </w:tbl>
    <w:p w14:paraId="752CC500" w14:textId="77777777" w:rsidR="00C830BB" w:rsidRPr="00AB2C17" w:rsidRDefault="00C830BB" w:rsidP="00C830BB">
      <w:pPr>
        <w:spacing w:line="480" w:lineRule="auto"/>
        <w:rPr>
          <w:rFonts w:ascii="Times New Roman" w:eastAsia="Times New Roman" w:hAnsi="Times New Roman" w:cs="Times New Roman"/>
          <w:color w:val="000000" w:themeColor="text1"/>
          <w:shd w:val="clear" w:color="auto" w:fill="FFFFFF"/>
          <w:lang w:eastAsia="en-GB"/>
        </w:rPr>
      </w:pPr>
    </w:p>
    <w:p w14:paraId="4B605AF9" w14:textId="77777777" w:rsidR="002309C2" w:rsidRPr="00AB2C17" w:rsidRDefault="002309C2">
      <w:pPr>
        <w:rPr>
          <w:rFonts w:ascii="Times New Roman" w:hAnsi="Times New Roman" w:cs="Times New Roman"/>
          <w:i/>
          <w:iCs/>
          <w:color w:val="000000" w:themeColor="text1"/>
          <w:sz w:val="18"/>
          <w:szCs w:val="18"/>
        </w:rPr>
      </w:pPr>
      <w:r w:rsidRPr="00AB2C17">
        <w:rPr>
          <w:rFonts w:ascii="Times New Roman" w:hAnsi="Times New Roman" w:cs="Times New Roman"/>
          <w:color w:val="000000" w:themeColor="text1"/>
        </w:rPr>
        <w:br w:type="page"/>
      </w:r>
    </w:p>
    <w:p w14:paraId="50E39270" w14:textId="74E7C66E" w:rsidR="0052286E" w:rsidRPr="00AB2C17" w:rsidRDefault="0052286E" w:rsidP="0052286E">
      <w:pPr>
        <w:pStyle w:val="Caption"/>
        <w:keepNext/>
        <w:spacing w:line="360" w:lineRule="auto"/>
        <w:rPr>
          <w:rFonts w:ascii="Times New Roman" w:hAnsi="Times New Roman" w:cs="Times New Roman"/>
          <w:color w:val="000000" w:themeColor="text1"/>
        </w:rPr>
      </w:pPr>
    </w:p>
    <w:p w14:paraId="445AA81C" w14:textId="19C8A3B9" w:rsidR="00AB2C17" w:rsidRPr="00AB2C17" w:rsidRDefault="00AB2C17" w:rsidP="00AB2C17">
      <w:pPr>
        <w:pStyle w:val="Caption"/>
        <w:keepNext/>
        <w:rPr>
          <w:rFonts w:ascii="Times New Roman" w:hAnsi="Times New Roman" w:cs="Times New Roman"/>
          <w:color w:val="000000" w:themeColor="text1"/>
        </w:rPr>
      </w:pPr>
      <w:r w:rsidRPr="00AB2C17">
        <w:rPr>
          <w:rFonts w:ascii="Times New Roman" w:hAnsi="Times New Roman" w:cs="Times New Roman"/>
          <w:color w:val="000000" w:themeColor="text1"/>
        </w:rPr>
        <w:t xml:space="preserve">Table </w:t>
      </w:r>
      <w:r w:rsidRPr="00AB2C17">
        <w:rPr>
          <w:rFonts w:ascii="Times New Roman" w:hAnsi="Times New Roman" w:cs="Times New Roman"/>
          <w:color w:val="000000" w:themeColor="text1"/>
        </w:rPr>
        <w:fldChar w:fldCharType="begin"/>
      </w:r>
      <w:r w:rsidRPr="00AB2C17">
        <w:rPr>
          <w:rFonts w:ascii="Times New Roman" w:hAnsi="Times New Roman" w:cs="Times New Roman"/>
          <w:color w:val="000000" w:themeColor="text1"/>
        </w:rPr>
        <w:instrText xml:space="preserve"> SEQ Table \* ARABIC </w:instrText>
      </w:r>
      <w:r w:rsidRPr="00AB2C17">
        <w:rPr>
          <w:rFonts w:ascii="Times New Roman" w:hAnsi="Times New Roman" w:cs="Times New Roman"/>
          <w:color w:val="000000" w:themeColor="text1"/>
        </w:rPr>
        <w:fldChar w:fldCharType="separate"/>
      </w:r>
      <w:r w:rsidRPr="00AB2C17">
        <w:rPr>
          <w:rFonts w:ascii="Times New Roman" w:hAnsi="Times New Roman" w:cs="Times New Roman"/>
          <w:noProof/>
          <w:color w:val="000000" w:themeColor="text1"/>
        </w:rPr>
        <w:t>2</w:t>
      </w:r>
      <w:r w:rsidRPr="00AB2C17">
        <w:rPr>
          <w:rFonts w:ascii="Times New Roman" w:hAnsi="Times New Roman" w:cs="Times New Roman"/>
          <w:color w:val="000000" w:themeColor="text1"/>
        </w:rPr>
        <w:fldChar w:fldCharType="end"/>
      </w:r>
      <w:r w:rsidRPr="00AB2C17">
        <w:rPr>
          <w:rFonts w:ascii="Times New Roman" w:hAnsi="Times New Roman" w:cs="Times New Roman"/>
          <w:color w:val="000000" w:themeColor="text1"/>
        </w:rPr>
        <w:t>: Proportion of voters who supported Remain and Leave in 2015, 2017 and 2019 general elections, ethnic minority respondents only. Data: Understanding Society, weighted estimate</w:t>
      </w:r>
      <w:bookmarkStart w:id="0" w:name="_GoBack"/>
      <w:bookmarkEnd w:id="0"/>
      <w:r w:rsidRPr="00AB2C17">
        <w:rPr>
          <w:rFonts w:ascii="Times New Roman" w:hAnsi="Times New Roman" w:cs="Times New Roman"/>
          <w:color w:val="000000" w:themeColor="text1"/>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1536"/>
        <w:gridCol w:w="1805"/>
        <w:gridCol w:w="1477"/>
      </w:tblGrid>
      <w:tr w:rsidR="00AB2C17" w:rsidRPr="00AB2C17" w14:paraId="7E9534FC" w14:textId="77777777" w:rsidTr="002309C2">
        <w:tc>
          <w:tcPr>
            <w:tcW w:w="1561" w:type="dxa"/>
            <w:tcBorders>
              <w:top w:val="single" w:sz="4" w:space="0" w:color="auto"/>
              <w:bottom w:val="single" w:sz="4" w:space="0" w:color="auto"/>
            </w:tcBorders>
          </w:tcPr>
          <w:p w14:paraId="4575A974" w14:textId="77777777" w:rsidR="0052286E" w:rsidRPr="00AB2C17" w:rsidRDefault="0052286E" w:rsidP="008E29FC">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2015</w:t>
            </w:r>
          </w:p>
        </w:tc>
        <w:tc>
          <w:tcPr>
            <w:tcW w:w="1536" w:type="dxa"/>
            <w:tcBorders>
              <w:top w:val="single" w:sz="4" w:space="0" w:color="auto"/>
              <w:bottom w:val="single" w:sz="4" w:space="0" w:color="auto"/>
            </w:tcBorders>
          </w:tcPr>
          <w:p w14:paraId="4DF2AE04" w14:textId="2187BD18" w:rsidR="0052286E" w:rsidRPr="00AB2C17" w:rsidRDefault="0052286E" w:rsidP="008E29FC">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Remain</w:t>
            </w:r>
          </w:p>
        </w:tc>
        <w:tc>
          <w:tcPr>
            <w:tcW w:w="1805" w:type="dxa"/>
            <w:tcBorders>
              <w:top w:val="single" w:sz="4" w:space="0" w:color="auto"/>
              <w:bottom w:val="single" w:sz="4" w:space="0" w:color="auto"/>
            </w:tcBorders>
            <w:shd w:val="clear" w:color="auto" w:fill="auto"/>
          </w:tcPr>
          <w:p w14:paraId="720AB85A" w14:textId="59C072E2" w:rsidR="0052286E" w:rsidRPr="00AB2C17" w:rsidRDefault="0052286E" w:rsidP="008E29FC">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Leave</w:t>
            </w:r>
          </w:p>
        </w:tc>
        <w:tc>
          <w:tcPr>
            <w:tcW w:w="1477" w:type="dxa"/>
            <w:tcBorders>
              <w:top w:val="single" w:sz="4" w:space="0" w:color="auto"/>
              <w:bottom w:val="single" w:sz="4" w:space="0" w:color="auto"/>
            </w:tcBorders>
          </w:tcPr>
          <w:p w14:paraId="0863FAB2" w14:textId="2C7E9F60" w:rsidR="0052286E" w:rsidRPr="00AB2C17" w:rsidRDefault="0052286E" w:rsidP="00927113">
            <w:pPr>
              <w:spacing w:line="360" w:lineRule="auto"/>
              <w:jc w:val="right"/>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 xml:space="preserve">N </w:t>
            </w:r>
          </w:p>
        </w:tc>
      </w:tr>
      <w:tr w:rsidR="00AB2C17" w:rsidRPr="00AB2C17" w14:paraId="40FA1170" w14:textId="77777777" w:rsidTr="002309C2">
        <w:tc>
          <w:tcPr>
            <w:tcW w:w="1561" w:type="dxa"/>
            <w:tcBorders>
              <w:top w:val="single" w:sz="4" w:space="0" w:color="auto"/>
            </w:tcBorders>
          </w:tcPr>
          <w:p w14:paraId="3D1E9BD6" w14:textId="30A24D13" w:rsidR="0052286E" w:rsidRPr="00AB2C17" w:rsidRDefault="0052286E"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Conservative</w:t>
            </w:r>
          </w:p>
        </w:tc>
        <w:tc>
          <w:tcPr>
            <w:tcW w:w="1536" w:type="dxa"/>
            <w:tcBorders>
              <w:top w:val="single" w:sz="4" w:space="0" w:color="auto"/>
            </w:tcBorders>
          </w:tcPr>
          <w:p w14:paraId="5A4D36FC" w14:textId="7FAC8B34" w:rsidR="0052286E"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53</w:t>
            </w:r>
            <w:r w:rsidR="00672F70" w:rsidRPr="00AB2C17">
              <w:rPr>
                <w:rFonts w:ascii="Times New Roman" w:eastAsia="Times New Roman" w:hAnsi="Times New Roman" w:cs="Times New Roman"/>
                <w:color w:val="000000" w:themeColor="text1"/>
                <w:sz w:val="22"/>
                <w:szCs w:val="22"/>
                <w:shd w:val="clear" w:color="auto" w:fill="FFFFFF"/>
                <w:lang w:eastAsia="en-GB"/>
              </w:rPr>
              <w:t>%</w:t>
            </w:r>
          </w:p>
        </w:tc>
        <w:tc>
          <w:tcPr>
            <w:tcW w:w="1805" w:type="dxa"/>
            <w:tcBorders>
              <w:top w:val="single" w:sz="4" w:space="0" w:color="auto"/>
            </w:tcBorders>
            <w:shd w:val="clear" w:color="auto" w:fill="auto"/>
          </w:tcPr>
          <w:p w14:paraId="5F433E02" w14:textId="67AE0748" w:rsidR="0052286E"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47</w:t>
            </w:r>
            <w:r w:rsidR="00672F70" w:rsidRPr="00AB2C17">
              <w:rPr>
                <w:rFonts w:ascii="Times New Roman" w:eastAsia="Times New Roman" w:hAnsi="Times New Roman" w:cs="Times New Roman"/>
                <w:color w:val="000000" w:themeColor="text1"/>
                <w:sz w:val="22"/>
                <w:szCs w:val="22"/>
                <w:shd w:val="clear" w:color="auto" w:fill="FFFFFF"/>
                <w:lang w:eastAsia="en-GB"/>
              </w:rPr>
              <w:t>%</w:t>
            </w:r>
          </w:p>
        </w:tc>
        <w:tc>
          <w:tcPr>
            <w:tcW w:w="1477" w:type="dxa"/>
            <w:tcBorders>
              <w:top w:val="single" w:sz="4" w:space="0" w:color="auto"/>
            </w:tcBorders>
          </w:tcPr>
          <w:p w14:paraId="42EAB3A1" w14:textId="110AF336" w:rsidR="0052286E" w:rsidRPr="00AB2C17" w:rsidRDefault="00B13D2D" w:rsidP="00927113">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102</w:t>
            </w:r>
            <w:r w:rsidR="002309C2" w:rsidRPr="00AB2C17">
              <w:rPr>
                <w:rFonts w:ascii="Times New Roman" w:eastAsia="Times New Roman" w:hAnsi="Times New Roman" w:cs="Times New Roman"/>
                <w:color w:val="000000" w:themeColor="text1"/>
                <w:sz w:val="22"/>
                <w:szCs w:val="22"/>
                <w:shd w:val="clear" w:color="auto" w:fill="FFFFFF"/>
                <w:lang w:eastAsia="en-GB"/>
              </w:rPr>
              <w:t xml:space="preserve"> </w:t>
            </w:r>
          </w:p>
        </w:tc>
      </w:tr>
      <w:tr w:rsidR="00AB2C17" w:rsidRPr="00AB2C17" w14:paraId="7D056FC3" w14:textId="77777777" w:rsidTr="002309C2">
        <w:tc>
          <w:tcPr>
            <w:tcW w:w="1561" w:type="dxa"/>
          </w:tcPr>
          <w:p w14:paraId="547BC962" w14:textId="1EE48EDE" w:rsidR="0052286E" w:rsidRPr="00AB2C17" w:rsidRDefault="0052286E"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Labour</w:t>
            </w:r>
          </w:p>
        </w:tc>
        <w:tc>
          <w:tcPr>
            <w:tcW w:w="1536" w:type="dxa"/>
          </w:tcPr>
          <w:p w14:paraId="2BE98A52" w14:textId="793972BC" w:rsidR="0052286E"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68</w:t>
            </w:r>
            <w:r w:rsidR="00672F70" w:rsidRPr="00AB2C17">
              <w:rPr>
                <w:rFonts w:ascii="Times New Roman" w:eastAsia="Times New Roman" w:hAnsi="Times New Roman" w:cs="Times New Roman"/>
                <w:color w:val="000000" w:themeColor="text1"/>
                <w:sz w:val="22"/>
                <w:szCs w:val="22"/>
                <w:shd w:val="clear" w:color="auto" w:fill="FFFFFF"/>
                <w:lang w:eastAsia="en-GB"/>
              </w:rPr>
              <w:t>%</w:t>
            </w:r>
          </w:p>
        </w:tc>
        <w:tc>
          <w:tcPr>
            <w:tcW w:w="1805" w:type="dxa"/>
            <w:shd w:val="clear" w:color="auto" w:fill="auto"/>
          </w:tcPr>
          <w:p w14:paraId="396C3DD6" w14:textId="6DF8C93B" w:rsidR="0052286E"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32</w:t>
            </w:r>
            <w:r w:rsidR="00672F70" w:rsidRPr="00AB2C17">
              <w:rPr>
                <w:rFonts w:ascii="Times New Roman" w:eastAsia="Times New Roman" w:hAnsi="Times New Roman" w:cs="Times New Roman"/>
                <w:color w:val="000000" w:themeColor="text1"/>
                <w:sz w:val="22"/>
                <w:szCs w:val="22"/>
                <w:shd w:val="clear" w:color="auto" w:fill="FFFFFF"/>
                <w:lang w:eastAsia="en-GB"/>
              </w:rPr>
              <w:t>%</w:t>
            </w:r>
          </w:p>
        </w:tc>
        <w:tc>
          <w:tcPr>
            <w:tcW w:w="1477" w:type="dxa"/>
          </w:tcPr>
          <w:p w14:paraId="2462CAA9" w14:textId="5E090A6B" w:rsidR="0052286E" w:rsidRPr="00AB2C17" w:rsidRDefault="00B13D2D" w:rsidP="00927113">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300</w:t>
            </w:r>
            <w:r w:rsidR="002309C2" w:rsidRPr="00AB2C17">
              <w:rPr>
                <w:rFonts w:ascii="Times New Roman" w:eastAsia="Times New Roman" w:hAnsi="Times New Roman" w:cs="Times New Roman"/>
                <w:color w:val="000000" w:themeColor="text1"/>
                <w:sz w:val="22"/>
                <w:szCs w:val="22"/>
                <w:shd w:val="clear" w:color="auto" w:fill="FFFFFF"/>
                <w:lang w:eastAsia="en-GB"/>
              </w:rPr>
              <w:t xml:space="preserve"> </w:t>
            </w:r>
          </w:p>
        </w:tc>
      </w:tr>
      <w:tr w:rsidR="00AB2C17" w:rsidRPr="00AB2C17" w14:paraId="1DF36AA7" w14:textId="77777777" w:rsidTr="002309C2">
        <w:tc>
          <w:tcPr>
            <w:tcW w:w="1561" w:type="dxa"/>
          </w:tcPr>
          <w:p w14:paraId="319A2827" w14:textId="42852449" w:rsidR="00672F70" w:rsidRPr="00AB2C17" w:rsidRDefault="002309C2"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Lib Dem</w:t>
            </w:r>
          </w:p>
        </w:tc>
        <w:tc>
          <w:tcPr>
            <w:tcW w:w="1536" w:type="dxa"/>
          </w:tcPr>
          <w:p w14:paraId="02032495" w14:textId="0ECBED73" w:rsidR="00672F70"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84</w:t>
            </w:r>
            <w:r w:rsidR="002309C2" w:rsidRPr="00AB2C17">
              <w:rPr>
                <w:rFonts w:ascii="Times New Roman" w:eastAsia="Times New Roman" w:hAnsi="Times New Roman" w:cs="Times New Roman"/>
                <w:color w:val="000000" w:themeColor="text1"/>
                <w:sz w:val="22"/>
                <w:szCs w:val="22"/>
                <w:shd w:val="clear" w:color="auto" w:fill="FFFFFF"/>
                <w:lang w:eastAsia="en-GB"/>
              </w:rPr>
              <w:t>%</w:t>
            </w:r>
          </w:p>
        </w:tc>
        <w:tc>
          <w:tcPr>
            <w:tcW w:w="1805" w:type="dxa"/>
            <w:shd w:val="clear" w:color="auto" w:fill="auto"/>
          </w:tcPr>
          <w:p w14:paraId="4D9F1563" w14:textId="492E95A5" w:rsidR="00672F70"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16</w:t>
            </w:r>
            <w:r w:rsidR="002309C2" w:rsidRPr="00AB2C17">
              <w:rPr>
                <w:rFonts w:ascii="Times New Roman" w:eastAsia="Times New Roman" w:hAnsi="Times New Roman" w:cs="Times New Roman"/>
                <w:color w:val="000000" w:themeColor="text1"/>
                <w:sz w:val="22"/>
                <w:szCs w:val="22"/>
                <w:shd w:val="clear" w:color="auto" w:fill="FFFFFF"/>
                <w:lang w:eastAsia="en-GB"/>
              </w:rPr>
              <w:t>%</w:t>
            </w:r>
          </w:p>
        </w:tc>
        <w:tc>
          <w:tcPr>
            <w:tcW w:w="1477" w:type="dxa"/>
          </w:tcPr>
          <w:p w14:paraId="6B0445B7" w14:textId="13E75098" w:rsidR="00672F70" w:rsidRPr="00AB2C17" w:rsidRDefault="00B13D2D" w:rsidP="00927113">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25</w:t>
            </w:r>
          </w:p>
        </w:tc>
      </w:tr>
      <w:tr w:rsidR="00AB2C17" w:rsidRPr="00AB2C17" w14:paraId="77425A42" w14:textId="77777777" w:rsidTr="002309C2">
        <w:tc>
          <w:tcPr>
            <w:tcW w:w="1561" w:type="dxa"/>
            <w:tcBorders>
              <w:bottom w:val="single" w:sz="4" w:space="0" w:color="auto"/>
            </w:tcBorders>
          </w:tcPr>
          <w:p w14:paraId="75304926" w14:textId="6DD7B5C9" w:rsidR="00672F70" w:rsidRPr="00AB2C17" w:rsidRDefault="002309C2"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Other</w:t>
            </w:r>
          </w:p>
        </w:tc>
        <w:tc>
          <w:tcPr>
            <w:tcW w:w="1536" w:type="dxa"/>
            <w:tcBorders>
              <w:bottom w:val="single" w:sz="4" w:space="0" w:color="auto"/>
            </w:tcBorders>
          </w:tcPr>
          <w:p w14:paraId="58731A15" w14:textId="24191C38" w:rsidR="00672F70"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6</w:t>
            </w:r>
            <w:r w:rsidR="002309C2" w:rsidRPr="00AB2C17">
              <w:rPr>
                <w:rFonts w:ascii="Times New Roman" w:eastAsia="Times New Roman" w:hAnsi="Times New Roman" w:cs="Times New Roman"/>
                <w:color w:val="000000" w:themeColor="text1"/>
                <w:sz w:val="22"/>
                <w:szCs w:val="22"/>
                <w:shd w:val="clear" w:color="auto" w:fill="FFFFFF"/>
                <w:lang w:eastAsia="en-GB"/>
              </w:rPr>
              <w:t>8%</w:t>
            </w:r>
          </w:p>
        </w:tc>
        <w:tc>
          <w:tcPr>
            <w:tcW w:w="1805" w:type="dxa"/>
            <w:tcBorders>
              <w:bottom w:val="single" w:sz="4" w:space="0" w:color="auto"/>
            </w:tcBorders>
            <w:shd w:val="clear" w:color="auto" w:fill="auto"/>
          </w:tcPr>
          <w:p w14:paraId="52BC8B64" w14:textId="3C0D581F" w:rsidR="00672F70"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32</w:t>
            </w:r>
            <w:r w:rsidR="002309C2" w:rsidRPr="00AB2C17">
              <w:rPr>
                <w:rFonts w:ascii="Times New Roman" w:eastAsia="Times New Roman" w:hAnsi="Times New Roman" w:cs="Times New Roman"/>
                <w:color w:val="000000" w:themeColor="text1"/>
                <w:sz w:val="22"/>
                <w:szCs w:val="22"/>
                <w:shd w:val="clear" w:color="auto" w:fill="FFFFFF"/>
                <w:lang w:eastAsia="en-GB"/>
              </w:rPr>
              <w:t>%</w:t>
            </w:r>
          </w:p>
        </w:tc>
        <w:tc>
          <w:tcPr>
            <w:tcW w:w="1477" w:type="dxa"/>
            <w:tcBorders>
              <w:bottom w:val="single" w:sz="4" w:space="0" w:color="auto"/>
            </w:tcBorders>
          </w:tcPr>
          <w:p w14:paraId="263C6D85" w14:textId="270FD6C2" w:rsidR="00672F70" w:rsidRPr="00AB2C17" w:rsidRDefault="00B13D2D" w:rsidP="00927113">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26</w:t>
            </w:r>
          </w:p>
        </w:tc>
      </w:tr>
      <w:tr w:rsidR="00AB2C17" w:rsidRPr="00AB2C17" w14:paraId="77AD436F" w14:textId="77777777" w:rsidTr="002309C2">
        <w:tc>
          <w:tcPr>
            <w:tcW w:w="1561" w:type="dxa"/>
            <w:tcBorders>
              <w:top w:val="single" w:sz="4" w:space="0" w:color="auto"/>
              <w:bottom w:val="single" w:sz="4" w:space="0" w:color="auto"/>
            </w:tcBorders>
          </w:tcPr>
          <w:p w14:paraId="549D78C9" w14:textId="77777777" w:rsidR="0052286E" w:rsidRPr="00AB2C17" w:rsidRDefault="0052286E" w:rsidP="008E29FC">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2017</w:t>
            </w:r>
          </w:p>
        </w:tc>
        <w:tc>
          <w:tcPr>
            <w:tcW w:w="1536" w:type="dxa"/>
            <w:tcBorders>
              <w:top w:val="single" w:sz="4" w:space="0" w:color="auto"/>
              <w:bottom w:val="single" w:sz="4" w:space="0" w:color="auto"/>
            </w:tcBorders>
          </w:tcPr>
          <w:p w14:paraId="382F950E" w14:textId="26879B90" w:rsidR="0052286E" w:rsidRPr="00AB2C17" w:rsidRDefault="0052286E" w:rsidP="008E29FC">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Remain</w:t>
            </w:r>
          </w:p>
        </w:tc>
        <w:tc>
          <w:tcPr>
            <w:tcW w:w="1805" w:type="dxa"/>
            <w:tcBorders>
              <w:top w:val="single" w:sz="4" w:space="0" w:color="auto"/>
              <w:bottom w:val="single" w:sz="4" w:space="0" w:color="auto"/>
            </w:tcBorders>
            <w:shd w:val="clear" w:color="auto" w:fill="auto"/>
          </w:tcPr>
          <w:p w14:paraId="1476125B" w14:textId="435B0558" w:rsidR="0052286E" w:rsidRPr="00AB2C17" w:rsidRDefault="0052286E" w:rsidP="008E29FC">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Leave</w:t>
            </w:r>
          </w:p>
        </w:tc>
        <w:tc>
          <w:tcPr>
            <w:tcW w:w="1477" w:type="dxa"/>
            <w:tcBorders>
              <w:top w:val="single" w:sz="4" w:space="0" w:color="auto"/>
              <w:bottom w:val="single" w:sz="4" w:space="0" w:color="auto"/>
            </w:tcBorders>
          </w:tcPr>
          <w:p w14:paraId="3F2132F9" w14:textId="77777777" w:rsidR="0052286E" w:rsidRPr="00AB2C17" w:rsidRDefault="0052286E" w:rsidP="00927113">
            <w:pPr>
              <w:spacing w:line="360" w:lineRule="auto"/>
              <w:jc w:val="right"/>
              <w:rPr>
                <w:rFonts w:ascii="Times New Roman" w:eastAsia="Times New Roman" w:hAnsi="Times New Roman" w:cs="Times New Roman"/>
                <w:b/>
                <w:bCs/>
                <w:color w:val="000000" w:themeColor="text1"/>
                <w:sz w:val="22"/>
                <w:szCs w:val="22"/>
                <w:shd w:val="clear" w:color="auto" w:fill="FFFFFF"/>
                <w:lang w:eastAsia="en-GB"/>
              </w:rPr>
            </w:pPr>
          </w:p>
        </w:tc>
      </w:tr>
      <w:tr w:rsidR="00AB2C17" w:rsidRPr="00AB2C17" w14:paraId="49D092AA" w14:textId="77777777" w:rsidTr="002309C2">
        <w:tc>
          <w:tcPr>
            <w:tcW w:w="1561" w:type="dxa"/>
            <w:tcBorders>
              <w:top w:val="single" w:sz="4" w:space="0" w:color="auto"/>
            </w:tcBorders>
          </w:tcPr>
          <w:p w14:paraId="4D00F661" w14:textId="73E127C2" w:rsidR="0052286E" w:rsidRPr="00AB2C17" w:rsidRDefault="0052286E"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Conservative</w:t>
            </w:r>
          </w:p>
        </w:tc>
        <w:tc>
          <w:tcPr>
            <w:tcW w:w="1536" w:type="dxa"/>
            <w:tcBorders>
              <w:top w:val="single" w:sz="4" w:space="0" w:color="auto"/>
            </w:tcBorders>
          </w:tcPr>
          <w:p w14:paraId="38F8C739" w14:textId="3E81BE5B" w:rsidR="0052286E"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54</w:t>
            </w:r>
            <w:r w:rsidR="00672F70" w:rsidRPr="00AB2C17">
              <w:rPr>
                <w:rFonts w:ascii="Times New Roman" w:eastAsia="Times New Roman" w:hAnsi="Times New Roman" w:cs="Times New Roman"/>
                <w:color w:val="000000" w:themeColor="text1"/>
                <w:sz w:val="22"/>
                <w:szCs w:val="22"/>
                <w:shd w:val="clear" w:color="auto" w:fill="FFFFFF"/>
                <w:lang w:eastAsia="en-GB"/>
              </w:rPr>
              <w:t>%</w:t>
            </w:r>
          </w:p>
        </w:tc>
        <w:tc>
          <w:tcPr>
            <w:tcW w:w="1805" w:type="dxa"/>
            <w:tcBorders>
              <w:top w:val="single" w:sz="4" w:space="0" w:color="auto"/>
            </w:tcBorders>
            <w:shd w:val="clear" w:color="auto" w:fill="auto"/>
          </w:tcPr>
          <w:p w14:paraId="3AFFA355" w14:textId="7CECDB8A" w:rsidR="0052286E"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46</w:t>
            </w:r>
            <w:r w:rsidR="00672F70" w:rsidRPr="00AB2C17">
              <w:rPr>
                <w:rFonts w:ascii="Times New Roman" w:eastAsia="Times New Roman" w:hAnsi="Times New Roman" w:cs="Times New Roman"/>
                <w:color w:val="000000" w:themeColor="text1"/>
                <w:sz w:val="22"/>
                <w:szCs w:val="22"/>
                <w:shd w:val="clear" w:color="auto" w:fill="FFFFFF"/>
                <w:lang w:eastAsia="en-GB"/>
              </w:rPr>
              <w:t>%</w:t>
            </w:r>
          </w:p>
        </w:tc>
        <w:tc>
          <w:tcPr>
            <w:tcW w:w="1477" w:type="dxa"/>
            <w:tcBorders>
              <w:top w:val="single" w:sz="4" w:space="0" w:color="auto"/>
            </w:tcBorders>
          </w:tcPr>
          <w:p w14:paraId="651DF86E" w14:textId="481FB5BA" w:rsidR="0052286E" w:rsidRPr="00AB2C17" w:rsidRDefault="00B13D2D" w:rsidP="00927113">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338</w:t>
            </w:r>
            <w:r w:rsidR="002309C2" w:rsidRPr="00AB2C17">
              <w:rPr>
                <w:rFonts w:ascii="Times New Roman" w:eastAsia="Times New Roman" w:hAnsi="Times New Roman" w:cs="Times New Roman"/>
                <w:color w:val="000000" w:themeColor="text1"/>
                <w:sz w:val="22"/>
                <w:szCs w:val="22"/>
                <w:shd w:val="clear" w:color="auto" w:fill="FFFFFF"/>
                <w:lang w:eastAsia="en-GB"/>
              </w:rPr>
              <w:t xml:space="preserve"> </w:t>
            </w:r>
          </w:p>
        </w:tc>
      </w:tr>
      <w:tr w:rsidR="00AB2C17" w:rsidRPr="00AB2C17" w14:paraId="378BC864" w14:textId="77777777" w:rsidTr="002309C2">
        <w:tc>
          <w:tcPr>
            <w:tcW w:w="1561" w:type="dxa"/>
          </w:tcPr>
          <w:p w14:paraId="61976384" w14:textId="418EFF86" w:rsidR="0052286E" w:rsidRPr="00AB2C17" w:rsidRDefault="0052286E"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Labour</w:t>
            </w:r>
          </w:p>
        </w:tc>
        <w:tc>
          <w:tcPr>
            <w:tcW w:w="1536" w:type="dxa"/>
          </w:tcPr>
          <w:p w14:paraId="07D19E0A" w14:textId="381F71D0" w:rsidR="0052286E"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74</w:t>
            </w:r>
            <w:r w:rsidR="00672F70" w:rsidRPr="00AB2C17">
              <w:rPr>
                <w:rFonts w:ascii="Times New Roman" w:eastAsia="Times New Roman" w:hAnsi="Times New Roman" w:cs="Times New Roman"/>
                <w:color w:val="000000" w:themeColor="text1"/>
                <w:sz w:val="22"/>
                <w:szCs w:val="22"/>
                <w:shd w:val="clear" w:color="auto" w:fill="FFFFFF"/>
                <w:lang w:eastAsia="en-GB"/>
              </w:rPr>
              <w:t>%</w:t>
            </w:r>
          </w:p>
        </w:tc>
        <w:tc>
          <w:tcPr>
            <w:tcW w:w="1805" w:type="dxa"/>
            <w:shd w:val="clear" w:color="auto" w:fill="auto"/>
          </w:tcPr>
          <w:p w14:paraId="0FA8AC5E" w14:textId="4DC869E3" w:rsidR="0052286E" w:rsidRPr="00AB2C17" w:rsidRDefault="00672F70" w:rsidP="00B13D2D">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2</w:t>
            </w:r>
            <w:r w:rsidR="00B13D2D">
              <w:rPr>
                <w:rFonts w:ascii="Times New Roman" w:eastAsia="Times New Roman" w:hAnsi="Times New Roman" w:cs="Times New Roman"/>
                <w:color w:val="000000" w:themeColor="text1"/>
                <w:sz w:val="22"/>
                <w:szCs w:val="22"/>
                <w:shd w:val="clear" w:color="auto" w:fill="FFFFFF"/>
                <w:lang w:eastAsia="en-GB"/>
              </w:rPr>
              <w:t>6</w:t>
            </w:r>
            <w:r w:rsidRPr="00AB2C17">
              <w:rPr>
                <w:rFonts w:ascii="Times New Roman" w:eastAsia="Times New Roman" w:hAnsi="Times New Roman" w:cs="Times New Roman"/>
                <w:color w:val="000000" w:themeColor="text1"/>
                <w:sz w:val="22"/>
                <w:szCs w:val="22"/>
                <w:shd w:val="clear" w:color="auto" w:fill="FFFFFF"/>
                <w:lang w:eastAsia="en-GB"/>
              </w:rPr>
              <w:t>%</w:t>
            </w:r>
          </w:p>
        </w:tc>
        <w:tc>
          <w:tcPr>
            <w:tcW w:w="1477" w:type="dxa"/>
          </w:tcPr>
          <w:p w14:paraId="2DC69D42" w14:textId="3B1A321E" w:rsidR="0052286E" w:rsidRPr="00AB2C17" w:rsidRDefault="00B13D2D" w:rsidP="00927113">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1,604</w:t>
            </w:r>
            <w:r w:rsidR="002309C2" w:rsidRPr="00AB2C17">
              <w:rPr>
                <w:rFonts w:ascii="Times New Roman" w:eastAsia="Times New Roman" w:hAnsi="Times New Roman" w:cs="Times New Roman"/>
                <w:color w:val="000000" w:themeColor="text1"/>
                <w:sz w:val="22"/>
                <w:szCs w:val="22"/>
                <w:shd w:val="clear" w:color="auto" w:fill="FFFFFF"/>
                <w:lang w:eastAsia="en-GB"/>
              </w:rPr>
              <w:t xml:space="preserve"> </w:t>
            </w:r>
          </w:p>
        </w:tc>
      </w:tr>
      <w:tr w:rsidR="00AB2C17" w:rsidRPr="00AB2C17" w14:paraId="7917230E" w14:textId="77777777" w:rsidTr="002309C2">
        <w:tc>
          <w:tcPr>
            <w:tcW w:w="1561" w:type="dxa"/>
          </w:tcPr>
          <w:p w14:paraId="3831DC0D" w14:textId="5D068CDB" w:rsidR="00672F70" w:rsidRPr="00AB2C17" w:rsidRDefault="002309C2"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Lib Dem</w:t>
            </w:r>
          </w:p>
        </w:tc>
        <w:tc>
          <w:tcPr>
            <w:tcW w:w="1536" w:type="dxa"/>
          </w:tcPr>
          <w:p w14:paraId="6BD3A5AD" w14:textId="34CE19CE" w:rsidR="00672F70"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67</w:t>
            </w:r>
            <w:r w:rsidR="002309C2" w:rsidRPr="00AB2C17">
              <w:rPr>
                <w:rFonts w:ascii="Times New Roman" w:eastAsia="Times New Roman" w:hAnsi="Times New Roman" w:cs="Times New Roman"/>
                <w:color w:val="000000" w:themeColor="text1"/>
                <w:sz w:val="22"/>
                <w:szCs w:val="22"/>
                <w:shd w:val="clear" w:color="auto" w:fill="FFFFFF"/>
                <w:lang w:eastAsia="en-GB"/>
              </w:rPr>
              <w:t>%</w:t>
            </w:r>
          </w:p>
        </w:tc>
        <w:tc>
          <w:tcPr>
            <w:tcW w:w="1805" w:type="dxa"/>
            <w:shd w:val="clear" w:color="auto" w:fill="auto"/>
          </w:tcPr>
          <w:p w14:paraId="3187DE93" w14:textId="2E651A6B" w:rsidR="00672F70"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33</w:t>
            </w:r>
            <w:r w:rsidR="002309C2" w:rsidRPr="00AB2C17">
              <w:rPr>
                <w:rFonts w:ascii="Times New Roman" w:eastAsia="Times New Roman" w:hAnsi="Times New Roman" w:cs="Times New Roman"/>
                <w:color w:val="000000" w:themeColor="text1"/>
                <w:sz w:val="22"/>
                <w:szCs w:val="22"/>
                <w:shd w:val="clear" w:color="auto" w:fill="FFFFFF"/>
                <w:lang w:eastAsia="en-GB"/>
              </w:rPr>
              <w:t>%</w:t>
            </w:r>
          </w:p>
        </w:tc>
        <w:tc>
          <w:tcPr>
            <w:tcW w:w="1477" w:type="dxa"/>
          </w:tcPr>
          <w:p w14:paraId="447289A4" w14:textId="70E27270" w:rsidR="00672F70" w:rsidRPr="00AB2C17" w:rsidRDefault="00B13D2D" w:rsidP="00927113">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17</w:t>
            </w:r>
            <w:r w:rsidR="002309C2" w:rsidRPr="00AB2C17">
              <w:rPr>
                <w:rFonts w:ascii="Times New Roman" w:eastAsia="Times New Roman" w:hAnsi="Times New Roman" w:cs="Times New Roman"/>
                <w:color w:val="000000" w:themeColor="text1"/>
                <w:sz w:val="22"/>
                <w:szCs w:val="22"/>
                <w:shd w:val="clear" w:color="auto" w:fill="FFFFFF"/>
                <w:lang w:eastAsia="en-GB"/>
              </w:rPr>
              <w:t xml:space="preserve"> </w:t>
            </w:r>
          </w:p>
        </w:tc>
      </w:tr>
      <w:tr w:rsidR="00AB2C17" w:rsidRPr="00AB2C17" w14:paraId="6B2674D4" w14:textId="77777777" w:rsidTr="002309C2">
        <w:tc>
          <w:tcPr>
            <w:tcW w:w="1561" w:type="dxa"/>
            <w:tcBorders>
              <w:bottom w:val="single" w:sz="4" w:space="0" w:color="auto"/>
            </w:tcBorders>
          </w:tcPr>
          <w:p w14:paraId="79FEF271" w14:textId="1C5D41E3" w:rsidR="00672F70" w:rsidRPr="00AB2C17" w:rsidRDefault="002309C2"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Other</w:t>
            </w:r>
          </w:p>
        </w:tc>
        <w:tc>
          <w:tcPr>
            <w:tcW w:w="1536" w:type="dxa"/>
            <w:tcBorders>
              <w:bottom w:val="single" w:sz="4" w:space="0" w:color="auto"/>
            </w:tcBorders>
          </w:tcPr>
          <w:p w14:paraId="44A7DC8D" w14:textId="322B194F" w:rsidR="00672F70"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65</w:t>
            </w:r>
            <w:r w:rsidR="002309C2" w:rsidRPr="00AB2C17">
              <w:rPr>
                <w:rFonts w:ascii="Times New Roman" w:eastAsia="Times New Roman" w:hAnsi="Times New Roman" w:cs="Times New Roman"/>
                <w:color w:val="000000" w:themeColor="text1"/>
                <w:sz w:val="22"/>
                <w:szCs w:val="22"/>
                <w:shd w:val="clear" w:color="auto" w:fill="FFFFFF"/>
                <w:lang w:eastAsia="en-GB"/>
              </w:rPr>
              <w:t>%</w:t>
            </w:r>
          </w:p>
        </w:tc>
        <w:tc>
          <w:tcPr>
            <w:tcW w:w="1805" w:type="dxa"/>
            <w:tcBorders>
              <w:bottom w:val="single" w:sz="4" w:space="0" w:color="auto"/>
            </w:tcBorders>
            <w:shd w:val="clear" w:color="auto" w:fill="auto"/>
          </w:tcPr>
          <w:p w14:paraId="76C4DEAB" w14:textId="5C79C0A7" w:rsidR="00672F70"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35</w:t>
            </w:r>
            <w:r w:rsidR="002309C2" w:rsidRPr="00AB2C17">
              <w:rPr>
                <w:rFonts w:ascii="Times New Roman" w:eastAsia="Times New Roman" w:hAnsi="Times New Roman" w:cs="Times New Roman"/>
                <w:color w:val="000000" w:themeColor="text1"/>
                <w:sz w:val="22"/>
                <w:szCs w:val="22"/>
                <w:shd w:val="clear" w:color="auto" w:fill="FFFFFF"/>
                <w:lang w:eastAsia="en-GB"/>
              </w:rPr>
              <w:t>%</w:t>
            </w:r>
          </w:p>
        </w:tc>
        <w:tc>
          <w:tcPr>
            <w:tcW w:w="1477" w:type="dxa"/>
            <w:tcBorders>
              <w:bottom w:val="single" w:sz="4" w:space="0" w:color="auto"/>
            </w:tcBorders>
          </w:tcPr>
          <w:p w14:paraId="799F30F7" w14:textId="4B674BAF" w:rsidR="00672F70" w:rsidRPr="00AB2C17" w:rsidRDefault="00B13D2D" w:rsidP="00927113">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45</w:t>
            </w:r>
          </w:p>
        </w:tc>
      </w:tr>
      <w:tr w:rsidR="00AB2C17" w:rsidRPr="00AB2C17" w14:paraId="3AB17929" w14:textId="77777777" w:rsidTr="002309C2">
        <w:tc>
          <w:tcPr>
            <w:tcW w:w="1561" w:type="dxa"/>
            <w:tcBorders>
              <w:top w:val="single" w:sz="4" w:space="0" w:color="auto"/>
              <w:bottom w:val="single" w:sz="4" w:space="0" w:color="auto"/>
            </w:tcBorders>
          </w:tcPr>
          <w:p w14:paraId="74B3F509" w14:textId="3382580F" w:rsidR="0052286E" w:rsidRPr="00AB2C17" w:rsidRDefault="0052286E" w:rsidP="008E29FC">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 xml:space="preserve">2019 </w:t>
            </w:r>
          </w:p>
        </w:tc>
        <w:tc>
          <w:tcPr>
            <w:tcW w:w="1536" w:type="dxa"/>
            <w:tcBorders>
              <w:top w:val="single" w:sz="4" w:space="0" w:color="auto"/>
              <w:bottom w:val="single" w:sz="4" w:space="0" w:color="auto"/>
            </w:tcBorders>
          </w:tcPr>
          <w:p w14:paraId="36CC518E" w14:textId="7A362048" w:rsidR="0052286E" w:rsidRPr="00AB2C17" w:rsidRDefault="0052286E" w:rsidP="008E29FC">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Remain</w:t>
            </w:r>
          </w:p>
        </w:tc>
        <w:tc>
          <w:tcPr>
            <w:tcW w:w="1805" w:type="dxa"/>
            <w:tcBorders>
              <w:top w:val="single" w:sz="4" w:space="0" w:color="auto"/>
              <w:bottom w:val="single" w:sz="4" w:space="0" w:color="auto"/>
            </w:tcBorders>
            <w:shd w:val="clear" w:color="auto" w:fill="auto"/>
          </w:tcPr>
          <w:p w14:paraId="57619504" w14:textId="5FF80E5F" w:rsidR="0052286E" w:rsidRPr="00AB2C17" w:rsidRDefault="0052286E" w:rsidP="008E29FC">
            <w:pPr>
              <w:spacing w:line="360" w:lineRule="auto"/>
              <w:rPr>
                <w:rFonts w:ascii="Times New Roman" w:eastAsia="Times New Roman" w:hAnsi="Times New Roman" w:cs="Times New Roman"/>
                <w:b/>
                <w:bCs/>
                <w:color w:val="000000" w:themeColor="text1"/>
                <w:sz w:val="22"/>
                <w:szCs w:val="22"/>
                <w:shd w:val="clear" w:color="auto" w:fill="FFFFFF"/>
                <w:lang w:eastAsia="en-GB"/>
              </w:rPr>
            </w:pPr>
            <w:r w:rsidRPr="00AB2C17">
              <w:rPr>
                <w:rFonts w:ascii="Times New Roman" w:eastAsia="Times New Roman" w:hAnsi="Times New Roman" w:cs="Times New Roman"/>
                <w:b/>
                <w:bCs/>
                <w:color w:val="000000" w:themeColor="text1"/>
                <w:sz w:val="22"/>
                <w:szCs w:val="22"/>
                <w:shd w:val="clear" w:color="auto" w:fill="FFFFFF"/>
                <w:lang w:eastAsia="en-GB"/>
              </w:rPr>
              <w:t>Leave</w:t>
            </w:r>
          </w:p>
        </w:tc>
        <w:tc>
          <w:tcPr>
            <w:tcW w:w="1477" w:type="dxa"/>
            <w:tcBorders>
              <w:top w:val="single" w:sz="4" w:space="0" w:color="auto"/>
              <w:bottom w:val="single" w:sz="4" w:space="0" w:color="auto"/>
            </w:tcBorders>
          </w:tcPr>
          <w:p w14:paraId="646CBD92" w14:textId="77777777" w:rsidR="0052286E" w:rsidRPr="00AB2C17" w:rsidRDefault="0052286E" w:rsidP="00927113">
            <w:pPr>
              <w:spacing w:line="360" w:lineRule="auto"/>
              <w:jc w:val="right"/>
              <w:rPr>
                <w:rFonts w:ascii="Times New Roman" w:eastAsia="Times New Roman" w:hAnsi="Times New Roman" w:cs="Times New Roman"/>
                <w:b/>
                <w:bCs/>
                <w:color w:val="000000" w:themeColor="text1"/>
                <w:sz w:val="22"/>
                <w:szCs w:val="22"/>
                <w:shd w:val="clear" w:color="auto" w:fill="FFFFFF"/>
                <w:lang w:eastAsia="en-GB"/>
              </w:rPr>
            </w:pPr>
          </w:p>
        </w:tc>
      </w:tr>
      <w:tr w:rsidR="00AB2C17" w:rsidRPr="00AB2C17" w14:paraId="2733A407" w14:textId="77777777" w:rsidTr="002309C2">
        <w:tc>
          <w:tcPr>
            <w:tcW w:w="1561" w:type="dxa"/>
            <w:tcBorders>
              <w:top w:val="single" w:sz="4" w:space="0" w:color="auto"/>
            </w:tcBorders>
          </w:tcPr>
          <w:p w14:paraId="4581DBAE" w14:textId="532F1B17" w:rsidR="0052286E" w:rsidRPr="00AB2C17" w:rsidRDefault="0052286E"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Conservative</w:t>
            </w:r>
          </w:p>
        </w:tc>
        <w:tc>
          <w:tcPr>
            <w:tcW w:w="1536" w:type="dxa"/>
            <w:tcBorders>
              <w:top w:val="single" w:sz="4" w:space="0" w:color="auto"/>
            </w:tcBorders>
          </w:tcPr>
          <w:p w14:paraId="21D58E7C" w14:textId="0D63E693" w:rsidR="0052286E"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53</w:t>
            </w:r>
            <w:r w:rsidR="002309C2" w:rsidRPr="00AB2C17">
              <w:rPr>
                <w:rFonts w:ascii="Times New Roman" w:eastAsia="Times New Roman" w:hAnsi="Times New Roman" w:cs="Times New Roman"/>
                <w:color w:val="000000" w:themeColor="text1"/>
                <w:sz w:val="22"/>
                <w:szCs w:val="22"/>
                <w:shd w:val="clear" w:color="auto" w:fill="FFFFFF"/>
                <w:lang w:eastAsia="en-GB"/>
              </w:rPr>
              <w:t>%</w:t>
            </w:r>
          </w:p>
        </w:tc>
        <w:tc>
          <w:tcPr>
            <w:tcW w:w="1805" w:type="dxa"/>
            <w:tcBorders>
              <w:top w:val="single" w:sz="4" w:space="0" w:color="auto"/>
            </w:tcBorders>
            <w:shd w:val="clear" w:color="auto" w:fill="auto"/>
          </w:tcPr>
          <w:p w14:paraId="18C7F095" w14:textId="0B47BEE9" w:rsidR="0052286E"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47</w:t>
            </w:r>
            <w:r w:rsidR="002309C2" w:rsidRPr="00AB2C17">
              <w:rPr>
                <w:rFonts w:ascii="Times New Roman" w:eastAsia="Times New Roman" w:hAnsi="Times New Roman" w:cs="Times New Roman"/>
                <w:color w:val="000000" w:themeColor="text1"/>
                <w:sz w:val="22"/>
                <w:szCs w:val="22"/>
                <w:shd w:val="clear" w:color="auto" w:fill="FFFFFF"/>
                <w:lang w:eastAsia="en-GB"/>
              </w:rPr>
              <w:t>%</w:t>
            </w:r>
          </w:p>
        </w:tc>
        <w:tc>
          <w:tcPr>
            <w:tcW w:w="1477" w:type="dxa"/>
            <w:tcBorders>
              <w:top w:val="single" w:sz="4" w:space="0" w:color="auto"/>
            </w:tcBorders>
          </w:tcPr>
          <w:p w14:paraId="4336C516" w14:textId="1BFF2527" w:rsidR="0052286E" w:rsidRPr="00AB2C17" w:rsidRDefault="00B13D2D" w:rsidP="00927113">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239</w:t>
            </w:r>
          </w:p>
        </w:tc>
      </w:tr>
      <w:tr w:rsidR="00AB2C17" w:rsidRPr="00AB2C17" w14:paraId="5885F451" w14:textId="77777777" w:rsidTr="002309C2">
        <w:tc>
          <w:tcPr>
            <w:tcW w:w="1561" w:type="dxa"/>
          </w:tcPr>
          <w:p w14:paraId="03285B84" w14:textId="09263AA8" w:rsidR="0052286E" w:rsidRPr="00AB2C17" w:rsidRDefault="0052286E"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Labour</w:t>
            </w:r>
          </w:p>
        </w:tc>
        <w:tc>
          <w:tcPr>
            <w:tcW w:w="1536" w:type="dxa"/>
          </w:tcPr>
          <w:p w14:paraId="3E4B888E" w14:textId="28C7BD4A" w:rsidR="0052286E"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74</w:t>
            </w:r>
            <w:r w:rsidR="002309C2" w:rsidRPr="00AB2C17">
              <w:rPr>
                <w:rFonts w:ascii="Times New Roman" w:eastAsia="Times New Roman" w:hAnsi="Times New Roman" w:cs="Times New Roman"/>
                <w:color w:val="000000" w:themeColor="text1"/>
                <w:sz w:val="22"/>
                <w:szCs w:val="22"/>
                <w:shd w:val="clear" w:color="auto" w:fill="FFFFFF"/>
                <w:lang w:eastAsia="en-GB"/>
              </w:rPr>
              <w:t>%</w:t>
            </w:r>
          </w:p>
        </w:tc>
        <w:tc>
          <w:tcPr>
            <w:tcW w:w="1805" w:type="dxa"/>
            <w:shd w:val="clear" w:color="auto" w:fill="auto"/>
          </w:tcPr>
          <w:p w14:paraId="72C292DE" w14:textId="7B9698F1" w:rsidR="0052286E"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26</w:t>
            </w:r>
            <w:r w:rsidR="002309C2" w:rsidRPr="00AB2C17">
              <w:rPr>
                <w:rFonts w:ascii="Times New Roman" w:eastAsia="Times New Roman" w:hAnsi="Times New Roman" w:cs="Times New Roman"/>
                <w:color w:val="000000" w:themeColor="text1"/>
                <w:sz w:val="22"/>
                <w:szCs w:val="22"/>
                <w:shd w:val="clear" w:color="auto" w:fill="FFFFFF"/>
                <w:lang w:eastAsia="en-GB"/>
              </w:rPr>
              <w:t>%</w:t>
            </w:r>
          </w:p>
        </w:tc>
        <w:tc>
          <w:tcPr>
            <w:tcW w:w="1477" w:type="dxa"/>
          </w:tcPr>
          <w:p w14:paraId="4E316895" w14:textId="599074E6" w:rsidR="0052286E" w:rsidRPr="00AB2C17" w:rsidRDefault="00B13D2D" w:rsidP="00927113">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747</w:t>
            </w:r>
          </w:p>
        </w:tc>
      </w:tr>
      <w:tr w:rsidR="00AB2C17" w:rsidRPr="00AB2C17" w14:paraId="0BFA00CE" w14:textId="77777777" w:rsidTr="002309C2">
        <w:tc>
          <w:tcPr>
            <w:tcW w:w="1561" w:type="dxa"/>
          </w:tcPr>
          <w:p w14:paraId="374317B7" w14:textId="44E73997" w:rsidR="00672F70" w:rsidRPr="00AB2C17" w:rsidRDefault="002309C2"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Lib Dem</w:t>
            </w:r>
          </w:p>
        </w:tc>
        <w:tc>
          <w:tcPr>
            <w:tcW w:w="1536" w:type="dxa"/>
          </w:tcPr>
          <w:p w14:paraId="23F1A6B7" w14:textId="1CC29EB5" w:rsidR="00672F70"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98</w:t>
            </w:r>
            <w:r w:rsidR="002309C2" w:rsidRPr="00AB2C17">
              <w:rPr>
                <w:rFonts w:ascii="Times New Roman" w:eastAsia="Times New Roman" w:hAnsi="Times New Roman" w:cs="Times New Roman"/>
                <w:color w:val="000000" w:themeColor="text1"/>
                <w:sz w:val="22"/>
                <w:szCs w:val="22"/>
                <w:shd w:val="clear" w:color="auto" w:fill="FFFFFF"/>
                <w:lang w:eastAsia="en-GB"/>
              </w:rPr>
              <w:t>%</w:t>
            </w:r>
          </w:p>
        </w:tc>
        <w:tc>
          <w:tcPr>
            <w:tcW w:w="1805" w:type="dxa"/>
            <w:shd w:val="clear" w:color="auto" w:fill="auto"/>
          </w:tcPr>
          <w:p w14:paraId="08958F27" w14:textId="62D660B0" w:rsidR="00672F70"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2</w:t>
            </w:r>
            <w:r w:rsidR="002309C2" w:rsidRPr="00AB2C17">
              <w:rPr>
                <w:rFonts w:ascii="Times New Roman" w:eastAsia="Times New Roman" w:hAnsi="Times New Roman" w:cs="Times New Roman"/>
                <w:color w:val="000000" w:themeColor="text1"/>
                <w:sz w:val="22"/>
                <w:szCs w:val="22"/>
                <w:shd w:val="clear" w:color="auto" w:fill="FFFFFF"/>
                <w:lang w:eastAsia="en-GB"/>
              </w:rPr>
              <w:t>%</w:t>
            </w:r>
          </w:p>
        </w:tc>
        <w:tc>
          <w:tcPr>
            <w:tcW w:w="1477" w:type="dxa"/>
          </w:tcPr>
          <w:p w14:paraId="6CA18862" w14:textId="7DEFE5D1" w:rsidR="00672F70" w:rsidRPr="00AB2C17" w:rsidRDefault="00B13D2D" w:rsidP="00927113">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49</w:t>
            </w:r>
          </w:p>
        </w:tc>
      </w:tr>
      <w:tr w:rsidR="00AB2C17" w:rsidRPr="00AB2C17" w14:paraId="0B885138" w14:textId="77777777" w:rsidTr="002309C2">
        <w:tc>
          <w:tcPr>
            <w:tcW w:w="1561" w:type="dxa"/>
            <w:tcBorders>
              <w:bottom w:val="single" w:sz="4" w:space="0" w:color="auto"/>
            </w:tcBorders>
          </w:tcPr>
          <w:p w14:paraId="46C3EA4F" w14:textId="0EDCB707" w:rsidR="00672F70" w:rsidRPr="00AB2C17" w:rsidRDefault="002309C2"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Other</w:t>
            </w:r>
          </w:p>
        </w:tc>
        <w:tc>
          <w:tcPr>
            <w:tcW w:w="1536" w:type="dxa"/>
            <w:tcBorders>
              <w:bottom w:val="single" w:sz="4" w:space="0" w:color="auto"/>
            </w:tcBorders>
          </w:tcPr>
          <w:p w14:paraId="6500B5D5" w14:textId="0838352D" w:rsidR="00672F70" w:rsidRPr="00AB2C17" w:rsidRDefault="00B13D2D" w:rsidP="008E29FC">
            <w:pPr>
              <w:spacing w:line="360" w:lineRule="auto"/>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75</w:t>
            </w:r>
            <w:r w:rsidR="002309C2" w:rsidRPr="00AB2C17">
              <w:rPr>
                <w:rFonts w:ascii="Times New Roman" w:eastAsia="Times New Roman" w:hAnsi="Times New Roman" w:cs="Times New Roman"/>
                <w:color w:val="000000" w:themeColor="text1"/>
                <w:sz w:val="22"/>
                <w:szCs w:val="22"/>
                <w:shd w:val="clear" w:color="auto" w:fill="FFFFFF"/>
                <w:lang w:eastAsia="en-GB"/>
              </w:rPr>
              <w:t>%</w:t>
            </w:r>
          </w:p>
        </w:tc>
        <w:tc>
          <w:tcPr>
            <w:tcW w:w="1805" w:type="dxa"/>
            <w:tcBorders>
              <w:bottom w:val="single" w:sz="4" w:space="0" w:color="auto"/>
            </w:tcBorders>
            <w:shd w:val="clear" w:color="auto" w:fill="auto"/>
          </w:tcPr>
          <w:p w14:paraId="674CA41D" w14:textId="4C4DBF3B" w:rsidR="00672F70" w:rsidRPr="00AB2C17" w:rsidRDefault="002309C2" w:rsidP="00B13D2D">
            <w:pPr>
              <w:spacing w:line="360" w:lineRule="auto"/>
              <w:rPr>
                <w:rFonts w:ascii="Times New Roman" w:eastAsia="Times New Roman" w:hAnsi="Times New Roman" w:cs="Times New Roman"/>
                <w:color w:val="000000" w:themeColor="text1"/>
                <w:sz w:val="22"/>
                <w:szCs w:val="22"/>
                <w:shd w:val="clear" w:color="auto" w:fill="FFFFFF"/>
                <w:lang w:eastAsia="en-GB"/>
              </w:rPr>
            </w:pPr>
            <w:r w:rsidRPr="00AB2C17">
              <w:rPr>
                <w:rFonts w:ascii="Times New Roman" w:eastAsia="Times New Roman" w:hAnsi="Times New Roman" w:cs="Times New Roman"/>
                <w:color w:val="000000" w:themeColor="text1"/>
                <w:sz w:val="22"/>
                <w:szCs w:val="22"/>
                <w:shd w:val="clear" w:color="auto" w:fill="FFFFFF"/>
                <w:lang w:eastAsia="en-GB"/>
              </w:rPr>
              <w:t>2</w:t>
            </w:r>
            <w:r w:rsidR="00B13D2D">
              <w:rPr>
                <w:rFonts w:ascii="Times New Roman" w:eastAsia="Times New Roman" w:hAnsi="Times New Roman" w:cs="Times New Roman"/>
                <w:color w:val="000000" w:themeColor="text1"/>
                <w:sz w:val="22"/>
                <w:szCs w:val="22"/>
                <w:shd w:val="clear" w:color="auto" w:fill="FFFFFF"/>
                <w:lang w:eastAsia="en-GB"/>
              </w:rPr>
              <w:t>5</w:t>
            </w:r>
            <w:r w:rsidRPr="00AB2C17">
              <w:rPr>
                <w:rFonts w:ascii="Times New Roman" w:eastAsia="Times New Roman" w:hAnsi="Times New Roman" w:cs="Times New Roman"/>
                <w:color w:val="000000" w:themeColor="text1"/>
                <w:sz w:val="22"/>
                <w:szCs w:val="22"/>
                <w:shd w:val="clear" w:color="auto" w:fill="FFFFFF"/>
                <w:lang w:eastAsia="en-GB"/>
              </w:rPr>
              <w:t>%</w:t>
            </w:r>
          </w:p>
        </w:tc>
        <w:tc>
          <w:tcPr>
            <w:tcW w:w="1477" w:type="dxa"/>
            <w:tcBorders>
              <w:bottom w:val="single" w:sz="4" w:space="0" w:color="auto"/>
            </w:tcBorders>
          </w:tcPr>
          <w:p w14:paraId="0240D06B" w14:textId="1BF363EA" w:rsidR="00672F70" w:rsidRPr="00AB2C17" w:rsidRDefault="00B13D2D" w:rsidP="00927113">
            <w:pPr>
              <w:spacing w:line="360" w:lineRule="auto"/>
              <w:jc w:val="right"/>
              <w:rPr>
                <w:rFonts w:ascii="Times New Roman" w:eastAsia="Times New Roman" w:hAnsi="Times New Roman" w:cs="Times New Roman"/>
                <w:color w:val="000000" w:themeColor="text1"/>
                <w:sz w:val="22"/>
                <w:szCs w:val="22"/>
                <w:shd w:val="clear" w:color="auto" w:fill="FFFFFF"/>
                <w:lang w:eastAsia="en-GB"/>
              </w:rPr>
            </w:pPr>
            <w:r>
              <w:rPr>
                <w:rFonts w:ascii="Times New Roman" w:eastAsia="Times New Roman" w:hAnsi="Times New Roman" w:cs="Times New Roman"/>
                <w:color w:val="000000" w:themeColor="text1"/>
                <w:sz w:val="22"/>
                <w:szCs w:val="22"/>
                <w:shd w:val="clear" w:color="auto" w:fill="FFFFFF"/>
                <w:lang w:eastAsia="en-GB"/>
              </w:rPr>
              <w:t>37</w:t>
            </w:r>
          </w:p>
        </w:tc>
      </w:tr>
    </w:tbl>
    <w:p w14:paraId="622CB360" w14:textId="77777777" w:rsidR="004E146F" w:rsidRPr="00AB2C17" w:rsidRDefault="004E146F">
      <w:pPr>
        <w:rPr>
          <w:rFonts w:ascii="Times New Roman" w:hAnsi="Times New Roman" w:cs="Times New Roman"/>
          <w:color w:val="000000" w:themeColor="text1"/>
        </w:rPr>
      </w:pPr>
    </w:p>
    <w:p w14:paraId="724C4AD8" w14:textId="382076FA" w:rsidR="004E146F" w:rsidRPr="00AB2C17" w:rsidRDefault="004E146F" w:rsidP="00683BA8">
      <w:pPr>
        <w:spacing w:line="480" w:lineRule="auto"/>
        <w:rPr>
          <w:rFonts w:ascii="Times New Roman" w:hAnsi="Times New Roman" w:cs="Times New Roman"/>
          <w:i/>
          <w:color w:val="000000" w:themeColor="text1"/>
        </w:rPr>
      </w:pPr>
      <w:r w:rsidRPr="00AB2C17">
        <w:rPr>
          <w:rFonts w:ascii="Times New Roman" w:hAnsi="Times New Roman" w:cs="Times New Roman"/>
          <w:i/>
          <w:color w:val="000000" w:themeColor="text1"/>
        </w:rPr>
        <w:t>Data quality and</w:t>
      </w:r>
      <w:r w:rsidR="00834D3C">
        <w:rPr>
          <w:rFonts w:ascii="Times New Roman" w:hAnsi="Times New Roman" w:cs="Times New Roman"/>
          <w:i/>
          <w:color w:val="000000" w:themeColor="text1"/>
        </w:rPr>
        <w:t xml:space="preserve"> turnout</w:t>
      </w:r>
    </w:p>
    <w:p w14:paraId="2C8B80F6" w14:textId="549554E9" w:rsidR="004E146F" w:rsidRPr="00AB2C17" w:rsidRDefault="004E146F" w:rsidP="00683BA8">
      <w:pPr>
        <w:spacing w:line="480" w:lineRule="auto"/>
        <w:rPr>
          <w:rFonts w:ascii="Times New Roman" w:hAnsi="Times New Roman" w:cs="Times New Roman"/>
          <w:color w:val="000000" w:themeColor="text1"/>
        </w:rPr>
      </w:pPr>
      <w:r w:rsidRPr="00AB2C17">
        <w:rPr>
          <w:rFonts w:ascii="Times New Roman" w:hAnsi="Times New Roman" w:cs="Times New Roman"/>
          <w:color w:val="000000" w:themeColor="text1"/>
        </w:rPr>
        <w:t xml:space="preserve">Like many surveys, </w:t>
      </w:r>
      <w:r w:rsidRPr="00AB2C17">
        <w:rPr>
          <w:rFonts w:ascii="Times New Roman" w:hAnsi="Times New Roman" w:cs="Times New Roman"/>
          <w:i/>
          <w:color w:val="000000" w:themeColor="text1"/>
        </w:rPr>
        <w:t>Understanding Society</w:t>
      </w:r>
      <w:r w:rsidRPr="00AB2C17">
        <w:rPr>
          <w:rFonts w:ascii="Times New Roman" w:hAnsi="Times New Roman" w:cs="Times New Roman"/>
          <w:color w:val="000000" w:themeColor="text1"/>
        </w:rPr>
        <w:t xml:space="preserve"> has a lower proportion of respondents who say they supported Leave in 2016 than the proportion of voters who chose Leave in the referendum.</w:t>
      </w:r>
      <w:r w:rsidR="00852071" w:rsidRPr="00AB2C17">
        <w:rPr>
          <w:rFonts w:ascii="Times New Roman" w:hAnsi="Times New Roman" w:cs="Times New Roman"/>
          <w:color w:val="000000" w:themeColor="text1"/>
        </w:rPr>
        <w:t xml:space="preserve"> 52% of respondents in wave 8 (2016-17) said that the UK should remain a member of the European Union and 43% said the UK should leave the EU</w:t>
      </w:r>
      <w:r w:rsidR="00852071" w:rsidRPr="00AB2C17">
        <w:rPr>
          <w:rStyle w:val="FootnoteReference"/>
          <w:rFonts w:ascii="Times New Roman" w:hAnsi="Times New Roman" w:cs="Times New Roman"/>
          <w:color w:val="000000" w:themeColor="text1"/>
        </w:rPr>
        <w:footnoteReference w:id="2"/>
      </w:r>
      <w:r w:rsidR="00852071" w:rsidRPr="00AB2C17">
        <w:rPr>
          <w:rFonts w:ascii="Times New Roman" w:hAnsi="Times New Roman" w:cs="Times New Roman"/>
          <w:color w:val="000000" w:themeColor="text1"/>
        </w:rPr>
        <w:t>, compared to 52% of voters in the referendum who supported Leave, and 48% for Remain</w:t>
      </w:r>
      <w:r w:rsidRPr="00AB2C17">
        <w:rPr>
          <w:rFonts w:ascii="Times New Roman" w:hAnsi="Times New Roman" w:cs="Times New Roman"/>
          <w:color w:val="000000" w:themeColor="text1"/>
        </w:rPr>
        <w:t xml:space="preserve">. This is compounded by the fact that </w:t>
      </w:r>
      <w:r w:rsidR="000345A1" w:rsidRPr="00AB2C17">
        <w:rPr>
          <w:rFonts w:ascii="Times New Roman" w:hAnsi="Times New Roman" w:cs="Times New Roman"/>
          <w:i/>
          <w:color w:val="000000" w:themeColor="text1"/>
        </w:rPr>
        <w:t>Understanding Society</w:t>
      </w:r>
      <w:r w:rsidRPr="00AB2C17">
        <w:rPr>
          <w:rFonts w:ascii="Times New Roman" w:hAnsi="Times New Roman" w:cs="Times New Roman"/>
          <w:color w:val="000000" w:themeColor="text1"/>
        </w:rPr>
        <w:t xml:space="preserve"> did not ask </w:t>
      </w:r>
      <w:r w:rsidR="000345A1" w:rsidRPr="00AB2C17">
        <w:rPr>
          <w:rFonts w:ascii="Times New Roman" w:hAnsi="Times New Roman" w:cs="Times New Roman"/>
          <w:color w:val="000000" w:themeColor="text1"/>
        </w:rPr>
        <w:t>about</w:t>
      </w:r>
      <w:r w:rsidRPr="00AB2C17">
        <w:rPr>
          <w:rFonts w:ascii="Times New Roman" w:hAnsi="Times New Roman" w:cs="Times New Roman"/>
          <w:color w:val="000000" w:themeColor="text1"/>
        </w:rPr>
        <w:t xml:space="preserve"> referendum vote choice or turnout, but instead posed the referendum questi</w:t>
      </w:r>
      <w:r w:rsidR="000345A1" w:rsidRPr="00AB2C17">
        <w:rPr>
          <w:rFonts w:ascii="Times New Roman" w:hAnsi="Times New Roman" w:cs="Times New Roman"/>
          <w:color w:val="000000" w:themeColor="text1"/>
        </w:rPr>
        <w:t>on itself to respondents</w:t>
      </w:r>
      <w:r w:rsidRPr="00AB2C17">
        <w:rPr>
          <w:rFonts w:ascii="Times New Roman" w:hAnsi="Times New Roman" w:cs="Times New Roman"/>
          <w:color w:val="000000" w:themeColor="text1"/>
        </w:rPr>
        <w:t xml:space="preserve"> in wave 8</w:t>
      </w:r>
      <w:r w:rsidR="00B95FBB">
        <w:rPr>
          <w:rFonts w:ascii="Times New Roman" w:hAnsi="Times New Roman" w:cs="Times New Roman"/>
          <w:color w:val="000000" w:themeColor="text1"/>
        </w:rPr>
        <w:t xml:space="preserve">, for which </w:t>
      </w:r>
      <w:r w:rsidRPr="00AB2C17">
        <w:rPr>
          <w:rFonts w:ascii="Times New Roman" w:hAnsi="Times New Roman" w:cs="Times New Roman"/>
          <w:color w:val="000000" w:themeColor="text1"/>
        </w:rPr>
        <w:t>fieldwork</w:t>
      </w:r>
      <w:r w:rsidR="000345A1" w:rsidRPr="00AB2C17">
        <w:rPr>
          <w:rFonts w:ascii="Times New Roman" w:hAnsi="Times New Roman" w:cs="Times New Roman"/>
          <w:color w:val="000000" w:themeColor="text1"/>
        </w:rPr>
        <w:t xml:space="preserve"> took</w:t>
      </w:r>
      <w:r w:rsidRPr="00AB2C17">
        <w:rPr>
          <w:rFonts w:ascii="Times New Roman" w:hAnsi="Times New Roman" w:cs="Times New Roman"/>
          <w:color w:val="000000" w:themeColor="text1"/>
        </w:rPr>
        <w:t xml:space="preserve"> </w:t>
      </w:r>
      <w:r w:rsidR="000345A1" w:rsidRPr="00AB2C17">
        <w:rPr>
          <w:rFonts w:ascii="Times New Roman" w:hAnsi="Times New Roman" w:cs="Times New Roman"/>
          <w:color w:val="000000" w:themeColor="text1"/>
        </w:rPr>
        <w:t xml:space="preserve">place </w:t>
      </w:r>
      <w:r w:rsidRPr="00AB2C17">
        <w:rPr>
          <w:rFonts w:ascii="Times New Roman" w:hAnsi="Times New Roman" w:cs="Times New Roman"/>
          <w:color w:val="000000" w:themeColor="text1"/>
        </w:rPr>
        <w:t>in 2016-2017. This has the advantage that people who were interviewed before and after the referendum were asked the same question, but the disadvantage that we have no data on turnout</w:t>
      </w:r>
      <w:r w:rsidR="00834D3C">
        <w:rPr>
          <w:rFonts w:ascii="Times New Roman" w:hAnsi="Times New Roman" w:cs="Times New Roman"/>
          <w:color w:val="000000" w:themeColor="text1"/>
        </w:rPr>
        <w:t xml:space="preserve"> in the referendum</w:t>
      </w:r>
      <w:r w:rsidRPr="00AB2C17">
        <w:rPr>
          <w:rFonts w:ascii="Times New Roman" w:hAnsi="Times New Roman" w:cs="Times New Roman"/>
          <w:color w:val="000000" w:themeColor="text1"/>
        </w:rPr>
        <w:t xml:space="preserve">. </w:t>
      </w:r>
      <w:r w:rsidR="00663D7F">
        <w:rPr>
          <w:rFonts w:ascii="Times New Roman" w:hAnsi="Times New Roman" w:cs="Times New Roman"/>
          <w:color w:val="000000" w:themeColor="text1"/>
        </w:rPr>
        <w:t>However, a</w:t>
      </w:r>
      <w:r w:rsidRPr="00AB2C17">
        <w:rPr>
          <w:rFonts w:ascii="Times New Roman" w:hAnsi="Times New Roman" w:cs="Times New Roman"/>
          <w:color w:val="000000" w:themeColor="text1"/>
        </w:rPr>
        <w:t xml:space="preserve">ll the respondents whose </w:t>
      </w:r>
      <w:r w:rsidRPr="00AB2C17">
        <w:rPr>
          <w:rFonts w:ascii="Times New Roman" w:hAnsi="Times New Roman" w:cs="Times New Roman"/>
          <w:color w:val="000000" w:themeColor="text1"/>
        </w:rPr>
        <w:lastRenderedPageBreak/>
        <w:t xml:space="preserve">qualitative interviews we </w:t>
      </w:r>
      <w:r w:rsidR="000345A1" w:rsidRPr="00AB2C17">
        <w:rPr>
          <w:rFonts w:ascii="Times New Roman" w:hAnsi="Times New Roman" w:cs="Times New Roman"/>
          <w:color w:val="000000" w:themeColor="text1"/>
        </w:rPr>
        <w:t>analyse</w:t>
      </w:r>
      <w:r w:rsidRPr="00AB2C17">
        <w:rPr>
          <w:rFonts w:ascii="Times New Roman" w:hAnsi="Times New Roman" w:cs="Times New Roman"/>
          <w:color w:val="000000" w:themeColor="text1"/>
        </w:rPr>
        <w:t xml:space="preserve"> said they voted </w:t>
      </w:r>
      <w:proofErr w:type="gramStart"/>
      <w:r w:rsidRPr="00AB2C17">
        <w:rPr>
          <w:rFonts w:ascii="Times New Roman" w:hAnsi="Times New Roman" w:cs="Times New Roman"/>
          <w:color w:val="000000" w:themeColor="text1"/>
        </w:rPr>
        <w:t>Leave</w:t>
      </w:r>
      <w:proofErr w:type="gramEnd"/>
      <w:r w:rsidR="000345A1" w:rsidRPr="00AB2C17">
        <w:rPr>
          <w:rFonts w:ascii="Times New Roman" w:hAnsi="Times New Roman" w:cs="Times New Roman"/>
          <w:color w:val="000000" w:themeColor="text1"/>
        </w:rPr>
        <w:t xml:space="preserve"> as well as supporting it</w:t>
      </w:r>
      <w:r w:rsidRPr="00AB2C17">
        <w:rPr>
          <w:rFonts w:ascii="Times New Roman" w:hAnsi="Times New Roman" w:cs="Times New Roman"/>
          <w:color w:val="000000" w:themeColor="text1"/>
        </w:rPr>
        <w:t xml:space="preserve">, and also that they voted in the 2019 general election. </w:t>
      </w:r>
    </w:p>
    <w:p w14:paraId="575082CE" w14:textId="5D3FC735" w:rsidR="004C2C86" w:rsidRDefault="004E146F" w:rsidP="00683BA8">
      <w:pPr>
        <w:spacing w:line="480" w:lineRule="auto"/>
        <w:rPr>
          <w:rFonts w:ascii="Times New Roman" w:hAnsi="Times New Roman" w:cs="Times New Roman"/>
          <w:color w:val="000000" w:themeColor="text1"/>
        </w:rPr>
      </w:pPr>
      <w:r w:rsidRPr="00AB2C17">
        <w:rPr>
          <w:rFonts w:ascii="Times New Roman" w:hAnsi="Times New Roman" w:cs="Times New Roman"/>
          <w:color w:val="000000" w:themeColor="text1"/>
        </w:rPr>
        <w:t xml:space="preserve">We do not consider </w:t>
      </w:r>
      <w:r w:rsidR="00834D3C">
        <w:rPr>
          <w:rFonts w:ascii="Times New Roman" w:hAnsi="Times New Roman" w:cs="Times New Roman"/>
          <w:color w:val="000000" w:themeColor="text1"/>
        </w:rPr>
        <w:t xml:space="preserve">general election </w:t>
      </w:r>
      <w:r w:rsidRPr="00AB2C17">
        <w:rPr>
          <w:rFonts w:ascii="Times New Roman" w:hAnsi="Times New Roman" w:cs="Times New Roman"/>
          <w:color w:val="000000" w:themeColor="text1"/>
        </w:rPr>
        <w:t>turnout explicitly in this paper</w:t>
      </w:r>
      <w:r w:rsidR="00834D3C">
        <w:rPr>
          <w:rFonts w:ascii="Times New Roman" w:hAnsi="Times New Roman" w:cs="Times New Roman"/>
          <w:color w:val="000000" w:themeColor="text1"/>
        </w:rPr>
        <w:t xml:space="preserve"> either</w:t>
      </w:r>
      <w:r w:rsidRPr="00AB2C17">
        <w:rPr>
          <w:rFonts w:ascii="Times New Roman" w:hAnsi="Times New Roman" w:cs="Times New Roman"/>
          <w:color w:val="000000" w:themeColor="text1"/>
        </w:rPr>
        <w:t>,</w:t>
      </w:r>
      <w:r w:rsidR="00A33687" w:rsidRPr="00AB2C17">
        <w:rPr>
          <w:rFonts w:ascii="Times New Roman" w:hAnsi="Times New Roman" w:cs="Times New Roman"/>
          <w:color w:val="000000" w:themeColor="text1"/>
        </w:rPr>
        <w:t xml:space="preserve"> because this survey </w:t>
      </w:r>
      <w:r w:rsidR="00174708" w:rsidRPr="00AB2C17">
        <w:rPr>
          <w:rFonts w:ascii="Times New Roman" w:hAnsi="Times New Roman" w:cs="Times New Roman"/>
          <w:color w:val="000000" w:themeColor="text1"/>
        </w:rPr>
        <w:t xml:space="preserve">has low coverage of non-voters, and does not link to electoral register data. </w:t>
      </w:r>
      <w:r w:rsidR="00A33687" w:rsidRPr="00AB2C17">
        <w:rPr>
          <w:rFonts w:ascii="Times New Roman" w:hAnsi="Times New Roman" w:cs="Times New Roman"/>
          <w:color w:val="000000" w:themeColor="text1"/>
        </w:rPr>
        <w:t xml:space="preserve">Most studies over-represent the views of politically engaged respondents, but this is particularly acute for </w:t>
      </w:r>
      <w:r w:rsidR="00A33687" w:rsidRPr="00AB2C17">
        <w:rPr>
          <w:rFonts w:ascii="Times New Roman" w:hAnsi="Times New Roman" w:cs="Times New Roman"/>
          <w:i/>
          <w:color w:val="000000" w:themeColor="text1"/>
        </w:rPr>
        <w:t xml:space="preserve">Understanding Society </w:t>
      </w:r>
      <w:r w:rsidR="00A33687" w:rsidRPr="00AB2C17">
        <w:rPr>
          <w:rFonts w:ascii="Times New Roman" w:hAnsi="Times New Roman" w:cs="Times New Roman"/>
          <w:color w:val="000000" w:themeColor="text1"/>
        </w:rPr>
        <w:t xml:space="preserve">because those who are more interested in politics are more likely to leave the panel over time. This has </w:t>
      </w:r>
      <w:proofErr w:type="spellStart"/>
      <w:r w:rsidR="00DF03AB" w:rsidRPr="00AB2C17">
        <w:rPr>
          <w:rFonts w:ascii="Times New Roman" w:hAnsi="Times New Roman" w:cs="Times New Roman"/>
          <w:color w:val="000000" w:themeColor="text1"/>
        </w:rPr>
        <w:t>le</w:t>
      </w:r>
      <w:r w:rsidR="004E2919">
        <w:rPr>
          <w:rFonts w:ascii="Times New Roman" w:hAnsi="Times New Roman" w:cs="Times New Roman"/>
          <w:color w:val="000000" w:themeColor="text1"/>
        </w:rPr>
        <w:t>a</w:t>
      </w:r>
      <w:r w:rsidR="00DF03AB" w:rsidRPr="00AB2C17">
        <w:rPr>
          <w:rFonts w:ascii="Times New Roman" w:hAnsi="Times New Roman" w:cs="Times New Roman"/>
          <w:color w:val="000000" w:themeColor="text1"/>
        </w:rPr>
        <w:t>d</w:t>
      </w:r>
      <w:proofErr w:type="spellEnd"/>
      <w:r w:rsidR="00A33687" w:rsidRPr="00AB2C17">
        <w:rPr>
          <w:rFonts w:ascii="Times New Roman" w:hAnsi="Times New Roman" w:cs="Times New Roman"/>
          <w:color w:val="000000" w:themeColor="text1"/>
        </w:rPr>
        <w:t xml:space="preserve"> to the gap between the</w:t>
      </w:r>
      <w:r w:rsidR="00174708" w:rsidRPr="00AB2C17">
        <w:rPr>
          <w:rFonts w:ascii="Times New Roman" w:hAnsi="Times New Roman" w:cs="Times New Roman"/>
          <w:color w:val="000000" w:themeColor="text1"/>
        </w:rPr>
        <w:t xml:space="preserve"> reported levels of turnout among respondents in </w:t>
      </w:r>
      <w:r w:rsidR="00174708" w:rsidRPr="00AB2C17">
        <w:rPr>
          <w:rFonts w:ascii="Times New Roman" w:hAnsi="Times New Roman" w:cs="Times New Roman"/>
          <w:i/>
          <w:color w:val="000000" w:themeColor="text1"/>
        </w:rPr>
        <w:t xml:space="preserve">Understanding Society </w:t>
      </w:r>
      <w:r w:rsidR="00174708" w:rsidRPr="00AB2C17">
        <w:rPr>
          <w:rFonts w:ascii="Times New Roman" w:hAnsi="Times New Roman" w:cs="Times New Roman"/>
          <w:color w:val="000000" w:themeColor="text1"/>
        </w:rPr>
        <w:t>and real world turnout increasing from 9</w:t>
      </w:r>
      <w:r w:rsidR="004C2C86" w:rsidRPr="00AB2C17">
        <w:rPr>
          <w:rFonts w:ascii="Times New Roman" w:hAnsi="Times New Roman" w:cs="Times New Roman"/>
          <w:color w:val="000000" w:themeColor="text1"/>
        </w:rPr>
        <w:t>.</w:t>
      </w:r>
      <w:r w:rsidR="00174708" w:rsidRPr="00AB2C17">
        <w:rPr>
          <w:rFonts w:ascii="Times New Roman" w:hAnsi="Times New Roman" w:cs="Times New Roman"/>
          <w:color w:val="000000" w:themeColor="text1"/>
        </w:rPr>
        <w:t xml:space="preserve">1 percentage points in 2010 to 12.4 in </w:t>
      </w:r>
      <w:r w:rsidR="00FB3E53">
        <w:rPr>
          <w:rFonts w:ascii="Times New Roman" w:hAnsi="Times New Roman" w:cs="Times New Roman"/>
          <w:color w:val="000000" w:themeColor="text1"/>
        </w:rPr>
        <w:t xml:space="preserve">2017 </w:t>
      </w:r>
      <w:r w:rsidR="00FB3E53">
        <w:rPr>
          <w:rFonts w:ascii="Times New Roman" w:hAnsi="Times New Roman" w:cs="Times New Roman"/>
          <w:color w:val="000000" w:themeColor="text1"/>
        </w:rPr>
        <w:fldChar w:fldCharType="begin" w:fldLock="1"/>
      </w:r>
      <w:r w:rsidR="00645000">
        <w:rPr>
          <w:rFonts w:ascii="Times New Roman" w:hAnsi="Times New Roman" w:cs="Times New Roman"/>
          <w:color w:val="000000" w:themeColor="text1"/>
        </w:rPr>
        <w:instrText>ADDIN CSL_CITATION {"citationItems":[{"id":"ITEM-1","itemData":{"DOI":"10.1016/j.electstud.2020.102129","ISSN":"02613794","abstract":"In the aftermath of the 2017 UK General Election, some claimed that Labour performed unexpectedly well because of a surge in youth turnout. Polling estimates for the size of this ‘youthquake’ ranged from 12 to 21 points amongst 18–24 year olds. Using conventional and Bayesian statistical methods, we analyse British Election Study and British Social Attitudes random probability surveys and find no evidence of a shift in the relationship between age and turnout of this scale. Using the pooled BES and BSA reported turnout data with an informative prior that there was a modest increase in 18–24 turnout (N{6, 3}), our 95% credible interval for that change is between 0.9 and 8.8 points. Even with a strong youthquake prior (N{15.5, 3.5}), our data suggest that there is only a 4% probability that the change in turnout amongst 18–24 years olds was 12 points or higher.","author":[{"dropping-particle":"","family":"Prosser","given":"Christopher","non-dropping-particle":"","parse-names":false,"suffix":""},{"dropping-particle":"","family":"Fieldhouse","given":"Edward","non-dropping-particle":"","parse-names":false,"suffix":""},{"dropping-particle":"","family":"Green","given":"Jane","non-dropping-particle":"","parse-names":false,"suffix":""},{"dropping-particle":"","family":"Mellon","given":"Jonathan","non-dropping-particle":"","parse-names":false,"suffix":""},{"dropping-particle":"","family":"Evans","given":"Geoffrey","non-dropping-particle":"","parse-names":false,"suffix":""}],"container-title":"Electoral Studies","id":"ITEM-1","issue":"January","issued":{"date-parts":[["2020"]]},"page":"102129","publisher":"Elsevier Ltd","title":"Tremors but no Youthquake: Measuring changes in the age and turnout gradients at the 2015 and 2017 British general elections","type":"article-journal","volume":"64"},"uris":["http://www.mendeley.com/documents/?uuid=3ba6726d-f06b-4438-91c0-0177cbdd67b6"]}],"mendeley":{"formattedCitation":"(Prosser et al., 2020)","plainTextFormattedCitation":"(Prosser et al., 2020)","previouslyFormattedCitation":"(Prosser et al., 2020)"},"properties":{"noteIndex":0},"schema":"https://github.com/citation-style-language/schema/raw/master/csl-citation.json"}</w:instrText>
      </w:r>
      <w:r w:rsidR="00FB3E53">
        <w:rPr>
          <w:rFonts w:ascii="Times New Roman" w:hAnsi="Times New Roman" w:cs="Times New Roman"/>
          <w:color w:val="000000" w:themeColor="text1"/>
        </w:rPr>
        <w:fldChar w:fldCharType="separate"/>
      </w:r>
      <w:r w:rsidR="00FB3E53" w:rsidRPr="00FB3E53">
        <w:rPr>
          <w:rFonts w:ascii="Times New Roman" w:hAnsi="Times New Roman" w:cs="Times New Roman"/>
          <w:noProof/>
          <w:color w:val="000000" w:themeColor="text1"/>
        </w:rPr>
        <w:t>(Prosser et al., 2020)</w:t>
      </w:r>
      <w:r w:rsidR="00FB3E53">
        <w:rPr>
          <w:rFonts w:ascii="Times New Roman" w:hAnsi="Times New Roman" w:cs="Times New Roman"/>
          <w:color w:val="000000" w:themeColor="text1"/>
        </w:rPr>
        <w:fldChar w:fldCharType="end"/>
      </w:r>
      <w:r w:rsidR="00174708" w:rsidRPr="00AB2C17">
        <w:rPr>
          <w:rFonts w:ascii="Times New Roman" w:hAnsi="Times New Roman" w:cs="Times New Roman"/>
          <w:color w:val="000000" w:themeColor="text1"/>
        </w:rPr>
        <w:t>.</w:t>
      </w:r>
      <w:r w:rsidR="00055547" w:rsidRPr="00AB2C17">
        <w:rPr>
          <w:rFonts w:ascii="Times New Roman" w:hAnsi="Times New Roman" w:cs="Times New Roman"/>
          <w:color w:val="000000" w:themeColor="text1"/>
        </w:rPr>
        <w:t xml:space="preserve"> </w:t>
      </w:r>
      <w:r w:rsidR="0097210A" w:rsidRPr="00AB2C17">
        <w:rPr>
          <w:rFonts w:ascii="Times New Roman" w:hAnsi="Times New Roman" w:cs="Times New Roman"/>
          <w:color w:val="000000" w:themeColor="text1"/>
        </w:rPr>
        <w:t>Moreover,</w:t>
      </w:r>
      <w:r w:rsidR="00055547" w:rsidRPr="00AB2C17">
        <w:rPr>
          <w:rFonts w:ascii="Times New Roman" w:hAnsi="Times New Roman" w:cs="Times New Roman"/>
          <w:color w:val="000000" w:themeColor="text1"/>
        </w:rPr>
        <w:t xml:space="preserve"> the </w:t>
      </w:r>
      <w:r w:rsidR="0097210A" w:rsidRPr="00AB2C17">
        <w:rPr>
          <w:rFonts w:ascii="Times New Roman" w:hAnsi="Times New Roman" w:cs="Times New Roman"/>
          <w:color w:val="000000" w:themeColor="text1"/>
        </w:rPr>
        <w:t>survey</w:t>
      </w:r>
      <w:r w:rsidR="00055547" w:rsidRPr="00AB2C17">
        <w:rPr>
          <w:rFonts w:ascii="Times New Roman" w:hAnsi="Times New Roman" w:cs="Times New Roman"/>
          <w:color w:val="000000" w:themeColor="text1"/>
        </w:rPr>
        <w:t xml:space="preserve"> does not employ vote validation where </w:t>
      </w:r>
      <w:r w:rsidR="0097210A" w:rsidRPr="00AB2C17">
        <w:rPr>
          <w:rFonts w:ascii="Times New Roman" w:hAnsi="Times New Roman" w:cs="Times New Roman"/>
          <w:color w:val="000000" w:themeColor="text1"/>
        </w:rPr>
        <w:t xml:space="preserve">turnout reported by respondents </w:t>
      </w:r>
      <w:r w:rsidR="00055547" w:rsidRPr="00AB2C17">
        <w:rPr>
          <w:rFonts w:ascii="Times New Roman" w:hAnsi="Times New Roman" w:cs="Times New Roman"/>
          <w:color w:val="000000" w:themeColor="text1"/>
        </w:rPr>
        <w:t>is checked against</w:t>
      </w:r>
      <w:r w:rsidR="0097210A" w:rsidRPr="00AB2C17">
        <w:rPr>
          <w:rFonts w:ascii="Times New Roman" w:hAnsi="Times New Roman" w:cs="Times New Roman"/>
          <w:color w:val="000000" w:themeColor="text1"/>
        </w:rPr>
        <w:t xml:space="preserve"> polling station data</w:t>
      </w:r>
      <w:r w:rsidRPr="00AB2C17">
        <w:rPr>
          <w:rFonts w:ascii="Times New Roman" w:hAnsi="Times New Roman" w:cs="Times New Roman"/>
          <w:color w:val="000000" w:themeColor="text1"/>
        </w:rPr>
        <w:t>.</w:t>
      </w:r>
      <w:r w:rsidR="00055547" w:rsidRPr="00AB2C17">
        <w:rPr>
          <w:rFonts w:ascii="Times New Roman" w:hAnsi="Times New Roman" w:cs="Times New Roman"/>
          <w:color w:val="000000" w:themeColor="text1"/>
        </w:rPr>
        <w:t xml:space="preserve"> Notwithstanding these limitation</w:t>
      </w:r>
      <w:r w:rsidR="00DC3EF4" w:rsidRPr="00AB2C17">
        <w:rPr>
          <w:rFonts w:ascii="Times New Roman" w:hAnsi="Times New Roman" w:cs="Times New Roman"/>
          <w:color w:val="000000" w:themeColor="text1"/>
        </w:rPr>
        <w:t>s</w:t>
      </w:r>
      <w:r w:rsidR="00055547" w:rsidRPr="00AB2C17">
        <w:rPr>
          <w:rFonts w:ascii="Times New Roman" w:hAnsi="Times New Roman" w:cs="Times New Roman"/>
          <w:color w:val="000000" w:themeColor="text1"/>
        </w:rPr>
        <w:t>, we checked</w:t>
      </w:r>
      <w:r w:rsidRPr="00AB2C17">
        <w:rPr>
          <w:rFonts w:ascii="Times New Roman" w:hAnsi="Times New Roman" w:cs="Times New Roman"/>
          <w:color w:val="000000" w:themeColor="text1"/>
        </w:rPr>
        <w:t xml:space="preserve"> </w:t>
      </w:r>
      <w:r w:rsidR="00055547" w:rsidRPr="00AB2C17">
        <w:rPr>
          <w:rFonts w:ascii="Times New Roman" w:hAnsi="Times New Roman" w:cs="Times New Roman"/>
          <w:color w:val="000000" w:themeColor="text1"/>
        </w:rPr>
        <w:t>to see if there was any evidence of differences in t</w:t>
      </w:r>
      <w:r w:rsidR="00DC3EF4" w:rsidRPr="00AB2C17">
        <w:rPr>
          <w:rFonts w:ascii="Times New Roman" w:hAnsi="Times New Roman" w:cs="Times New Roman"/>
          <w:color w:val="000000" w:themeColor="text1"/>
        </w:rPr>
        <w:t>urnout between ethnic minority L</w:t>
      </w:r>
      <w:r w:rsidR="00055547" w:rsidRPr="00AB2C17">
        <w:rPr>
          <w:rFonts w:ascii="Times New Roman" w:hAnsi="Times New Roman" w:cs="Times New Roman"/>
          <w:color w:val="000000" w:themeColor="text1"/>
        </w:rPr>
        <w:t>eave and Remain voters</w:t>
      </w:r>
      <w:r w:rsidR="00660F30" w:rsidRPr="00AB2C17">
        <w:rPr>
          <w:rFonts w:ascii="Times New Roman" w:hAnsi="Times New Roman" w:cs="Times New Roman"/>
          <w:color w:val="000000" w:themeColor="text1"/>
        </w:rPr>
        <w:t xml:space="preserve">. </w:t>
      </w:r>
      <w:r w:rsidR="009A531B">
        <w:rPr>
          <w:rFonts w:ascii="Times New Roman" w:hAnsi="Times New Roman" w:cs="Times New Roman"/>
          <w:color w:val="000000" w:themeColor="text1"/>
        </w:rPr>
        <w:t>There is</w:t>
      </w:r>
      <w:r w:rsidR="00660F30" w:rsidRPr="00AB2C17">
        <w:rPr>
          <w:rFonts w:ascii="Times New Roman" w:hAnsi="Times New Roman" w:cs="Times New Roman"/>
          <w:color w:val="000000" w:themeColor="text1"/>
        </w:rPr>
        <w:t xml:space="preserve"> no difference</w:t>
      </w:r>
      <w:r w:rsidR="009A531B">
        <w:rPr>
          <w:rFonts w:ascii="Times New Roman" w:hAnsi="Times New Roman" w:cs="Times New Roman"/>
          <w:color w:val="000000" w:themeColor="text1"/>
        </w:rPr>
        <w:t xml:space="preserve"> in 2019</w:t>
      </w:r>
      <w:r w:rsidR="00660F30" w:rsidRPr="00AB2C17">
        <w:rPr>
          <w:rFonts w:ascii="Times New Roman" w:hAnsi="Times New Roman" w:cs="Times New Roman"/>
          <w:color w:val="000000" w:themeColor="text1"/>
        </w:rPr>
        <w:t>; reported turnout is 79% of Remainers and 80% of Leavers among minorities (data are weighted)</w:t>
      </w:r>
      <w:r w:rsidR="009A531B">
        <w:rPr>
          <w:rFonts w:ascii="Times New Roman" w:hAnsi="Times New Roman" w:cs="Times New Roman"/>
          <w:color w:val="000000" w:themeColor="text1"/>
        </w:rPr>
        <w:t>. In 201</w:t>
      </w:r>
      <w:r w:rsidR="002E16FE">
        <w:rPr>
          <w:rFonts w:ascii="Times New Roman" w:hAnsi="Times New Roman" w:cs="Times New Roman"/>
          <w:color w:val="000000" w:themeColor="text1"/>
        </w:rPr>
        <w:t>5</w:t>
      </w:r>
      <w:r w:rsidR="009A531B">
        <w:rPr>
          <w:rFonts w:ascii="Times New Roman" w:hAnsi="Times New Roman" w:cs="Times New Roman"/>
          <w:color w:val="000000" w:themeColor="text1"/>
        </w:rPr>
        <w:t xml:space="preserve"> however </w:t>
      </w:r>
      <w:r w:rsidR="002E16FE">
        <w:rPr>
          <w:rFonts w:ascii="Times New Roman" w:hAnsi="Times New Roman" w:cs="Times New Roman"/>
          <w:color w:val="000000" w:themeColor="text1"/>
        </w:rPr>
        <w:t>there was a difference;</w:t>
      </w:r>
      <w:r w:rsidR="009A531B">
        <w:rPr>
          <w:rFonts w:ascii="Times New Roman" w:hAnsi="Times New Roman" w:cs="Times New Roman"/>
          <w:color w:val="000000" w:themeColor="text1"/>
        </w:rPr>
        <w:t xml:space="preserve"> turnout </w:t>
      </w:r>
      <w:r w:rsidR="002E16FE">
        <w:rPr>
          <w:rFonts w:ascii="Times New Roman" w:hAnsi="Times New Roman" w:cs="Times New Roman"/>
          <w:color w:val="000000" w:themeColor="text1"/>
        </w:rPr>
        <w:t>wa</w:t>
      </w:r>
      <w:r w:rsidR="009A531B">
        <w:rPr>
          <w:rFonts w:ascii="Times New Roman" w:hAnsi="Times New Roman" w:cs="Times New Roman"/>
          <w:color w:val="000000" w:themeColor="text1"/>
        </w:rPr>
        <w:t xml:space="preserve">s </w:t>
      </w:r>
      <w:r w:rsidR="002E16FE">
        <w:rPr>
          <w:rFonts w:ascii="Times New Roman" w:hAnsi="Times New Roman" w:cs="Times New Roman"/>
          <w:color w:val="000000" w:themeColor="text1"/>
        </w:rPr>
        <w:t>75% of Remainers and 87% of Leavers.</w:t>
      </w:r>
    </w:p>
    <w:p w14:paraId="1539BDA8" w14:textId="77777777" w:rsidR="00645000" w:rsidRDefault="00645000" w:rsidP="00683BA8">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1C6EF5C4" w14:textId="632D915F" w:rsidR="00645000" w:rsidRDefault="00645000" w:rsidP="00683BA8">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Bibliography</w:t>
      </w:r>
    </w:p>
    <w:p w14:paraId="2BD0F276" w14:textId="6F2786AE" w:rsidR="00645000" w:rsidRPr="00645000" w:rsidRDefault="00645000" w:rsidP="00683BA8">
      <w:pPr>
        <w:widowControl w:val="0"/>
        <w:autoSpaceDE w:val="0"/>
        <w:autoSpaceDN w:val="0"/>
        <w:adjustRightInd w:val="0"/>
        <w:spacing w:line="480" w:lineRule="auto"/>
        <w:ind w:left="480" w:hanging="480"/>
        <w:rPr>
          <w:rFonts w:ascii="Times New Roman" w:hAnsi="Times New Roman" w:cs="Times New Roman"/>
          <w:noProof/>
        </w:rPr>
      </w:pPr>
      <w:r>
        <w:rPr>
          <w:rFonts w:ascii="Times New Roman" w:hAnsi="Times New Roman" w:cs="Times New Roman"/>
          <w:color w:val="000000" w:themeColor="text1"/>
        </w:rPr>
        <w:fldChar w:fldCharType="begin" w:fldLock="1"/>
      </w:r>
      <w:r>
        <w:rPr>
          <w:rFonts w:ascii="Times New Roman" w:hAnsi="Times New Roman" w:cs="Times New Roman"/>
          <w:color w:val="000000" w:themeColor="text1"/>
        </w:rPr>
        <w:instrText xml:space="preserve">ADDIN Mendeley Bibliography CSL_BIBLIOGRAPHY </w:instrText>
      </w:r>
      <w:r>
        <w:rPr>
          <w:rFonts w:ascii="Times New Roman" w:hAnsi="Times New Roman" w:cs="Times New Roman"/>
          <w:color w:val="000000" w:themeColor="text1"/>
        </w:rPr>
        <w:fldChar w:fldCharType="separate"/>
      </w:r>
      <w:r w:rsidRPr="00645000">
        <w:rPr>
          <w:rFonts w:ascii="Times New Roman" w:hAnsi="Times New Roman" w:cs="Times New Roman"/>
          <w:noProof/>
        </w:rPr>
        <w:t xml:space="preserve">Ford, R., &amp; Goodwin, M. J. (2014). </w:t>
      </w:r>
      <w:r w:rsidRPr="00645000">
        <w:rPr>
          <w:rFonts w:ascii="Times New Roman" w:hAnsi="Times New Roman" w:cs="Times New Roman"/>
          <w:i/>
          <w:iCs/>
          <w:noProof/>
        </w:rPr>
        <w:t>Revolt on the Right: Explaining Support for the Radical Right in Britain</w:t>
      </w:r>
      <w:r w:rsidRPr="00645000">
        <w:rPr>
          <w:rFonts w:ascii="Times New Roman" w:hAnsi="Times New Roman" w:cs="Times New Roman"/>
          <w:noProof/>
        </w:rPr>
        <w:t>. Routledge.</w:t>
      </w:r>
    </w:p>
    <w:p w14:paraId="09F26692" w14:textId="77777777" w:rsidR="00645000" w:rsidRPr="00645000" w:rsidRDefault="00645000" w:rsidP="00683BA8">
      <w:pPr>
        <w:widowControl w:val="0"/>
        <w:autoSpaceDE w:val="0"/>
        <w:autoSpaceDN w:val="0"/>
        <w:adjustRightInd w:val="0"/>
        <w:spacing w:line="480" w:lineRule="auto"/>
        <w:ind w:left="480" w:hanging="480"/>
        <w:rPr>
          <w:rFonts w:ascii="Times New Roman" w:hAnsi="Times New Roman" w:cs="Times New Roman"/>
          <w:noProof/>
        </w:rPr>
      </w:pPr>
      <w:r w:rsidRPr="00645000">
        <w:rPr>
          <w:rFonts w:ascii="Times New Roman" w:hAnsi="Times New Roman" w:cs="Times New Roman"/>
          <w:noProof/>
        </w:rPr>
        <w:t xml:space="preserve">Ford, R., Goodwin, M. J., &amp; Cutts, D. (2011). Strategic Eurosceptics and polite xenophobes: Support for the United Kingdom Independence Party (UKIP) in the 2009 European Parliament elections. </w:t>
      </w:r>
      <w:r w:rsidRPr="00645000">
        <w:rPr>
          <w:rFonts w:ascii="Times New Roman" w:hAnsi="Times New Roman" w:cs="Times New Roman"/>
          <w:i/>
          <w:iCs/>
          <w:noProof/>
        </w:rPr>
        <w:t>European Journal of Political Research</w:t>
      </w:r>
      <w:r w:rsidRPr="00645000">
        <w:rPr>
          <w:rFonts w:ascii="Times New Roman" w:hAnsi="Times New Roman" w:cs="Times New Roman"/>
          <w:noProof/>
        </w:rPr>
        <w:t xml:space="preserve">, </w:t>
      </w:r>
      <w:r w:rsidRPr="00645000">
        <w:rPr>
          <w:rFonts w:ascii="Times New Roman" w:hAnsi="Times New Roman" w:cs="Times New Roman"/>
          <w:i/>
          <w:iCs/>
          <w:noProof/>
        </w:rPr>
        <w:t>51</w:t>
      </w:r>
      <w:r w:rsidRPr="00645000">
        <w:rPr>
          <w:rFonts w:ascii="Times New Roman" w:hAnsi="Times New Roman" w:cs="Times New Roman"/>
          <w:noProof/>
        </w:rPr>
        <w:t>(2), 204–234. http://doi.wiley.com/10.1111/j.1475-6765.2011.01994.x</w:t>
      </w:r>
    </w:p>
    <w:p w14:paraId="3355B061" w14:textId="77777777" w:rsidR="00645000" w:rsidRPr="00645000" w:rsidRDefault="00645000" w:rsidP="00683BA8">
      <w:pPr>
        <w:widowControl w:val="0"/>
        <w:autoSpaceDE w:val="0"/>
        <w:autoSpaceDN w:val="0"/>
        <w:adjustRightInd w:val="0"/>
        <w:spacing w:line="480" w:lineRule="auto"/>
        <w:ind w:left="480" w:hanging="480"/>
        <w:rPr>
          <w:rFonts w:ascii="Times New Roman" w:hAnsi="Times New Roman" w:cs="Times New Roman"/>
          <w:noProof/>
        </w:rPr>
      </w:pPr>
      <w:r w:rsidRPr="00645000">
        <w:rPr>
          <w:rFonts w:ascii="Times New Roman" w:hAnsi="Times New Roman" w:cs="Times New Roman"/>
          <w:noProof/>
        </w:rPr>
        <w:t xml:space="preserve">Prosser, C., Fieldhouse, E., Green, J., Mellon, J., &amp; Evans, G. (2020). Tremors but no Youthquake: Measuring changes in the age and turnout gradients at the 2015 and 2017 British general elections. </w:t>
      </w:r>
      <w:r w:rsidRPr="00645000">
        <w:rPr>
          <w:rFonts w:ascii="Times New Roman" w:hAnsi="Times New Roman" w:cs="Times New Roman"/>
          <w:i/>
          <w:iCs/>
          <w:noProof/>
        </w:rPr>
        <w:t>Electoral Studies</w:t>
      </w:r>
      <w:r w:rsidRPr="00645000">
        <w:rPr>
          <w:rFonts w:ascii="Times New Roman" w:hAnsi="Times New Roman" w:cs="Times New Roman"/>
          <w:noProof/>
        </w:rPr>
        <w:t xml:space="preserve">, </w:t>
      </w:r>
      <w:r w:rsidRPr="00645000">
        <w:rPr>
          <w:rFonts w:ascii="Times New Roman" w:hAnsi="Times New Roman" w:cs="Times New Roman"/>
          <w:i/>
          <w:iCs/>
          <w:noProof/>
        </w:rPr>
        <w:t>64</w:t>
      </w:r>
      <w:r w:rsidRPr="00645000">
        <w:rPr>
          <w:rFonts w:ascii="Times New Roman" w:hAnsi="Times New Roman" w:cs="Times New Roman"/>
          <w:noProof/>
        </w:rPr>
        <w:t>(January), 102129. https://doi.org/10.1016/j.electstud.2020.102129</w:t>
      </w:r>
    </w:p>
    <w:p w14:paraId="795C3BB2" w14:textId="77777777" w:rsidR="00645000" w:rsidRPr="00645000" w:rsidRDefault="00645000" w:rsidP="00683BA8">
      <w:pPr>
        <w:widowControl w:val="0"/>
        <w:autoSpaceDE w:val="0"/>
        <w:autoSpaceDN w:val="0"/>
        <w:adjustRightInd w:val="0"/>
        <w:spacing w:line="480" w:lineRule="auto"/>
        <w:ind w:left="480" w:hanging="480"/>
        <w:rPr>
          <w:rFonts w:ascii="Times New Roman" w:hAnsi="Times New Roman" w:cs="Times New Roman"/>
          <w:noProof/>
        </w:rPr>
      </w:pPr>
      <w:r w:rsidRPr="00645000">
        <w:rPr>
          <w:rFonts w:ascii="Times New Roman" w:hAnsi="Times New Roman" w:cs="Times New Roman"/>
          <w:noProof/>
        </w:rPr>
        <w:t xml:space="preserve">Shipman, T. (2017). </w:t>
      </w:r>
      <w:r w:rsidRPr="00645000">
        <w:rPr>
          <w:rFonts w:ascii="Times New Roman" w:hAnsi="Times New Roman" w:cs="Times New Roman"/>
          <w:i/>
          <w:iCs/>
          <w:noProof/>
        </w:rPr>
        <w:t>All out war: the full story of Brexit</w:t>
      </w:r>
      <w:r w:rsidRPr="00645000">
        <w:rPr>
          <w:rFonts w:ascii="Times New Roman" w:hAnsi="Times New Roman" w:cs="Times New Roman"/>
          <w:noProof/>
        </w:rPr>
        <w:t>. William Collins.</w:t>
      </w:r>
    </w:p>
    <w:p w14:paraId="626B2049" w14:textId="77777777" w:rsidR="00645000" w:rsidRPr="00645000" w:rsidRDefault="00645000" w:rsidP="00683BA8">
      <w:pPr>
        <w:widowControl w:val="0"/>
        <w:autoSpaceDE w:val="0"/>
        <w:autoSpaceDN w:val="0"/>
        <w:adjustRightInd w:val="0"/>
        <w:spacing w:line="480" w:lineRule="auto"/>
        <w:ind w:left="480" w:hanging="480"/>
        <w:rPr>
          <w:rFonts w:ascii="Times New Roman" w:hAnsi="Times New Roman" w:cs="Times New Roman"/>
          <w:noProof/>
        </w:rPr>
      </w:pPr>
      <w:r w:rsidRPr="00645000">
        <w:rPr>
          <w:rFonts w:ascii="Times New Roman" w:hAnsi="Times New Roman" w:cs="Times New Roman"/>
          <w:noProof/>
        </w:rPr>
        <w:t xml:space="preserve">Sobolewska, M., &amp; Ford, R. (2020). </w:t>
      </w:r>
      <w:r w:rsidRPr="00645000">
        <w:rPr>
          <w:rFonts w:ascii="Times New Roman" w:hAnsi="Times New Roman" w:cs="Times New Roman"/>
          <w:i/>
          <w:iCs/>
          <w:noProof/>
        </w:rPr>
        <w:t>Brexitland: Identity, diversity and the reshaping of British politics</w:t>
      </w:r>
      <w:r w:rsidRPr="00645000">
        <w:rPr>
          <w:rFonts w:ascii="Times New Roman" w:hAnsi="Times New Roman" w:cs="Times New Roman"/>
          <w:noProof/>
        </w:rPr>
        <w:t>. Cambridge University Press.</w:t>
      </w:r>
    </w:p>
    <w:p w14:paraId="662EE451" w14:textId="42C27DD7" w:rsidR="00645000" w:rsidRPr="00645000" w:rsidRDefault="00645000" w:rsidP="00683BA8">
      <w:pPr>
        <w:spacing w:line="480" w:lineRule="auto"/>
        <w:rPr>
          <w:rFonts w:ascii="Times New Roman" w:hAnsi="Times New Roman" w:cs="Times New Roman"/>
          <w:color w:val="000000" w:themeColor="text1"/>
        </w:rPr>
      </w:pPr>
      <w:r>
        <w:rPr>
          <w:rFonts w:ascii="Times New Roman" w:hAnsi="Times New Roman" w:cs="Times New Roman"/>
          <w:color w:val="000000" w:themeColor="text1"/>
        </w:rPr>
        <w:fldChar w:fldCharType="end"/>
      </w:r>
    </w:p>
    <w:p w14:paraId="616037EF" w14:textId="0CBC709E" w:rsidR="009770D4" w:rsidRPr="00AB2C17" w:rsidRDefault="009770D4" w:rsidP="00683BA8">
      <w:pPr>
        <w:spacing w:line="480" w:lineRule="auto"/>
        <w:rPr>
          <w:rFonts w:ascii="Times New Roman" w:hAnsi="Times New Roman" w:cs="Times New Roman"/>
          <w:color w:val="000000" w:themeColor="text1"/>
        </w:rPr>
      </w:pPr>
    </w:p>
    <w:sectPr w:rsidR="009770D4" w:rsidRPr="00AB2C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DE59" w14:textId="77777777" w:rsidR="00610A06" w:rsidRDefault="00610A06" w:rsidP="009770D4">
      <w:pPr>
        <w:spacing w:after="0" w:line="240" w:lineRule="auto"/>
      </w:pPr>
      <w:r>
        <w:separator/>
      </w:r>
    </w:p>
  </w:endnote>
  <w:endnote w:type="continuationSeparator" w:id="0">
    <w:p w14:paraId="45A07DA4" w14:textId="77777777" w:rsidR="00610A06" w:rsidRDefault="00610A06" w:rsidP="00977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29DA7" w14:textId="77777777" w:rsidR="00610A06" w:rsidRDefault="00610A06" w:rsidP="009770D4">
      <w:pPr>
        <w:spacing w:after="0" w:line="240" w:lineRule="auto"/>
      </w:pPr>
      <w:r>
        <w:separator/>
      </w:r>
    </w:p>
  </w:footnote>
  <w:footnote w:type="continuationSeparator" w:id="0">
    <w:p w14:paraId="6560C443" w14:textId="77777777" w:rsidR="00610A06" w:rsidRDefault="00610A06" w:rsidP="009770D4">
      <w:pPr>
        <w:spacing w:after="0" w:line="240" w:lineRule="auto"/>
      </w:pPr>
      <w:r>
        <w:continuationSeparator/>
      </w:r>
    </w:p>
  </w:footnote>
  <w:footnote w:id="1">
    <w:p w14:paraId="7325AC80" w14:textId="77777777" w:rsidR="009770D4" w:rsidRPr="00A47FF4" w:rsidRDefault="009770D4" w:rsidP="009770D4">
      <w:pPr>
        <w:pStyle w:val="FootnoteText"/>
        <w:spacing w:line="480" w:lineRule="auto"/>
        <w:rPr>
          <w:rFonts w:ascii="Times New Roman" w:hAnsi="Times New Roman" w:cs="Times New Roman"/>
          <w:color w:val="000000" w:themeColor="text1"/>
        </w:rPr>
      </w:pPr>
      <w:r w:rsidRPr="00A47FF4">
        <w:rPr>
          <w:rStyle w:val="FootnoteReference"/>
          <w:rFonts w:ascii="Times New Roman" w:hAnsi="Times New Roman" w:cs="Times New Roman"/>
          <w:color w:val="000000" w:themeColor="text1"/>
        </w:rPr>
        <w:footnoteRef/>
      </w:r>
      <w:r w:rsidRPr="00A47FF4">
        <w:rPr>
          <w:rFonts w:ascii="Times New Roman" w:hAnsi="Times New Roman" w:cs="Times New Roman"/>
          <w:color w:val="000000" w:themeColor="text1"/>
        </w:rPr>
        <w:t xml:space="preserve"> Farage was a polarising personality among the whole electorate, with Leave campaign sources aware that basing their strategy on the then-leader of UKIP “being rude about Romanians” was likely to lead to failure </w:t>
      </w:r>
      <w:r w:rsidRPr="00A47FF4">
        <w:rPr>
          <w:rFonts w:ascii="Times New Roman" w:hAnsi="Times New Roman" w:cs="Times New Roman"/>
          <w:color w:val="000000" w:themeColor="text1"/>
        </w:rPr>
        <w:fldChar w:fldCharType="begin" w:fldLock="1"/>
      </w:r>
      <w:r w:rsidRPr="00A47FF4">
        <w:rPr>
          <w:rFonts w:ascii="Times New Roman" w:hAnsi="Times New Roman" w:cs="Times New Roman"/>
          <w:color w:val="000000" w:themeColor="text1"/>
        </w:rPr>
        <w:instrText>ADDIN CSL_CITATION {"citationItems":[{"id":"ITEM-1","itemData":{"author":[{"dropping-particle":"","family":"Shipman","given":"Tim","non-dropping-particle":"","parse-names":false,"suffix":""}],"id":"ITEM-1","issued":{"date-parts":[["2017"]]},"publisher":"William Collins","publisher-place":"London","title":"All out war: the full story of Brexit","type":"book"},"uris":["http://www.mendeley.com/documents/?uuid=3065406a-71e9-4f65-a5c6-0161d0617a06"]}],"mendeley":{"formattedCitation":"(Shipman, 2017)","plainTextFormattedCitation":"(Shipman, 2017)","previouslyFormattedCitation":"(Shipman, 2017)"},"properties":{"noteIndex":0},"schema":"https://github.com/citation-style-language/schema/raw/master/csl-citation.json"}</w:instrText>
      </w:r>
      <w:r w:rsidRPr="00A47FF4">
        <w:rPr>
          <w:rFonts w:ascii="Times New Roman" w:hAnsi="Times New Roman" w:cs="Times New Roman"/>
          <w:color w:val="000000" w:themeColor="text1"/>
        </w:rPr>
        <w:fldChar w:fldCharType="separate"/>
      </w:r>
      <w:r w:rsidRPr="00A47FF4">
        <w:rPr>
          <w:rFonts w:ascii="Times New Roman" w:hAnsi="Times New Roman" w:cs="Times New Roman"/>
          <w:noProof/>
          <w:color w:val="000000" w:themeColor="text1"/>
        </w:rPr>
        <w:t>(Shipman, 2017)</w:t>
      </w:r>
      <w:r w:rsidRPr="00A47FF4">
        <w:rPr>
          <w:rFonts w:ascii="Times New Roman" w:hAnsi="Times New Roman" w:cs="Times New Roman"/>
          <w:color w:val="000000" w:themeColor="text1"/>
        </w:rPr>
        <w:fldChar w:fldCharType="end"/>
      </w:r>
      <w:r w:rsidRPr="00A47FF4">
        <w:rPr>
          <w:rFonts w:ascii="Times New Roman" w:hAnsi="Times New Roman" w:cs="Times New Roman"/>
          <w:color w:val="000000" w:themeColor="text1"/>
        </w:rPr>
        <w:t xml:space="preserve">. </w:t>
      </w:r>
    </w:p>
  </w:footnote>
  <w:footnote w:id="2">
    <w:p w14:paraId="3E90D3E1" w14:textId="07B28FFC" w:rsidR="00852071" w:rsidRPr="00A47FF4" w:rsidRDefault="00852071">
      <w:pPr>
        <w:pStyle w:val="FootnoteText"/>
        <w:rPr>
          <w:rFonts w:ascii="Times New Roman" w:hAnsi="Times New Roman" w:cs="Times New Roman"/>
          <w:color w:val="000000" w:themeColor="text1"/>
        </w:rPr>
      </w:pPr>
      <w:r w:rsidRPr="00A47FF4">
        <w:rPr>
          <w:rStyle w:val="FootnoteReference"/>
          <w:rFonts w:ascii="Times New Roman" w:hAnsi="Times New Roman" w:cs="Times New Roman"/>
          <w:color w:val="000000" w:themeColor="text1"/>
        </w:rPr>
        <w:footnoteRef/>
      </w:r>
      <w:r w:rsidRPr="00A47FF4">
        <w:rPr>
          <w:rFonts w:ascii="Times New Roman" w:hAnsi="Times New Roman" w:cs="Times New Roman"/>
          <w:color w:val="000000" w:themeColor="text1"/>
        </w:rPr>
        <w:t xml:space="preserve"> 4% said they didn’t know and 2% refused to answer.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C6"/>
    <w:rsid w:val="000345A1"/>
    <w:rsid w:val="0005353D"/>
    <w:rsid w:val="00055547"/>
    <w:rsid w:val="000B75D9"/>
    <w:rsid w:val="000D762D"/>
    <w:rsid w:val="000E195B"/>
    <w:rsid w:val="00174708"/>
    <w:rsid w:val="001C2182"/>
    <w:rsid w:val="002309C2"/>
    <w:rsid w:val="002468C8"/>
    <w:rsid w:val="002B03E0"/>
    <w:rsid w:val="002E16FE"/>
    <w:rsid w:val="00343FCD"/>
    <w:rsid w:val="004027AF"/>
    <w:rsid w:val="00425B45"/>
    <w:rsid w:val="004625B4"/>
    <w:rsid w:val="004C2C86"/>
    <w:rsid w:val="004D6F74"/>
    <w:rsid w:val="004E146F"/>
    <w:rsid w:val="004E2919"/>
    <w:rsid w:val="0052286E"/>
    <w:rsid w:val="0053429E"/>
    <w:rsid w:val="0055409F"/>
    <w:rsid w:val="00574BD4"/>
    <w:rsid w:val="00610A06"/>
    <w:rsid w:val="00645000"/>
    <w:rsid w:val="0065264C"/>
    <w:rsid w:val="00660F30"/>
    <w:rsid w:val="00663D7F"/>
    <w:rsid w:val="00672F70"/>
    <w:rsid w:val="00683BA8"/>
    <w:rsid w:val="006B798C"/>
    <w:rsid w:val="0071793B"/>
    <w:rsid w:val="007700B0"/>
    <w:rsid w:val="007F2CBD"/>
    <w:rsid w:val="00834D3C"/>
    <w:rsid w:val="0084551A"/>
    <w:rsid w:val="00852071"/>
    <w:rsid w:val="008D6EC6"/>
    <w:rsid w:val="00927113"/>
    <w:rsid w:val="00945EA1"/>
    <w:rsid w:val="009503AE"/>
    <w:rsid w:val="0097210A"/>
    <w:rsid w:val="009770D4"/>
    <w:rsid w:val="009A531B"/>
    <w:rsid w:val="00A33178"/>
    <w:rsid w:val="00A33687"/>
    <w:rsid w:val="00A47FF4"/>
    <w:rsid w:val="00A678D1"/>
    <w:rsid w:val="00AA3042"/>
    <w:rsid w:val="00AB2C17"/>
    <w:rsid w:val="00AE69DF"/>
    <w:rsid w:val="00AF1B8E"/>
    <w:rsid w:val="00B04EB4"/>
    <w:rsid w:val="00B132C5"/>
    <w:rsid w:val="00B13D2D"/>
    <w:rsid w:val="00B50490"/>
    <w:rsid w:val="00B95FBB"/>
    <w:rsid w:val="00C550F9"/>
    <w:rsid w:val="00C551B8"/>
    <w:rsid w:val="00C57B57"/>
    <w:rsid w:val="00C830BB"/>
    <w:rsid w:val="00CB7E0A"/>
    <w:rsid w:val="00CF14C1"/>
    <w:rsid w:val="00DA46CC"/>
    <w:rsid w:val="00DB1388"/>
    <w:rsid w:val="00DB14F8"/>
    <w:rsid w:val="00DC3EF4"/>
    <w:rsid w:val="00DF03AB"/>
    <w:rsid w:val="00DF1929"/>
    <w:rsid w:val="00E16FF9"/>
    <w:rsid w:val="00E24EC8"/>
    <w:rsid w:val="00E706C7"/>
    <w:rsid w:val="00F57715"/>
    <w:rsid w:val="00F7698C"/>
    <w:rsid w:val="00FB3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D78BE"/>
  <w15:chartTrackingRefBased/>
  <w15:docId w15:val="{AB0A214F-E20C-4B06-A365-BC0B8CA5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F2CBD"/>
    <w:rPr>
      <w:vertAlign w:val="superscript"/>
    </w:rPr>
  </w:style>
  <w:style w:type="paragraph" w:styleId="FootnoteText">
    <w:name w:val="footnote text"/>
    <w:basedOn w:val="Normal"/>
    <w:link w:val="FootnoteTextChar"/>
    <w:uiPriority w:val="99"/>
    <w:semiHidden/>
    <w:unhideWhenUsed/>
    <w:rsid w:val="009770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0D4"/>
    <w:rPr>
      <w:sz w:val="20"/>
      <w:szCs w:val="20"/>
    </w:rPr>
  </w:style>
  <w:style w:type="table" w:styleId="TableGrid">
    <w:name w:val="Table Grid"/>
    <w:basedOn w:val="TableNormal"/>
    <w:uiPriority w:val="39"/>
    <w:rsid w:val="00C830B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830BB"/>
    <w:pPr>
      <w:spacing w:after="200" w:line="240" w:lineRule="auto"/>
    </w:pPr>
    <w:rPr>
      <w:i/>
      <w:iCs/>
      <w:color w:val="44546A" w:themeColor="text2"/>
      <w:sz w:val="18"/>
      <w:szCs w:val="18"/>
    </w:rPr>
  </w:style>
  <w:style w:type="character" w:styleId="EndnoteReference">
    <w:name w:val="endnote reference"/>
    <w:basedOn w:val="DefaultParagraphFont"/>
    <w:uiPriority w:val="99"/>
    <w:semiHidden/>
    <w:unhideWhenUsed/>
    <w:rsid w:val="005228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3A2F9-E4F9-4C2F-9F8F-71FA5ADE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Martin</dc:creator>
  <cp:keywords/>
  <dc:description/>
  <cp:lastModifiedBy>Nicole Martin</cp:lastModifiedBy>
  <cp:revision>7</cp:revision>
  <dcterms:created xsi:type="dcterms:W3CDTF">2023-03-03T16:43:00Z</dcterms:created>
  <dcterms:modified xsi:type="dcterms:W3CDTF">2023-03-24T16:33:00Z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http://www.zotero.org/styles/british-journal-of-political-science</vt:lpwstr>
  </property>
  <property fmtid="{D5CDD505-2E9C-101B-9397-08002B2CF9AE}" pid="7" name="Mendeley Recent Style Name 2_1">
    <vt:lpwstr>British Journal of Political Science</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http://csl.mendeley.com/styles/24349211/harvard-cite-them-right</vt:lpwstr>
  </property>
  <property fmtid="{D5CDD505-2E9C-101B-9397-08002B2CF9AE}" pid="11" name="Mendeley Recent Style Name 4_1">
    <vt:lpwstr>Cite Them Right 10th edition - Harvard - Jonathan Mellon</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http://www.zotero.org/styles/elsevier-harvard</vt:lpwstr>
  </property>
  <property fmtid="{D5CDD505-2E9C-101B-9397-08002B2CF9AE}" pid="15" name="Mendeley Recent Style Name 6_1">
    <vt:lpwstr>Elsevier - Harvard (with titles)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03f780b6-fbaa-3f39-b4f8-478c5e2a2fea</vt:lpwstr>
  </property>
  <property fmtid="{D5CDD505-2E9C-101B-9397-08002B2CF9AE}" pid="24" name="Mendeley Citation Style_1">
    <vt:lpwstr>http://www.zotero.org/styles/apa</vt:lpwstr>
  </property>
</Properties>
</file>