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AAEF3" w14:textId="77777777" w:rsidR="009E32DC" w:rsidRPr="001B185B" w:rsidRDefault="009E32DC" w:rsidP="009E32DC">
      <w:pPr>
        <w:jc w:val="both"/>
        <w:outlineLvl w:val="0"/>
        <w:rPr>
          <w:rFonts w:ascii="Times New Roman" w:hAnsi="Times New Roman" w:cs="Times New Roman"/>
          <w:b/>
          <w:sz w:val="24"/>
          <w:szCs w:val="24"/>
        </w:rPr>
      </w:pPr>
      <w:bookmarkStart w:id="0" w:name="_GoBack"/>
      <w:bookmarkEnd w:id="0"/>
      <w:r w:rsidRPr="001B185B">
        <w:rPr>
          <w:rFonts w:ascii="Times New Roman" w:hAnsi="Times New Roman" w:cs="Times New Roman"/>
          <w:b/>
          <w:sz w:val="24"/>
          <w:szCs w:val="24"/>
        </w:rPr>
        <w:t>Appendix A. Additional</w:t>
      </w:r>
      <w:r>
        <w:rPr>
          <w:rFonts w:ascii="Times New Roman" w:hAnsi="Times New Roman" w:cs="Times New Roman"/>
          <w:b/>
          <w:sz w:val="24"/>
          <w:szCs w:val="24"/>
        </w:rPr>
        <w:t xml:space="preserve"> </w:t>
      </w:r>
      <w:r w:rsidR="00B76B03">
        <w:rPr>
          <w:rFonts w:ascii="Times New Roman" w:hAnsi="Times New Roman" w:cs="Times New Roman"/>
          <w:b/>
          <w:sz w:val="24"/>
          <w:szCs w:val="24"/>
        </w:rPr>
        <w:t>T</w:t>
      </w:r>
      <w:r>
        <w:rPr>
          <w:rFonts w:ascii="Times New Roman" w:hAnsi="Times New Roman" w:cs="Times New Roman"/>
          <w:b/>
          <w:sz w:val="24"/>
          <w:szCs w:val="24"/>
        </w:rPr>
        <w:t>ables and</w:t>
      </w:r>
      <w:r w:rsidRPr="001B185B">
        <w:rPr>
          <w:rFonts w:ascii="Times New Roman" w:hAnsi="Times New Roman" w:cs="Times New Roman"/>
          <w:b/>
          <w:sz w:val="24"/>
          <w:szCs w:val="24"/>
        </w:rPr>
        <w:t xml:space="preserve"> </w:t>
      </w:r>
      <w:r w:rsidR="00B76B03">
        <w:rPr>
          <w:rFonts w:ascii="Times New Roman" w:hAnsi="Times New Roman" w:cs="Times New Roman"/>
          <w:b/>
          <w:sz w:val="24"/>
          <w:szCs w:val="24"/>
        </w:rPr>
        <w:t>F</w:t>
      </w:r>
      <w:r w:rsidRPr="001B185B">
        <w:rPr>
          <w:rFonts w:ascii="Times New Roman" w:hAnsi="Times New Roman" w:cs="Times New Roman"/>
          <w:b/>
          <w:sz w:val="24"/>
          <w:szCs w:val="24"/>
        </w:rPr>
        <w:t>igures</w:t>
      </w:r>
    </w:p>
    <w:p w14:paraId="08E6959E" w14:textId="77777777" w:rsidR="009E32DC" w:rsidRPr="001B185B" w:rsidRDefault="009E32DC" w:rsidP="009E32DC">
      <w:pPr>
        <w:outlineLvl w:val="0"/>
        <w:rPr>
          <w:rFonts w:ascii="Times New Roman" w:hAnsi="Times New Roman" w:cs="Times New Roman"/>
          <w:sz w:val="24"/>
          <w:szCs w:val="24"/>
        </w:rPr>
      </w:pPr>
      <w:r w:rsidRPr="001B185B">
        <w:rPr>
          <w:rFonts w:ascii="Times New Roman" w:hAnsi="Times New Roman" w:cs="Times New Roman"/>
          <w:b/>
          <w:sz w:val="24"/>
          <w:szCs w:val="24"/>
        </w:rPr>
        <w:t xml:space="preserve">Table 1A. Propensity </w:t>
      </w:r>
      <w:r w:rsidR="00B76B03">
        <w:rPr>
          <w:rFonts w:ascii="Times New Roman" w:hAnsi="Times New Roman" w:cs="Times New Roman"/>
          <w:b/>
          <w:sz w:val="24"/>
          <w:szCs w:val="24"/>
        </w:rPr>
        <w:t>S</w:t>
      </w:r>
      <w:r w:rsidRPr="001B185B">
        <w:rPr>
          <w:rFonts w:ascii="Times New Roman" w:hAnsi="Times New Roman" w:cs="Times New Roman"/>
          <w:b/>
          <w:sz w:val="24"/>
          <w:szCs w:val="24"/>
        </w:rPr>
        <w:t xml:space="preserve">core </w:t>
      </w:r>
      <w:r w:rsidR="00B76B03">
        <w:rPr>
          <w:rFonts w:ascii="Times New Roman" w:hAnsi="Times New Roman" w:cs="Times New Roman"/>
          <w:b/>
          <w:sz w:val="24"/>
          <w:szCs w:val="24"/>
        </w:rPr>
        <w:t>S</w:t>
      </w:r>
      <w:r w:rsidRPr="001B185B">
        <w:rPr>
          <w:rFonts w:ascii="Times New Roman" w:hAnsi="Times New Roman" w:cs="Times New Roman"/>
          <w:b/>
          <w:sz w:val="24"/>
          <w:szCs w:val="24"/>
        </w:rPr>
        <w:t xml:space="preserve">peciﬁcation </w:t>
      </w:r>
      <m:oMath>
        <m:r>
          <m:rPr>
            <m:sty m:val="b"/>
          </m:rPr>
          <w:rPr>
            <w:rFonts w:ascii="Cambria Math" w:hAnsi="Cambria Math" w:cs="Times New Roman"/>
            <w:sz w:val="24"/>
            <w:szCs w:val="24"/>
          </w:rPr>
          <m:t>Pr⁡</m:t>
        </m:r>
        <m:r>
          <m:rPr>
            <m:sty m:val="bi"/>
          </m:rPr>
          <w:rPr>
            <w:rFonts w:ascii="Cambria Math" w:hAnsi="Cambria Math" w:cs="Times New Roman"/>
            <w:sz w:val="24"/>
            <w:szCs w:val="24"/>
          </w:rPr>
          <m:t>(T=1|X)</m:t>
        </m:r>
      </m:oMath>
    </w:p>
    <w:tbl>
      <w:tblPr>
        <w:tblW w:w="5000" w:type="pct"/>
        <w:tblLook w:val="04A0" w:firstRow="1" w:lastRow="0" w:firstColumn="1" w:lastColumn="0" w:noHBand="0" w:noVBand="1"/>
      </w:tblPr>
      <w:tblGrid>
        <w:gridCol w:w="5501"/>
        <w:gridCol w:w="909"/>
        <w:gridCol w:w="823"/>
        <w:gridCol w:w="991"/>
        <w:gridCol w:w="1018"/>
      </w:tblGrid>
      <w:tr w:rsidR="009E32DC" w:rsidRPr="001B185B" w14:paraId="19E2CDDD" w14:textId="77777777" w:rsidTr="00930315">
        <w:trPr>
          <w:trHeight w:val="324"/>
        </w:trPr>
        <w:tc>
          <w:tcPr>
            <w:tcW w:w="2976" w:type="pct"/>
            <w:tcBorders>
              <w:top w:val="single" w:sz="4" w:space="0" w:color="auto"/>
              <w:bottom w:val="single" w:sz="4" w:space="0" w:color="auto"/>
            </w:tcBorders>
            <w:shd w:val="clear" w:color="auto" w:fill="auto"/>
            <w:noWrap/>
            <w:vAlign w:val="bottom"/>
            <w:hideMark/>
          </w:tcPr>
          <w:p w14:paraId="1106931C" w14:textId="77777777" w:rsidR="009E32DC" w:rsidRPr="00D2470D" w:rsidRDefault="009E32DC" w:rsidP="00D2470D">
            <w:pPr>
              <w:spacing w:after="0" w:line="360" w:lineRule="auto"/>
              <w:rPr>
                <w:rFonts w:ascii="Times New Roman" w:eastAsia="Times New Roman" w:hAnsi="Times New Roman" w:cs="Times New Roman"/>
                <w:b/>
                <w:sz w:val="24"/>
                <w:szCs w:val="24"/>
                <w:lang w:val="en-US"/>
              </w:rPr>
            </w:pPr>
            <w:r w:rsidRPr="00D2470D">
              <w:rPr>
                <w:rFonts w:ascii="Times New Roman" w:eastAsia="Times New Roman" w:hAnsi="Times New Roman" w:cs="Times New Roman"/>
                <w:b/>
                <w:sz w:val="24"/>
                <w:szCs w:val="24"/>
                <w:lang w:val="en-US"/>
              </w:rPr>
              <w:t>Regressors</w:t>
            </w:r>
          </w:p>
        </w:tc>
        <w:tc>
          <w:tcPr>
            <w:tcW w:w="492" w:type="pct"/>
            <w:tcBorders>
              <w:top w:val="single" w:sz="4" w:space="0" w:color="auto"/>
              <w:bottom w:val="single" w:sz="4" w:space="0" w:color="auto"/>
            </w:tcBorders>
            <w:shd w:val="clear" w:color="auto" w:fill="auto"/>
            <w:noWrap/>
            <w:vAlign w:val="bottom"/>
            <w:hideMark/>
          </w:tcPr>
          <w:p w14:paraId="4446624D" w14:textId="77777777" w:rsidR="009E32DC" w:rsidRPr="00D2470D" w:rsidRDefault="00177570" w:rsidP="00D2470D">
            <w:pPr>
              <w:spacing w:after="0" w:line="360" w:lineRule="auto"/>
              <w:jc w:val="center"/>
              <w:rPr>
                <w:rFonts w:ascii="Times New Roman" w:eastAsia="Times New Roman" w:hAnsi="Times New Roman" w:cs="Times New Roman"/>
                <w:b/>
                <w:sz w:val="24"/>
                <w:szCs w:val="24"/>
                <w:lang w:val="en-US"/>
              </w:rPr>
            </w:pPr>
            <w:r w:rsidRPr="00D2470D">
              <w:rPr>
                <w:rFonts w:ascii="Times New Roman" w:eastAsia="Times New Roman" w:hAnsi="Times New Roman" w:cs="Times New Roman"/>
                <w:b/>
                <w:sz w:val="24"/>
                <w:szCs w:val="24"/>
                <w:lang w:val="en-US"/>
              </w:rPr>
              <w:t>C</w:t>
            </w:r>
            <w:r w:rsidR="009E32DC" w:rsidRPr="00D2470D">
              <w:rPr>
                <w:rFonts w:ascii="Times New Roman" w:eastAsia="Times New Roman" w:hAnsi="Times New Roman" w:cs="Times New Roman"/>
                <w:b/>
                <w:sz w:val="24"/>
                <w:szCs w:val="24"/>
                <w:lang w:val="en-US"/>
              </w:rPr>
              <w:t>oef.</w:t>
            </w:r>
          </w:p>
        </w:tc>
        <w:tc>
          <w:tcPr>
            <w:tcW w:w="445" w:type="pct"/>
            <w:tcBorders>
              <w:top w:val="single" w:sz="4" w:space="0" w:color="auto"/>
              <w:bottom w:val="single" w:sz="4" w:space="0" w:color="auto"/>
            </w:tcBorders>
            <w:shd w:val="clear" w:color="auto" w:fill="auto"/>
            <w:noWrap/>
            <w:vAlign w:val="bottom"/>
            <w:hideMark/>
          </w:tcPr>
          <w:p w14:paraId="5B36089A" w14:textId="77777777" w:rsidR="009E32DC" w:rsidRPr="00D2470D" w:rsidRDefault="009E32DC" w:rsidP="00D2470D">
            <w:pPr>
              <w:spacing w:after="0" w:line="360" w:lineRule="auto"/>
              <w:jc w:val="center"/>
              <w:rPr>
                <w:rFonts w:ascii="Times New Roman" w:eastAsia="Times New Roman" w:hAnsi="Times New Roman" w:cs="Times New Roman"/>
                <w:b/>
                <w:sz w:val="24"/>
                <w:szCs w:val="24"/>
                <w:lang w:val="en-US"/>
              </w:rPr>
            </w:pPr>
            <w:r w:rsidRPr="00D2470D">
              <w:rPr>
                <w:rFonts w:ascii="Times New Roman" w:eastAsia="Times New Roman" w:hAnsi="Times New Roman" w:cs="Times New Roman"/>
                <w:b/>
                <w:sz w:val="24"/>
                <w:szCs w:val="24"/>
                <w:lang w:val="en-US"/>
              </w:rPr>
              <w:t>s.e.</w:t>
            </w:r>
          </w:p>
        </w:tc>
        <w:tc>
          <w:tcPr>
            <w:tcW w:w="536" w:type="pct"/>
            <w:tcBorders>
              <w:top w:val="single" w:sz="4" w:space="0" w:color="auto"/>
              <w:bottom w:val="single" w:sz="4" w:space="0" w:color="auto"/>
            </w:tcBorders>
            <w:shd w:val="clear" w:color="auto" w:fill="auto"/>
            <w:noWrap/>
            <w:vAlign w:val="bottom"/>
            <w:hideMark/>
          </w:tcPr>
          <w:p w14:paraId="42F4D39D" w14:textId="77777777" w:rsidR="009E32DC" w:rsidRPr="00D2470D" w:rsidRDefault="009E32DC" w:rsidP="00D2470D">
            <w:pPr>
              <w:spacing w:after="0" w:line="360" w:lineRule="auto"/>
              <w:jc w:val="center"/>
              <w:rPr>
                <w:rFonts w:ascii="Times New Roman" w:eastAsia="Times New Roman" w:hAnsi="Times New Roman" w:cs="Times New Roman"/>
                <w:b/>
                <w:sz w:val="24"/>
                <w:szCs w:val="24"/>
                <w:lang w:val="en-US"/>
              </w:rPr>
            </w:pPr>
            <w:r w:rsidRPr="00D2470D">
              <w:rPr>
                <w:rFonts w:ascii="Times New Roman" w:eastAsia="Times New Roman" w:hAnsi="Times New Roman" w:cs="Times New Roman"/>
                <w:b/>
                <w:i/>
                <w:sz w:val="24"/>
                <w:szCs w:val="24"/>
                <w:lang w:val="en-US"/>
              </w:rPr>
              <w:t>z</w:t>
            </w:r>
            <w:r w:rsidRPr="00D2470D">
              <w:rPr>
                <w:rFonts w:ascii="Times New Roman" w:eastAsia="Times New Roman" w:hAnsi="Times New Roman" w:cs="Times New Roman"/>
                <w:b/>
                <w:sz w:val="24"/>
                <w:szCs w:val="24"/>
                <w:lang w:val="en-US"/>
              </w:rPr>
              <w:t>-value</w:t>
            </w:r>
          </w:p>
        </w:tc>
        <w:tc>
          <w:tcPr>
            <w:tcW w:w="551" w:type="pct"/>
            <w:tcBorders>
              <w:top w:val="single" w:sz="4" w:space="0" w:color="auto"/>
              <w:bottom w:val="single" w:sz="4" w:space="0" w:color="auto"/>
            </w:tcBorders>
            <w:shd w:val="clear" w:color="auto" w:fill="auto"/>
            <w:noWrap/>
            <w:vAlign w:val="bottom"/>
            <w:hideMark/>
          </w:tcPr>
          <w:p w14:paraId="4566F571" w14:textId="77777777" w:rsidR="009E32DC" w:rsidRPr="00D2470D" w:rsidRDefault="009E32DC" w:rsidP="00D2470D">
            <w:pPr>
              <w:spacing w:after="0" w:line="360" w:lineRule="auto"/>
              <w:jc w:val="center"/>
              <w:rPr>
                <w:rFonts w:ascii="Times New Roman" w:eastAsia="Times New Roman" w:hAnsi="Times New Roman" w:cs="Times New Roman"/>
                <w:b/>
                <w:sz w:val="24"/>
                <w:szCs w:val="24"/>
                <w:lang w:val="en-US"/>
              </w:rPr>
            </w:pPr>
            <w:r w:rsidRPr="00D2470D">
              <w:rPr>
                <w:rFonts w:ascii="Times New Roman" w:eastAsia="Times New Roman" w:hAnsi="Times New Roman" w:cs="Times New Roman"/>
                <w:b/>
                <w:i/>
                <w:sz w:val="24"/>
                <w:szCs w:val="24"/>
                <w:lang w:val="en-US"/>
              </w:rPr>
              <w:t>p</w:t>
            </w:r>
            <w:r w:rsidRPr="00D2470D">
              <w:rPr>
                <w:rFonts w:ascii="Times New Roman" w:eastAsia="Times New Roman" w:hAnsi="Times New Roman" w:cs="Times New Roman"/>
                <w:b/>
                <w:sz w:val="24"/>
                <w:szCs w:val="24"/>
                <w:lang w:val="en-US"/>
              </w:rPr>
              <w:t>-value</w:t>
            </w:r>
          </w:p>
        </w:tc>
      </w:tr>
      <w:tr w:rsidR="009E32DC" w:rsidRPr="001B185B" w14:paraId="077993EA" w14:textId="77777777" w:rsidTr="00930315">
        <w:trPr>
          <w:trHeight w:val="312"/>
        </w:trPr>
        <w:tc>
          <w:tcPr>
            <w:tcW w:w="2976" w:type="pct"/>
            <w:tcBorders>
              <w:top w:val="single" w:sz="4" w:space="0" w:color="auto"/>
            </w:tcBorders>
            <w:shd w:val="clear" w:color="auto" w:fill="auto"/>
            <w:noWrap/>
            <w:vAlign w:val="center"/>
            <w:hideMark/>
          </w:tcPr>
          <w:p w14:paraId="2D005AA6" w14:textId="77777777" w:rsidR="009E32DC" w:rsidRPr="001B185B" w:rsidRDefault="009E32DC" w:rsidP="00D2470D">
            <w:pPr>
              <w:spacing w:after="0" w:line="360" w:lineRule="auto"/>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rPr>
              <w:t>Age</w:t>
            </w:r>
          </w:p>
        </w:tc>
        <w:tc>
          <w:tcPr>
            <w:tcW w:w="492" w:type="pct"/>
            <w:tcBorders>
              <w:top w:val="single" w:sz="4" w:space="0" w:color="auto"/>
            </w:tcBorders>
            <w:shd w:val="clear" w:color="auto" w:fill="auto"/>
            <w:noWrap/>
            <w:vAlign w:val="bottom"/>
            <w:hideMark/>
          </w:tcPr>
          <w:p w14:paraId="01A25119" w14:textId="77777777" w:rsidR="009E32DC" w:rsidRPr="001B185B" w:rsidRDefault="009E32DC"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-0.025</w:t>
            </w:r>
          </w:p>
        </w:tc>
        <w:tc>
          <w:tcPr>
            <w:tcW w:w="445" w:type="pct"/>
            <w:tcBorders>
              <w:top w:val="single" w:sz="4" w:space="0" w:color="auto"/>
            </w:tcBorders>
            <w:shd w:val="clear" w:color="auto" w:fill="auto"/>
            <w:noWrap/>
            <w:vAlign w:val="bottom"/>
            <w:hideMark/>
          </w:tcPr>
          <w:p w14:paraId="4B0DE7CD" w14:textId="77777777" w:rsidR="009E32DC" w:rsidRPr="001B185B" w:rsidRDefault="009E32DC"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0.016</w:t>
            </w:r>
          </w:p>
        </w:tc>
        <w:tc>
          <w:tcPr>
            <w:tcW w:w="536" w:type="pct"/>
            <w:tcBorders>
              <w:top w:val="single" w:sz="4" w:space="0" w:color="auto"/>
            </w:tcBorders>
            <w:shd w:val="clear" w:color="auto" w:fill="auto"/>
            <w:noWrap/>
            <w:vAlign w:val="bottom"/>
            <w:hideMark/>
          </w:tcPr>
          <w:p w14:paraId="6F827465" w14:textId="77777777" w:rsidR="009E32DC" w:rsidRPr="001B185B" w:rsidRDefault="009E32DC"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-1.520</w:t>
            </w:r>
          </w:p>
        </w:tc>
        <w:tc>
          <w:tcPr>
            <w:tcW w:w="551" w:type="pct"/>
            <w:tcBorders>
              <w:top w:val="single" w:sz="4" w:space="0" w:color="auto"/>
            </w:tcBorders>
            <w:shd w:val="clear" w:color="auto" w:fill="auto"/>
            <w:noWrap/>
            <w:vAlign w:val="bottom"/>
            <w:hideMark/>
          </w:tcPr>
          <w:p w14:paraId="7AB83296" w14:textId="77777777" w:rsidR="009E32DC" w:rsidRPr="001B185B" w:rsidRDefault="009E32DC"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0.129</w:t>
            </w:r>
          </w:p>
        </w:tc>
      </w:tr>
      <w:tr w:rsidR="009E32DC" w:rsidRPr="001B185B" w14:paraId="3B3CDDF0" w14:textId="77777777" w:rsidTr="00930315">
        <w:trPr>
          <w:trHeight w:val="312"/>
        </w:trPr>
        <w:tc>
          <w:tcPr>
            <w:tcW w:w="2976" w:type="pct"/>
            <w:shd w:val="clear" w:color="auto" w:fill="auto"/>
            <w:noWrap/>
            <w:vAlign w:val="center"/>
            <w:hideMark/>
          </w:tcPr>
          <w:p w14:paraId="5E2C2F61" w14:textId="77777777" w:rsidR="009E32DC" w:rsidRPr="001B185B" w:rsidRDefault="009E32DC" w:rsidP="00D2470D">
            <w:pPr>
              <w:spacing w:after="0" w:line="360" w:lineRule="auto"/>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rPr>
              <w:t>Male (binary)</w:t>
            </w:r>
          </w:p>
        </w:tc>
        <w:tc>
          <w:tcPr>
            <w:tcW w:w="492" w:type="pct"/>
            <w:shd w:val="clear" w:color="auto" w:fill="auto"/>
            <w:noWrap/>
            <w:vAlign w:val="bottom"/>
            <w:hideMark/>
          </w:tcPr>
          <w:p w14:paraId="60227EFE" w14:textId="77777777" w:rsidR="009E32DC" w:rsidRPr="001B185B" w:rsidRDefault="009E32DC"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0.132</w:t>
            </w:r>
          </w:p>
        </w:tc>
        <w:tc>
          <w:tcPr>
            <w:tcW w:w="445" w:type="pct"/>
            <w:shd w:val="clear" w:color="auto" w:fill="auto"/>
            <w:noWrap/>
            <w:vAlign w:val="bottom"/>
            <w:hideMark/>
          </w:tcPr>
          <w:p w14:paraId="266EBF8D" w14:textId="77777777" w:rsidR="009E32DC" w:rsidRPr="001B185B" w:rsidRDefault="009E32DC"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0.203</w:t>
            </w:r>
          </w:p>
        </w:tc>
        <w:tc>
          <w:tcPr>
            <w:tcW w:w="536" w:type="pct"/>
            <w:shd w:val="clear" w:color="auto" w:fill="auto"/>
            <w:noWrap/>
            <w:vAlign w:val="bottom"/>
            <w:hideMark/>
          </w:tcPr>
          <w:p w14:paraId="01B73F92" w14:textId="77777777" w:rsidR="009E32DC" w:rsidRPr="001B185B" w:rsidRDefault="009E32DC"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0.650</w:t>
            </w:r>
          </w:p>
        </w:tc>
        <w:tc>
          <w:tcPr>
            <w:tcW w:w="551" w:type="pct"/>
            <w:shd w:val="clear" w:color="auto" w:fill="auto"/>
            <w:noWrap/>
            <w:vAlign w:val="bottom"/>
            <w:hideMark/>
          </w:tcPr>
          <w:p w14:paraId="6E0E721E" w14:textId="77777777" w:rsidR="009E32DC" w:rsidRPr="001B185B" w:rsidRDefault="009E32DC"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0.514</w:t>
            </w:r>
          </w:p>
        </w:tc>
      </w:tr>
      <w:tr w:rsidR="00DC5561" w:rsidRPr="00DC5561" w14:paraId="3CA193F4" w14:textId="77777777" w:rsidTr="00930315">
        <w:trPr>
          <w:trHeight w:val="312"/>
        </w:trPr>
        <w:tc>
          <w:tcPr>
            <w:tcW w:w="2976" w:type="pct"/>
            <w:shd w:val="clear" w:color="auto" w:fill="auto"/>
            <w:noWrap/>
            <w:vAlign w:val="center"/>
            <w:hideMark/>
          </w:tcPr>
          <w:p w14:paraId="291B2677" w14:textId="77777777" w:rsidR="002A21FD" w:rsidRPr="001B185B" w:rsidRDefault="00836D21" w:rsidP="00D2470D">
            <w:pPr>
              <w:spacing w:after="0" w:line="360" w:lineRule="auto"/>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rPr>
              <w:t>Education: high school (binary)</w:t>
            </w:r>
          </w:p>
        </w:tc>
        <w:tc>
          <w:tcPr>
            <w:tcW w:w="492" w:type="pct"/>
            <w:shd w:val="clear" w:color="auto" w:fill="auto"/>
            <w:noWrap/>
            <w:vAlign w:val="bottom"/>
            <w:hideMark/>
          </w:tcPr>
          <w:p w14:paraId="119F7AC0" w14:textId="77777777" w:rsidR="002A21FD" w:rsidRPr="00DC5561" w:rsidRDefault="002A21FD" w:rsidP="00D2470D">
            <w:pPr>
              <w:spacing w:after="0" w:line="360" w:lineRule="auto"/>
              <w:jc w:val="center"/>
              <w:rPr>
                <w:rFonts w:ascii="Times New Roman" w:eastAsia="Times New Roman" w:hAnsi="Times New Roman" w:cs="Times New Roman"/>
                <w:sz w:val="24"/>
                <w:szCs w:val="24"/>
                <w:lang w:val="en-US"/>
              </w:rPr>
            </w:pPr>
            <w:r w:rsidRPr="00DC5561">
              <w:rPr>
                <w:rFonts w:ascii="Times New Roman" w:eastAsia="Times New Roman" w:hAnsi="Times New Roman" w:cs="Times New Roman"/>
                <w:sz w:val="24"/>
                <w:szCs w:val="24"/>
                <w:lang w:val="en-US"/>
              </w:rPr>
              <w:t>0.831</w:t>
            </w:r>
          </w:p>
        </w:tc>
        <w:tc>
          <w:tcPr>
            <w:tcW w:w="445" w:type="pct"/>
            <w:shd w:val="clear" w:color="auto" w:fill="auto"/>
            <w:noWrap/>
            <w:vAlign w:val="bottom"/>
            <w:hideMark/>
          </w:tcPr>
          <w:p w14:paraId="2E34D139" w14:textId="77777777" w:rsidR="002A21FD" w:rsidRPr="00DC5561" w:rsidRDefault="002A21FD" w:rsidP="00D2470D">
            <w:pPr>
              <w:spacing w:after="0" w:line="360" w:lineRule="auto"/>
              <w:jc w:val="center"/>
              <w:rPr>
                <w:rFonts w:ascii="Times New Roman" w:eastAsia="Times New Roman" w:hAnsi="Times New Roman" w:cs="Times New Roman"/>
                <w:sz w:val="24"/>
                <w:szCs w:val="24"/>
                <w:lang w:val="en-US"/>
              </w:rPr>
            </w:pPr>
            <w:r w:rsidRPr="00DC5561">
              <w:rPr>
                <w:rFonts w:ascii="Times New Roman" w:eastAsia="Times New Roman" w:hAnsi="Times New Roman" w:cs="Times New Roman"/>
                <w:sz w:val="24"/>
                <w:szCs w:val="24"/>
                <w:lang w:val="en-US"/>
              </w:rPr>
              <w:t>0.329</w:t>
            </w:r>
          </w:p>
        </w:tc>
        <w:tc>
          <w:tcPr>
            <w:tcW w:w="536" w:type="pct"/>
            <w:shd w:val="clear" w:color="auto" w:fill="auto"/>
            <w:noWrap/>
            <w:vAlign w:val="bottom"/>
            <w:hideMark/>
          </w:tcPr>
          <w:p w14:paraId="3B4B3766" w14:textId="77777777" w:rsidR="002A21FD" w:rsidRPr="00DC5561" w:rsidRDefault="002A21FD" w:rsidP="00D2470D">
            <w:pPr>
              <w:spacing w:after="0" w:line="360" w:lineRule="auto"/>
              <w:jc w:val="center"/>
              <w:rPr>
                <w:rFonts w:ascii="Times New Roman" w:eastAsia="Times New Roman" w:hAnsi="Times New Roman" w:cs="Times New Roman"/>
                <w:sz w:val="24"/>
                <w:szCs w:val="24"/>
                <w:lang w:val="en-US"/>
              </w:rPr>
            </w:pPr>
            <w:r w:rsidRPr="00DC5561">
              <w:rPr>
                <w:rFonts w:ascii="Times New Roman" w:eastAsia="Times New Roman" w:hAnsi="Times New Roman" w:cs="Times New Roman"/>
                <w:sz w:val="24"/>
                <w:szCs w:val="24"/>
                <w:lang w:val="en-US"/>
              </w:rPr>
              <w:t>2.530</w:t>
            </w:r>
          </w:p>
        </w:tc>
        <w:tc>
          <w:tcPr>
            <w:tcW w:w="551" w:type="pct"/>
            <w:shd w:val="clear" w:color="auto" w:fill="auto"/>
            <w:noWrap/>
            <w:vAlign w:val="bottom"/>
            <w:hideMark/>
          </w:tcPr>
          <w:p w14:paraId="4F9906AA" w14:textId="77777777" w:rsidR="002A21FD" w:rsidRPr="00DC5561" w:rsidRDefault="002A21FD" w:rsidP="00D2470D">
            <w:pPr>
              <w:spacing w:after="0" w:line="360" w:lineRule="auto"/>
              <w:jc w:val="center"/>
              <w:rPr>
                <w:rFonts w:ascii="Times New Roman" w:eastAsia="Times New Roman" w:hAnsi="Times New Roman" w:cs="Times New Roman"/>
                <w:sz w:val="24"/>
                <w:szCs w:val="24"/>
                <w:lang w:val="en-US"/>
              </w:rPr>
            </w:pPr>
            <w:r w:rsidRPr="00DC5561">
              <w:rPr>
                <w:rFonts w:ascii="Times New Roman" w:eastAsia="Times New Roman" w:hAnsi="Times New Roman" w:cs="Times New Roman"/>
                <w:sz w:val="24"/>
                <w:szCs w:val="24"/>
                <w:lang w:val="en-US"/>
              </w:rPr>
              <w:t>0.011</w:t>
            </w:r>
          </w:p>
        </w:tc>
      </w:tr>
      <w:tr w:rsidR="002A21FD" w:rsidRPr="001B185B" w14:paraId="5C3DE607" w14:textId="77777777" w:rsidTr="00930315">
        <w:trPr>
          <w:trHeight w:val="312"/>
        </w:trPr>
        <w:tc>
          <w:tcPr>
            <w:tcW w:w="2976" w:type="pct"/>
            <w:shd w:val="clear" w:color="auto" w:fill="auto"/>
            <w:noWrap/>
            <w:vAlign w:val="center"/>
          </w:tcPr>
          <w:p w14:paraId="1DB5DC92" w14:textId="77777777" w:rsidR="002A21FD" w:rsidRPr="001B185B" w:rsidRDefault="002A21FD" w:rsidP="00D2470D">
            <w:pPr>
              <w:spacing w:after="0" w:line="360" w:lineRule="auto"/>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rPr>
              <w:t>Education: college/ university (binary)</w:t>
            </w:r>
          </w:p>
        </w:tc>
        <w:tc>
          <w:tcPr>
            <w:tcW w:w="492" w:type="pct"/>
            <w:shd w:val="clear" w:color="auto" w:fill="auto"/>
            <w:noWrap/>
            <w:vAlign w:val="bottom"/>
            <w:hideMark/>
          </w:tcPr>
          <w:p w14:paraId="64DB9A37" w14:textId="77777777" w:rsidR="002A21FD" w:rsidRPr="001B185B" w:rsidRDefault="002A21FD"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0.652</w:t>
            </w:r>
          </w:p>
        </w:tc>
        <w:tc>
          <w:tcPr>
            <w:tcW w:w="445" w:type="pct"/>
            <w:shd w:val="clear" w:color="auto" w:fill="auto"/>
            <w:noWrap/>
            <w:vAlign w:val="bottom"/>
            <w:hideMark/>
          </w:tcPr>
          <w:p w14:paraId="57B80D44" w14:textId="77777777" w:rsidR="002A21FD" w:rsidRPr="001B185B" w:rsidRDefault="002A21FD"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0.391</w:t>
            </w:r>
          </w:p>
        </w:tc>
        <w:tc>
          <w:tcPr>
            <w:tcW w:w="536" w:type="pct"/>
            <w:shd w:val="clear" w:color="auto" w:fill="auto"/>
            <w:noWrap/>
            <w:vAlign w:val="bottom"/>
            <w:hideMark/>
          </w:tcPr>
          <w:p w14:paraId="4AE1C903" w14:textId="77777777" w:rsidR="002A21FD" w:rsidRPr="001B185B" w:rsidRDefault="002A21FD"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1.670</w:t>
            </w:r>
          </w:p>
        </w:tc>
        <w:tc>
          <w:tcPr>
            <w:tcW w:w="551" w:type="pct"/>
            <w:shd w:val="clear" w:color="auto" w:fill="auto"/>
            <w:noWrap/>
            <w:vAlign w:val="bottom"/>
            <w:hideMark/>
          </w:tcPr>
          <w:p w14:paraId="52E953BA" w14:textId="77777777" w:rsidR="002A21FD" w:rsidRPr="001B185B" w:rsidRDefault="002A21FD"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0.095</w:t>
            </w:r>
          </w:p>
        </w:tc>
      </w:tr>
      <w:tr w:rsidR="00177570" w:rsidRPr="00177570" w14:paraId="45D48E15" w14:textId="77777777" w:rsidTr="00930315">
        <w:trPr>
          <w:trHeight w:val="312"/>
        </w:trPr>
        <w:tc>
          <w:tcPr>
            <w:tcW w:w="2976" w:type="pct"/>
            <w:shd w:val="clear" w:color="auto" w:fill="auto"/>
            <w:noWrap/>
            <w:vAlign w:val="center"/>
          </w:tcPr>
          <w:p w14:paraId="4DAE841E" w14:textId="77777777" w:rsidR="00836D21" w:rsidRPr="00177570" w:rsidRDefault="00836D21" w:rsidP="00D2470D">
            <w:pPr>
              <w:spacing w:after="0" w:line="360" w:lineRule="auto"/>
              <w:rPr>
                <w:rFonts w:ascii="Times New Roman" w:eastAsia="Times New Roman" w:hAnsi="Times New Roman" w:cs="Times New Roman"/>
                <w:sz w:val="24"/>
                <w:szCs w:val="24"/>
                <w:lang w:val="en-US"/>
              </w:rPr>
            </w:pPr>
            <w:r w:rsidRPr="00177570">
              <w:rPr>
                <w:rFonts w:ascii="Times New Roman" w:eastAsia="Times New Roman" w:hAnsi="Times New Roman" w:cs="Times New Roman"/>
                <w:sz w:val="24"/>
                <w:szCs w:val="24"/>
              </w:rPr>
              <w:t>Education missing</w:t>
            </w:r>
          </w:p>
        </w:tc>
        <w:tc>
          <w:tcPr>
            <w:tcW w:w="492" w:type="pct"/>
            <w:shd w:val="clear" w:color="auto" w:fill="auto"/>
            <w:noWrap/>
            <w:vAlign w:val="bottom"/>
          </w:tcPr>
          <w:p w14:paraId="3B0F4A1E" w14:textId="77777777" w:rsidR="00836D21" w:rsidRPr="00177570" w:rsidRDefault="00836D21" w:rsidP="00D2470D">
            <w:pPr>
              <w:spacing w:after="0" w:line="360" w:lineRule="auto"/>
              <w:jc w:val="center"/>
              <w:rPr>
                <w:rFonts w:ascii="Times New Roman" w:eastAsia="Times New Roman" w:hAnsi="Times New Roman" w:cs="Times New Roman"/>
                <w:sz w:val="24"/>
                <w:szCs w:val="24"/>
                <w:lang w:val="en-US"/>
              </w:rPr>
            </w:pPr>
            <w:r w:rsidRPr="00177570">
              <w:rPr>
                <w:rFonts w:ascii="Times New Roman" w:eastAsia="Times New Roman" w:hAnsi="Times New Roman" w:cs="Times New Roman"/>
                <w:sz w:val="24"/>
                <w:szCs w:val="24"/>
                <w:lang w:val="en-US"/>
              </w:rPr>
              <w:t>1.151</w:t>
            </w:r>
          </w:p>
        </w:tc>
        <w:tc>
          <w:tcPr>
            <w:tcW w:w="445" w:type="pct"/>
            <w:shd w:val="clear" w:color="auto" w:fill="auto"/>
            <w:noWrap/>
            <w:vAlign w:val="bottom"/>
          </w:tcPr>
          <w:p w14:paraId="549B24DC" w14:textId="77777777" w:rsidR="00836D21" w:rsidRPr="00177570" w:rsidRDefault="00836D21" w:rsidP="00D2470D">
            <w:pPr>
              <w:spacing w:after="0" w:line="360" w:lineRule="auto"/>
              <w:jc w:val="center"/>
              <w:rPr>
                <w:rFonts w:ascii="Times New Roman" w:eastAsia="Times New Roman" w:hAnsi="Times New Roman" w:cs="Times New Roman"/>
                <w:sz w:val="24"/>
                <w:szCs w:val="24"/>
                <w:lang w:val="en-US"/>
              </w:rPr>
            </w:pPr>
            <w:r w:rsidRPr="00177570">
              <w:rPr>
                <w:rFonts w:ascii="Times New Roman" w:eastAsia="Times New Roman" w:hAnsi="Times New Roman" w:cs="Times New Roman"/>
                <w:sz w:val="24"/>
                <w:szCs w:val="24"/>
                <w:lang w:val="en-US"/>
              </w:rPr>
              <w:t>0.449</w:t>
            </w:r>
          </w:p>
        </w:tc>
        <w:tc>
          <w:tcPr>
            <w:tcW w:w="536" w:type="pct"/>
            <w:shd w:val="clear" w:color="auto" w:fill="auto"/>
            <w:noWrap/>
            <w:vAlign w:val="bottom"/>
          </w:tcPr>
          <w:p w14:paraId="5EE1DC18" w14:textId="77777777" w:rsidR="00836D21" w:rsidRPr="00177570" w:rsidRDefault="00836D21" w:rsidP="00D2470D">
            <w:pPr>
              <w:spacing w:after="0" w:line="360" w:lineRule="auto"/>
              <w:jc w:val="center"/>
              <w:rPr>
                <w:rFonts w:ascii="Times New Roman" w:eastAsia="Times New Roman" w:hAnsi="Times New Roman" w:cs="Times New Roman"/>
                <w:sz w:val="24"/>
                <w:szCs w:val="24"/>
                <w:lang w:val="en-US"/>
              </w:rPr>
            </w:pPr>
            <w:r w:rsidRPr="00177570">
              <w:rPr>
                <w:rFonts w:ascii="Times New Roman" w:eastAsia="Times New Roman" w:hAnsi="Times New Roman" w:cs="Times New Roman"/>
                <w:sz w:val="24"/>
                <w:szCs w:val="24"/>
                <w:lang w:val="en-US"/>
              </w:rPr>
              <w:t>2.560</w:t>
            </w:r>
          </w:p>
        </w:tc>
        <w:tc>
          <w:tcPr>
            <w:tcW w:w="551" w:type="pct"/>
            <w:shd w:val="clear" w:color="auto" w:fill="auto"/>
            <w:noWrap/>
            <w:vAlign w:val="bottom"/>
          </w:tcPr>
          <w:p w14:paraId="19C56C33" w14:textId="77777777" w:rsidR="00836D21" w:rsidRPr="00177570" w:rsidRDefault="00836D21" w:rsidP="00D2470D">
            <w:pPr>
              <w:spacing w:after="0" w:line="360" w:lineRule="auto"/>
              <w:jc w:val="center"/>
              <w:rPr>
                <w:rFonts w:ascii="Times New Roman" w:eastAsia="Times New Roman" w:hAnsi="Times New Roman" w:cs="Times New Roman"/>
                <w:sz w:val="24"/>
                <w:szCs w:val="24"/>
                <w:lang w:val="en-US"/>
              </w:rPr>
            </w:pPr>
            <w:r w:rsidRPr="00177570">
              <w:rPr>
                <w:rFonts w:ascii="Times New Roman" w:eastAsia="Times New Roman" w:hAnsi="Times New Roman" w:cs="Times New Roman"/>
                <w:sz w:val="24"/>
                <w:szCs w:val="24"/>
                <w:lang w:val="en-US"/>
              </w:rPr>
              <w:t>0.010</w:t>
            </w:r>
          </w:p>
        </w:tc>
      </w:tr>
      <w:tr w:rsidR="00177570" w:rsidRPr="001B185B" w14:paraId="6AF40024" w14:textId="77777777" w:rsidTr="00930315">
        <w:trPr>
          <w:trHeight w:val="312"/>
        </w:trPr>
        <w:tc>
          <w:tcPr>
            <w:tcW w:w="2976" w:type="pct"/>
            <w:shd w:val="clear" w:color="auto" w:fill="auto"/>
            <w:noWrap/>
            <w:vAlign w:val="center"/>
          </w:tcPr>
          <w:p w14:paraId="065BA641" w14:textId="77777777" w:rsidR="00177570" w:rsidRPr="001F1DEB" w:rsidRDefault="00177570" w:rsidP="00D2470D">
            <w:pPr>
              <w:spacing w:after="0" w:line="360" w:lineRule="auto"/>
              <w:rPr>
                <w:rFonts w:ascii="Times New Roman" w:eastAsia="Times New Roman" w:hAnsi="Times New Roman" w:cs="Times New Roman"/>
                <w:sz w:val="24"/>
                <w:szCs w:val="24"/>
              </w:rPr>
            </w:pPr>
            <w:r w:rsidRPr="001F1DEB">
              <w:rPr>
                <w:rFonts w:ascii="Times New Roman" w:eastAsia="Times New Roman" w:hAnsi="Times New Roman" w:cs="Times New Roman"/>
                <w:sz w:val="24"/>
                <w:szCs w:val="24"/>
              </w:rPr>
              <w:t>Household head’s occupation: agriculture (binary)</w:t>
            </w:r>
          </w:p>
        </w:tc>
        <w:tc>
          <w:tcPr>
            <w:tcW w:w="492" w:type="pct"/>
            <w:shd w:val="clear" w:color="auto" w:fill="auto"/>
            <w:noWrap/>
            <w:vAlign w:val="bottom"/>
          </w:tcPr>
          <w:p w14:paraId="0505D14D"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0.006</w:t>
            </w:r>
          </w:p>
        </w:tc>
        <w:tc>
          <w:tcPr>
            <w:tcW w:w="445" w:type="pct"/>
            <w:shd w:val="clear" w:color="auto" w:fill="auto"/>
            <w:noWrap/>
            <w:vAlign w:val="bottom"/>
          </w:tcPr>
          <w:p w14:paraId="4B3B279A"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0.196</w:t>
            </w:r>
          </w:p>
        </w:tc>
        <w:tc>
          <w:tcPr>
            <w:tcW w:w="536" w:type="pct"/>
            <w:shd w:val="clear" w:color="auto" w:fill="auto"/>
            <w:noWrap/>
            <w:vAlign w:val="bottom"/>
          </w:tcPr>
          <w:p w14:paraId="376B145D"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0.030</w:t>
            </w:r>
          </w:p>
        </w:tc>
        <w:tc>
          <w:tcPr>
            <w:tcW w:w="551" w:type="pct"/>
            <w:shd w:val="clear" w:color="auto" w:fill="auto"/>
            <w:noWrap/>
            <w:vAlign w:val="bottom"/>
          </w:tcPr>
          <w:p w14:paraId="21F91053"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0.975</w:t>
            </w:r>
          </w:p>
        </w:tc>
      </w:tr>
      <w:tr w:rsidR="00177570" w:rsidRPr="001B185B" w14:paraId="0367D423" w14:textId="77777777" w:rsidTr="00930315">
        <w:trPr>
          <w:trHeight w:val="312"/>
        </w:trPr>
        <w:tc>
          <w:tcPr>
            <w:tcW w:w="2976" w:type="pct"/>
            <w:shd w:val="clear" w:color="auto" w:fill="auto"/>
            <w:noWrap/>
            <w:vAlign w:val="center"/>
          </w:tcPr>
          <w:p w14:paraId="2DB64390" w14:textId="77777777" w:rsidR="00177570" w:rsidRPr="001F1DEB" w:rsidRDefault="00177570" w:rsidP="00D2470D">
            <w:pPr>
              <w:spacing w:after="0" w:line="360" w:lineRule="auto"/>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rPr>
              <w:t>Years in farming</w:t>
            </w:r>
          </w:p>
        </w:tc>
        <w:tc>
          <w:tcPr>
            <w:tcW w:w="492" w:type="pct"/>
            <w:shd w:val="clear" w:color="auto" w:fill="auto"/>
            <w:noWrap/>
            <w:vAlign w:val="bottom"/>
          </w:tcPr>
          <w:p w14:paraId="444AC71A"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0.014</w:t>
            </w:r>
          </w:p>
        </w:tc>
        <w:tc>
          <w:tcPr>
            <w:tcW w:w="445" w:type="pct"/>
            <w:shd w:val="clear" w:color="auto" w:fill="auto"/>
            <w:noWrap/>
            <w:vAlign w:val="bottom"/>
          </w:tcPr>
          <w:p w14:paraId="03C4F77B"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0.016</w:t>
            </w:r>
          </w:p>
        </w:tc>
        <w:tc>
          <w:tcPr>
            <w:tcW w:w="536" w:type="pct"/>
            <w:shd w:val="clear" w:color="auto" w:fill="auto"/>
            <w:noWrap/>
            <w:vAlign w:val="bottom"/>
          </w:tcPr>
          <w:p w14:paraId="3656E4A7"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0.850</w:t>
            </w:r>
          </w:p>
        </w:tc>
        <w:tc>
          <w:tcPr>
            <w:tcW w:w="551" w:type="pct"/>
            <w:shd w:val="clear" w:color="auto" w:fill="auto"/>
            <w:noWrap/>
            <w:vAlign w:val="bottom"/>
          </w:tcPr>
          <w:p w14:paraId="3E8EB2A2"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0.393</w:t>
            </w:r>
          </w:p>
        </w:tc>
      </w:tr>
      <w:tr w:rsidR="00177570" w:rsidRPr="001B185B" w14:paraId="43D416DD" w14:textId="77777777" w:rsidTr="00930315">
        <w:trPr>
          <w:trHeight w:val="312"/>
        </w:trPr>
        <w:tc>
          <w:tcPr>
            <w:tcW w:w="2976" w:type="pct"/>
            <w:shd w:val="clear" w:color="auto" w:fill="auto"/>
            <w:noWrap/>
            <w:vAlign w:val="center"/>
          </w:tcPr>
          <w:p w14:paraId="4141E9AE" w14:textId="77777777" w:rsidR="00177570" w:rsidRPr="001F1DEB" w:rsidRDefault="00177570" w:rsidP="00D2470D">
            <w:pPr>
              <w:spacing w:after="0" w:line="360" w:lineRule="auto"/>
              <w:rPr>
                <w:rFonts w:ascii="Times New Roman" w:eastAsia="Times New Roman" w:hAnsi="Times New Roman" w:cs="Times New Roman"/>
                <w:sz w:val="24"/>
                <w:szCs w:val="24"/>
              </w:rPr>
            </w:pPr>
            <w:r w:rsidRPr="001F1DEB">
              <w:rPr>
                <w:rFonts w:ascii="Times New Roman" w:eastAsia="Times New Roman" w:hAnsi="Times New Roman" w:cs="Times New Roman"/>
                <w:sz w:val="24"/>
                <w:szCs w:val="24"/>
              </w:rPr>
              <w:t>Household size</w:t>
            </w:r>
          </w:p>
        </w:tc>
        <w:tc>
          <w:tcPr>
            <w:tcW w:w="492" w:type="pct"/>
            <w:shd w:val="clear" w:color="auto" w:fill="auto"/>
            <w:noWrap/>
            <w:vAlign w:val="bottom"/>
          </w:tcPr>
          <w:p w14:paraId="18AE7D13"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0.061</w:t>
            </w:r>
          </w:p>
        </w:tc>
        <w:tc>
          <w:tcPr>
            <w:tcW w:w="445" w:type="pct"/>
            <w:shd w:val="clear" w:color="auto" w:fill="auto"/>
            <w:noWrap/>
            <w:vAlign w:val="bottom"/>
          </w:tcPr>
          <w:p w14:paraId="7900F29A"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0.077</w:t>
            </w:r>
          </w:p>
        </w:tc>
        <w:tc>
          <w:tcPr>
            <w:tcW w:w="536" w:type="pct"/>
            <w:shd w:val="clear" w:color="auto" w:fill="auto"/>
            <w:noWrap/>
            <w:vAlign w:val="bottom"/>
          </w:tcPr>
          <w:p w14:paraId="346800B2"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0.790</w:t>
            </w:r>
          </w:p>
        </w:tc>
        <w:tc>
          <w:tcPr>
            <w:tcW w:w="551" w:type="pct"/>
            <w:shd w:val="clear" w:color="auto" w:fill="auto"/>
            <w:noWrap/>
            <w:vAlign w:val="bottom"/>
          </w:tcPr>
          <w:p w14:paraId="14EF8528"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0.431</w:t>
            </w:r>
          </w:p>
        </w:tc>
      </w:tr>
      <w:tr w:rsidR="00177570" w:rsidRPr="001B185B" w14:paraId="1E7DDC60" w14:textId="77777777" w:rsidTr="00930315">
        <w:trPr>
          <w:trHeight w:val="312"/>
        </w:trPr>
        <w:tc>
          <w:tcPr>
            <w:tcW w:w="2976" w:type="pct"/>
            <w:shd w:val="clear" w:color="auto" w:fill="auto"/>
            <w:noWrap/>
            <w:vAlign w:val="center"/>
          </w:tcPr>
          <w:p w14:paraId="3A7DF321" w14:textId="77777777" w:rsidR="00177570" w:rsidRPr="001F1DEB" w:rsidRDefault="00177570" w:rsidP="00D2470D">
            <w:pPr>
              <w:spacing w:after="0" w:line="360" w:lineRule="auto"/>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rPr>
              <w:t xml:space="preserve">Profitable farm </w:t>
            </w:r>
            <w:r w:rsidRPr="001F1DEB">
              <w:rPr>
                <w:rFonts w:ascii="Times New Roman" w:eastAsia="Times New Roman" w:hAnsi="Times New Roman" w:cs="Times New Roman"/>
                <w:sz w:val="24"/>
                <w:szCs w:val="24"/>
                <w:vertAlign w:val="superscript"/>
              </w:rPr>
              <w:t>a</w:t>
            </w:r>
          </w:p>
        </w:tc>
        <w:tc>
          <w:tcPr>
            <w:tcW w:w="492" w:type="pct"/>
            <w:shd w:val="clear" w:color="auto" w:fill="auto"/>
            <w:noWrap/>
            <w:vAlign w:val="bottom"/>
          </w:tcPr>
          <w:p w14:paraId="0CE50079"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0.397</w:t>
            </w:r>
          </w:p>
        </w:tc>
        <w:tc>
          <w:tcPr>
            <w:tcW w:w="445" w:type="pct"/>
            <w:shd w:val="clear" w:color="auto" w:fill="auto"/>
            <w:noWrap/>
            <w:vAlign w:val="bottom"/>
          </w:tcPr>
          <w:p w14:paraId="484FE05F"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0.165</w:t>
            </w:r>
          </w:p>
        </w:tc>
        <w:tc>
          <w:tcPr>
            <w:tcW w:w="536" w:type="pct"/>
            <w:shd w:val="clear" w:color="auto" w:fill="auto"/>
            <w:noWrap/>
            <w:vAlign w:val="bottom"/>
          </w:tcPr>
          <w:p w14:paraId="3B5F821D"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2.410</w:t>
            </w:r>
          </w:p>
        </w:tc>
        <w:tc>
          <w:tcPr>
            <w:tcW w:w="551" w:type="pct"/>
            <w:shd w:val="clear" w:color="auto" w:fill="auto"/>
            <w:noWrap/>
            <w:vAlign w:val="bottom"/>
          </w:tcPr>
          <w:p w14:paraId="5A0F7810" w14:textId="77777777" w:rsidR="00177570" w:rsidRPr="001F1DEB" w:rsidRDefault="00177570"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0.016</w:t>
            </w:r>
          </w:p>
        </w:tc>
      </w:tr>
      <w:tr w:rsidR="00596677" w:rsidRPr="001B185B" w14:paraId="3B797B2D" w14:textId="77777777" w:rsidTr="00930315">
        <w:trPr>
          <w:trHeight w:val="312"/>
        </w:trPr>
        <w:tc>
          <w:tcPr>
            <w:tcW w:w="2976" w:type="pct"/>
            <w:shd w:val="clear" w:color="auto" w:fill="auto"/>
            <w:noWrap/>
            <w:vAlign w:val="center"/>
          </w:tcPr>
          <w:p w14:paraId="5D7C0B31" w14:textId="77777777" w:rsidR="00596677" w:rsidRPr="001F1DEB" w:rsidRDefault="00596677" w:rsidP="00D2470D">
            <w:pPr>
              <w:spacing w:after="0" w:line="360" w:lineRule="auto"/>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rPr>
              <w:t xml:space="preserve">Subsidy dependent </w:t>
            </w:r>
            <w:r w:rsidRPr="001F1DEB">
              <w:rPr>
                <w:rFonts w:ascii="Times New Roman" w:eastAsia="Times New Roman" w:hAnsi="Times New Roman" w:cs="Times New Roman"/>
                <w:sz w:val="24"/>
                <w:szCs w:val="24"/>
                <w:vertAlign w:val="superscript"/>
              </w:rPr>
              <w:t>b</w:t>
            </w:r>
          </w:p>
        </w:tc>
        <w:tc>
          <w:tcPr>
            <w:tcW w:w="492" w:type="pct"/>
            <w:shd w:val="clear" w:color="auto" w:fill="auto"/>
            <w:noWrap/>
            <w:vAlign w:val="bottom"/>
          </w:tcPr>
          <w:p w14:paraId="7AC6391A" w14:textId="77777777" w:rsidR="00596677" w:rsidRPr="001F1DEB" w:rsidRDefault="00596677"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-0.066</w:t>
            </w:r>
          </w:p>
        </w:tc>
        <w:tc>
          <w:tcPr>
            <w:tcW w:w="445" w:type="pct"/>
            <w:shd w:val="clear" w:color="auto" w:fill="auto"/>
            <w:noWrap/>
            <w:vAlign w:val="bottom"/>
          </w:tcPr>
          <w:p w14:paraId="2189A6A3" w14:textId="77777777" w:rsidR="00596677" w:rsidRPr="001F1DEB" w:rsidRDefault="00596677"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0.111</w:t>
            </w:r>
          </w:p>
        </w:tc>
        <w:tc>
          <w:tcPr>
            <w:tcW w:w="536" w:type="pct"/>
            <w:shd w:val="clear" w:color="auto" w:fill="auto"/>
            <w:noWrap/>
            <w:vAlign w:val="bottom"/>
          </w:tcPr>
          <w:p w14:paraId="38CA8F5C" w14:textId="77777777" w:rsidR="00596677" w:rsidRPr="001F1DEB" w:rsidRDefault="00596677"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-0.590</w:t>
            </w:r>
          </w:p>
        </w:tc>
        <w:tc>
          <w:tcPr>
            <w:tcW w:w="551" w:type="pct"/>
            <w:shd w:val="clear" w:color="auto" w:fill="auto"/>
            <w:noWrap/>
            <w:vAlign w:val="bottom"/>
          </w:tcPr>
          <w:p w14:paraId="4DEA9596" w14:textId="77777777" w:rsidR="00596677" w:rsidRPr="001F1DEB" w:rsidRDefault="00596677"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0.553</w:t>
            </w:r>
          </w:p>
        </w:tc>
      </w:tr>
      <w:tr w:rsidR="001F1DEB" w:rsidRPr="001B185B" w14:paraId="5D3955B4" w14:textId="77777777" w:rsidTr="00930315">
        <w:trPr>
          <w:trHeight w:val="312"/>
        </w:trPr>
        <w:tc>
          <w:tcPr>
            <w:tcW w:w="2976" w:type="pct"/>
            <w:shd w:val="clear" w:color="auto" w:fill="auto"/>
            <w:noWrap/>
            <w:vAlign w:val="center"/>
          </w:tcPr>
          <w:p w14:paraId="3E774577" w14:textId="77777777" w:rsidR="001F1DEB" w:rsidRPr="001F1DEB" w:rsidRDefault="001F1DEB" w:rsidP="00D2470D">
            <w:pPr>
              <w:spacing w:after="0" w:line="360" w:lineRule="auto"/>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rPr>
              <w:t xml:space="preserve">Frequency of cooperation </w:t>
            </w:r>
            <w:r w:rsidRPr="001F1DEB">
              <w:rPr>
                <w:rFonts w:ascii="Times New Roman" w:eastAsia="Times New Roman" w:hAnsi="Times New Roman" w:cs="Times New Roman"/>
                <w:sz w:val="24"/>
                <w:szCs w:val="24"/>
                <w:vertAlign w:val="superscript"/>
              </w:rPr>
              <w:t>c</w:t>
            </w:r>
          </w:p>
        </w:tc>
        <w:tc>
          <w:tcPr>
            <w:tcW w:w="492" w:type="pct"/>
            <w:shd w:val="clear" w:color="auto" w:fill="auto"/>
            <w:noWrap/>
            <w:vAlign w:val="bottom"/>
          </w:tcPr>
          <w:p w14:paraId="00B0B117"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-0.027</w:t>
            </w:r>
          </w:p>
        </w:tc>
        <w:tc>
          <w:tcPr>
            <w:tcW w:w="445" w:type="pct"/>
            <w:shd w:val="clear" w:color="auto" w:fill="auto"/>
            <w:noWrap/>
            <w:vAlign w:val="bottom"/>
          </w:tcPr>
          <w:p w14:paraId="15865E14"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0.069</w:t>
            </w:r>
          </w:p>
        </w:tc>
        <w:tc>
          <w:tcPr>
            <w:tcW w:w="536" w:type="pct"/>
            <w:shd w:val="clear" w:color="auto" w:fill="auto"/>
            <w:noWrap/>
            <w:vAlign w:val="bottom"/>
          </w:tcPr>
          <w:p w14:paraId="5ED3EAE0"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-0.400</w:t>
            </w:r>
          </w:p>
        </w:tc>
        <w:tc>
          <w:tcPr>
            <w:tcW w:w="551" w:type="pct"/>
            <w:shd w:val="clear" w:color="auto" w:fill="auto"/>
            <w:noWrap/>
            <w:vAlign w:val="bottom"/>
          </w:tcPr>
          <w:p w14:paraId="02E66EE7"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0.692</w:t>
            </w:r>
          </w:p>
        </w:tc>
      </w:tr>
      <w:tr w:rsidR="001F1DEB" w:rsidRPr="001B185B" w14:paraId="2E95C4D6" w14:textId="77777777" w:rsidTr="00930315">
        <w:trPr>
          <w:trHeight w:val="312"/>
        </w:trPr>
        <w:tc>
          <w:tcPr>
            <w:tcW w:w="2976" w:type="pct"/>
            <w:shd w:val="clear" w:color="auto" w:fill="auto"/>
            <w:noWrap/>
            <w:vAlign w:val="center"/>
          </w:tcPr>
          <w:p w14:paraId="7B99C6A9" w14:textId="77777777" w:rsidR="001F1DEB" w:rsidRPr="001F1DEB" w:rsidRDefault="001F1DEB" w:rsidP="00D2470D">
            <w:pPr>
              <w:spacing w:after="0" w:line="360" w:lineRule="auto"/>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rPr>
              <w:t>Share of agricultural production sold on a market</w:t>
            </w:r>
          </w:p>
        </w:tc>
        <w:tc>
          <w:tcPr>
            <w:tcW w:w="492" w:type="pct"/>
            <w:shd w:val="clear" w:color="auto" w:fill="auto"/>
            <w:noWrap/>
            <w:vAlign w:val="bottom"/>
          </w:tcPr>
          <w:p w14:paraId="5567444B"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-0.009</w:t>
            </w:r>
          </w:p>
        </w:tc>
        <w:tc>
          <w:tcPr>
            <w:tcW w:w="445" w:type="pct"/>
            <w:shd w:val="clear" w:color="auto" w:fill="auto"/>
            <w:noWrap/>
            <w:vAlign w:val="bottom"/>
          </w:tcPr>
          <w:p w14:paraId="75B3D7AC"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0.006</w:t>
            </w:r>
          </w:p>
        </w:tc>
        <w:tc>
          <w:tcPr>
            <w:tcW w:w="536" w:type="pct"/>
            <w:shd w:val="clear" w:color="auto" w:fill="auto"/>
            <w:noWrap/>
            <w:vAlign w:val="bottom"/>
          </w:tcPr>
          <w:p w14:paraId="0F65C6F1"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-1.450</w:t>
            </w:r>
          </w:p>
        </w:tc>
        <w:tc>
          <w:tcPr>
            <w:tcW w:w="551" w:type="pct"/>
            <w:shd w:val="clear" w:color="auto" w:fill="auto"/>
            <w:noWrap/>
            <w:vAlign w:val="bottom"/>
          </w:tcPr>
          <w:p w14:paraId="4E8DBCEE"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0.147</w:t>
            </w:r>
          </w:p>
        </w:tc>
      </w:tr>
      <w:tr w:rsidR="001F1DEB" w:rsidRPr="001B185B" w14:paraId="764D1821" w14:textId="77777777" w:rsidTr="00930315">
        <w:trPr>
          <w:trHeight w:val="317"/>
        </w:trPr>
        <w:tc>
          <w:tcPr>
            <w:tcW w:w="2976" w:type="pct"/>
            <w:shd w:val="clear" w:color="auto" w:fill="auto"/>
            <w:noWrap/>
            <w:vAlign w:val="center"/>
          </w:tcPr>
          <w:p w14:paraId="42AD1F6E" w14:textId="77777777" w:rsidR="001F1DEB" w:rsidRPr="001F1DEB" w:rsidRDefault="001F1DEB" w:rsidP="00D2470D">
            <w:pPr>
              <w:spacing w:after="0" w:line="360" w:lineRule="auto"/>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rPr>
              <w:t>Share of income from farming</w:t>
            </w:r>
          </w:p>
        </w:tc>
        <w:tc>
          <w:tcPr>
            <w:tcW w:w="492" w:type="pct"/>
            <w:shd w:val="clear" w:color="auto" w:fill="auto"/>
            <w:noWrap/>
            <w:vAlign w:val="bottom"/>
          </w:tcPr>
          <w:p w14:paraId="069BA910"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-0.001</w:t>
            </w:r>
          </w:p>
        </w:tc>
        <w:tc>
          <w:tcPr>
            <w:tcW w:w="445" w:type="pct"/>
            <w:shd w:val="clear" w:color="auto" w:fill="auto"/>
            <w:noWrap/>
            <w:vAlign w:val="bottom"/>
          </w:tcPr>
          <w:p w14:paraId="1CB18615"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0.005</w:t>
            </w:r>
          </w:p>
        </w:tc>
        <w:tc>
          <w:tcPr>
            <w:tcW w:w="536" w:type="pct"/>
            <w:shd w:val="clear" w:color="auto" w:fill="auto"/>
            <w:noWrap/>
            <w:vAlign w:val="bottom"/>
          </w:tcPr>
          <w:p w14:paraId="6171A11A"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-0.240</w:t>
            </w:r>
          </w:p>
        </w:tc>
        <w:tc>
          <w:tcPr>
            <w:tcW w:w="551" w:type="pct"/>
            <w:shd w:val="clear" w:color="auto" w:fill="auto"/>
            <w:noWrap/>
            <w:vAlign w:val="bottom"/>
          </w:tcPr>
          <w:p w14:paraId="5F3E5B9A" w14:textId="77777777" w:rsidR="001F1DEB" w:rsidRPr="001F1DEB" w:rsidRDefault="001F1DEB" w:rsidP="00D2470D">
            <w:pPr>
              <w:spacing w:after="0" w:line="360" w:lineRule="auto"/>
              <w:jc w:val="center"/>
              <w:rPr>
                <w:rFonts w:ascii="Times New Roman" w:eastAsia="Times New Roman" w:hAnsi="Times New Roman" w:cs="Times New Roman"/>
                <w:sz w:val="24"/>
                <w:szCs w:val="24"/>
                <w:lang w:val="en-US"/>
              </w:rPr>
            </w:pPr>
            <w:r w:rsidRPr="001F1DEB">
              <w:rPr>
                <w:rFonts w:ascii="Times New Roman" w:eastAsia="Times New Roman" w:hAnsi="Times New Roman" w:cs="Times New Roman"/>
                <w:sz w:val="24"/>
                <w:szCs w:val="24"/>
                <w:lang w:val="en-US"/>
              </w:rPr>
              <w:t>0.810</w:t>
            </w:r>
          </w:p>
        </w:tc>
      </w:tr>
      <w:tr w:rsidR="001F1DEB" w:rsidRPr="001B185B" w14:paraId="4A5ED79F" w14:textId="77777777" w:rsidTr="00930315">
        <w:trPr>
          <w:trHeight w:val="312"/>
        </w:trPr>
        <w:tc>
          <w:tcPr>
            <w:tcW w:w="2976" w:type="pct"/>
            <w:shd w:val="clear" w:color="auto" w:fill="auto"/>
            <w:noWrap/>
            <w:vAlign w:val="center"/>
          </w:tcPr>
          <w:p w14:paraId="06A3AD7E" w14:textId="77777777" w:rsidR="001F1DEB" w:rsidRPr="001B185B" w:rsidRDefault="001F1DEB" w:rsidP="00D2470D">
            <w:pPr>
              <w:spacing w:after="0" w:line="360" w:lineRule="auto"/>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rPr>
              <w:t>Capacity: farmed area (ha)</w:t>
            </w:r>
          </w:p>
        </w:tc>
        <w:tc>
          <w:tcPr>
            <w:tcW w:w="492" w:type="pct"/>
            <w:shd w:val="clear" w:color="auto" w:fill="auto"/>
            <w:noWrap/>
            <w:vAlign w:val="bottom"/>
            <w:hideMark/>
          </w:tcPr>
          <w:p w14:paraId="504365DB"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-0.085</w:t>
            </w:r>
          </w:p>
        </w:tc>
        <w:tc>
          <w:tcPr>
            <w:tcW w:w="445" w:type="pct"/>
            <w:shd w:val="clear" w:color="auto" w:fill="auto"/>
            <w:noWrap/>
            <w:vAlign w:val="bottom"/>
            <w:hideMark/>
          </w:tcPr>
          <w:p w14:paraId="44A76D68"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0.091</w:t>
            </w:r>
          </w:p>
        </w:tc>
        <w:tc>
          <w:tcPr>
            <w:tcW w:w="536" w:type="pct"/>
            <w:shd w:val="clear" w:color="auto" w:fill="auto"/>
            <w:noWrap/>
            <w:vAlign w:val="bottom"/>
            <w:hideMark/>
          </w:tcPr>
          <w:p w14:paraId="661D095E"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-0.930</w:t>
            </w:r>
          </w:p>
        </w:tc>
        <w:tc>
          <w:tcPr>
            <w:tcW w:w="551" w:type="pct"/>
            <w:shd w:val="clear" w:color="auto" w:fill="auto"/>
            <w:noWrap/>
            <w:vAlign w:val="bottom"/>
            <w:hideMark/>
          </w:tcPr>
          <w:p w14:paraId="02FD4C25"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0.351</w:t>
            </w:r>
          </w:p>
        </w:tc>
      </w:tr>
      <w:tr w:rsidR="001F1DEB" w:rsidRPr="001B185B" w14:paraId="4C5D98C1" w14:textId="77777777" w:rsidTr="00930315">
        <w:trPr>
          <w:trHeight w:val="312"/>
        </w:trPr>
        <w:tc>
          <w:tcPr>
            <w:tcW w:w="2976" w:type="pct"/>
            <w:shd w:val="clear" w:color="auto" w:fill="auto"/>
            <w:noWrap/>
            <w:vAlign w:val="center"/>
          </w:tcPr>
          <w:p w14:paraId="3382C0BD" w14:textId="77777777" w:rsidR="001F1DEB" w:rsidRPr="001B185B" w:rsidRDefault="001F1DEB" w:rsidP="00D2470D">
            <w:pPr>
              <w:spacing w:after="0" w:line="360" w:lineRule="auto"/>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rPr>
              <w:t>Capacity: total livestock (number of heads)</w:t>
            </w:r>
          </w:p>
        </w:tc>
        <w:tc>
          <w:tcPr>
            <w:tcW w:w="492" w:type="pct"/>
            <w:shd w:val="clear" w:color="auto" w:fill="auto"/>
            <w:noWrap/>
            <w:vAlign w:val="bottom"/>
            <w:hideMark/>
          </w:tcPr>
          <w:p w14:paraId="3A28D233"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-0.019</w:t>
            </w:r>
          </w:p>
        </w:tc>
        <w:tc>
          <w:tcPr>
            <w:tcW w:w="445" w:type="pct"/>
            <w:shd w:val="clear" w:color="auto" w:fill="auto"/>
            <w:noWrap/>
            <w:vAlign w:val="bottom"/>
            <w:hideMark/>
          </w:tcPr>
          <w:p w14:paraId="4B14C991"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0.032</w:t>
            </w:r>
          </w:p>
        </w:tc>
        <w:tc>
          <w:tcPr>
            <w:tcW w:w="536" w:type="pct"/>
            <w:shd w:val="clear" w:color="auto" w:fill="auto"/>
            <w:noWrap/>
            <w:vAlign w:val="bottom"/>
            <w:hideMark/>
          </w:tcPr>
          <w:p w14:paraId="77858DBF"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-0.600</w:t>
            </w:r>
          </w:p>
        </w:tc>
        <w:tc>
          <w:tcPr>
            <w:tcW w:w="551" w:type="pct"/>
            <w:shd w:val="clear" w:color="auto" w:fill="auto"/>
            <w:noWrap/>
            <w:vAlign w:val="bottom"/>
            <w:hideMark/>
          </w:tcPr>
          <w:p w14:paraId="599BE2EE"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0.552</w:t>
            </w:r>
          </w:p>
        </w:tc>
      </w:tr>
      <w:tr w:rsidR="001F1DEB" w:rsidRPr="001B185B" w14:paraId="37978256" w14:textId="77777777" w:rsidTr="00930315">
        <w:trPr>
          <w:trHeight w:val="312"/>
        </w:trPr>
        <w:tc>
          <w:tcPr>
            <w:tcW w:w="2976" w:type="pct"/>
            <w:shd w:val="clear" w:color="auto" w:fill="auto"/>
            <w:noWrap/>
            <w:vAlign w:val="bottom"/>
          </w:tcPr>
          <w:p w14:paraId="3DBA0B37" w14:textId="77777777" w:rsidR="001F1DEB" w:rsidRPr="001B185B" w:rsidRDefault="001F1DEB" w:rsidP="00D2470D">
            <w:pPr>
              <w:spacing w:after="0" w:line="360" w:lineRule="auto"/>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rPr>
              <w:t>Household head’s occupation: missing (binary)</w:t>
            </w:r>
          </w:p>
        </w:tc>
        <w:tc>
          <w:tcPr>
            <w:tcW w:w="492" w:type="pct"/>
            <w:shd w:val="clear" w:color="auto" w:fill="auto"/>
            <w:noWrap/>
            <w:vAlign w:val="bottom"/>
          </w:tcPr>
          <w:p w14:paraId="254D146C"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-0.342</w:t>
            </w:r>
          </w:p>
        </w:tc>
        <w:tc>
          <w:tcPr>
            <w:tcW w:w="445" w:type="pct"/>
            <w:shd w:val="clear" w:color="auto" w:fill="auto"/>
            <w:noWrap/>
            <w:vAlign w:val="bottom"/>
          </w:tcPr>
          <w:p w14:paraId="19154C1A"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0.660</w:t>
            </w:r>
          </w:p>
        </w:tc>
        <w:tc>
          <w:tcPr>
            <w:tcW w:w="536" w:type="pct"/>
            <w:shd w:val="clear" w:color="auto" w:fill="auto"/>
            <w:noWrap/>
            <w:vAlign w:val="bottom"/>
          </w:tcPr>
          <w:p w14:paraId="61154541"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-0.520</w:t>
            </w:r>
          </w:p>
        </w:tc>
        <w:tc>
          <w:tcPr>
            <w:tcW w:w="551" w:type="pct"/>
            <w:shd w:val="clear" w:color="auto" w:fill="auto"/>
            <w:noWrap/>
            <w:vAlign w:val="bottom"/>
          </w:tcPr>
          <w:p w14:paraId="080EB738"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0.604</w:t>
            </w:r>
          </w:p>
        </w:tc>
      </w:tr>
      <w:tr w:rsidR="001F1DEB" w:rsidRPr="001B185B" w14:paraId="1A2FDCC7" w14:textId="77777777" w:rsidTr="00930315">
        <w:trPr>
          <w:trHeight w:val="312"/>
        </w:trPr>
        <w:tc>
          <w:tcPr>
            <w:tcW w:w="2976" w:type="pct"/>
            <w:tcBorders>
              <w:bottom w:val="single" w:sz="4" w:space="0" w:color="auto"/>
            </w:tcBorders>
            <w:shd w:val="clear" w:color="auto" w:fill="auto"/>
            <w:noWrap/>
            <w:vAlign w:val="bottom"/>
          </w:tcPr>
          <w:p w14:paraId="4A6FF06A" w14:textId="77777777" w:rsidR="001F1DEB" w:rsidRPr="001B185B" w:rsidRDefault="001F1DEB" w:rsidP="00D2470D">
            <w:pPr>
              <w:spacing w:after="0" w:line="360" w:lineRule="auto"/>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Constant</w:t>
            </w:r>
          </w:p>
        </w:tc>
        <w:tc>
          <w:tcPr>
            <w:tcW w:w="492" w:type="pct"/>
            <w:tcBorders>
              <w:bottom w:val="single" w:sz="4" w:space="0" w:color="auto"/>
            </w:tcBorders>
            <w:shd w:val="clear" w:color="auto" w:fill="auto"/>
            <w:noWrap/>
            <w:vAlign w:val="bottom"/>
            <w:hideMark/>
          </w:tcPr>
          <w:p w14:paraId="4366DDD0"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-0.153</w:t>
            </w:r>
          </w:p>
        </w:tc>
        <w:tc>
          <w:tcPr>
            <w:tcW w:w="445" w:type="pct"/>
            <w:tcBorders>
              <w:bottom w:val="single" w:sz="4" w:space="0" w:color="auto"/>
            </w:tcBorders>
            <w:shd w:val="clear" w:color="auto" w:fill="auto"/>
            <w:noWrap/>
            <w:vAlign w:val="bottom"/>
            <w:hideMark/>
          </w:tcPr>
          <w:p w14:paraId="5C583D17"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1.029</w:t>
            </w:r>
          </w:p>
        </w:tc>
        <w:tc>
          <w:tcPr>
            <w:tcW w:w="536" w:type="pct"/>
            <w:tcBorders>
              <w:bottom w:val="single" w:sz="4" w:space="0" w:color="auto"/>
            </w:tcBorders>
            <w:shd w:val="clear" w:color="auto" w:fill="auto"/>
            <w:noWrap/>
            <w:vAlign w:val="bottom"/>
            <w:hideMark/>
          </w:tcPr>
          <w:p w14:paraId="402C94F7"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-0.150</w:t>
            </w:r>
          </w:p>
        </w:tc>
        <w:tc>
          <w:tcPr>
            <w:tcW w:w="551" w:type="pct"/>
            <w:tcBorders>
              <w:bottom w:val="single" w:sz="4" w:space="0" w:color="auto"/>
            </w:tcBorders>
            <w:shd w:val="clear" w:color="auto" w:fill="auto"/>
            <w:noWrap/>
            <w:vAlign w:val="bottom"/>
            <w:hideMark/>
          </w:tcPr>
          <w:p w14:paraId="095B9A01" w14:textId="77777777" w:rsidR="001F1DEB" w:rsidRPr="001B185B" w:rsidRDefault="001F1DEB" w:rsidP="00D2470D">
            <w:pPr>
              <w:spacing w:after="0" w:line="360" w:lineRule="auto"/>
              <w:jc w:val="center"/>
              <w:rPr>
                <w:rFonts w:ascii="Times New Roman" w:eastAsia="Times New Roman" w:hAnsi="Times New Roman" w:cs="Times New Roman"/>
                <w:sz w:val="24"/>
                <w:szCs w:val="24"/>
                <w:lang w:val="en-US"/>
              </w:rPr>
            </w:pPr>
            <w:r w:rsidRPr="001B185B">
              <w:rPr>
                <w:rFonts w:ascii="Times New Roman" w:eastAsia="Times New Roman" w:hAnsi="Times New Roman" w:cs="Times New Roman"/>
                <w:sz w:val="24"/>
                <w:szCs w:val="24"/>
                <w:lang w:val="en-US"/>
              </w:rPr>
              <w:t>0.882</w:t>
            </w:r>
          </w:p>
        </w:tc>
      </w:tr>
    </w:tbl>
    <w:p w14:paraId="39356B8D" w14:textId="0F10B780" w:rsidR="009E32DC" w:rsidRPr="001B185B" w:rsidRDefault="009E32DC" w:rsidP="00D2470D">
      <w:pPr>
        <w:spacing w:after="0" w:line="480" w:lineRule="auto"/>
        <w:ind w:right="26"/>
        <w:jc w:val="both"/>
        <w:rPr>
          <w:rFonts w:ascii="Times New Roman" w:hAnsi="Times New Roman" w:cs="Times New Roman"/>
          <w:sz w:val="20"/>
          <w:szCs w:val="20"/>
        </w:rPr>
      </w:pPr>
      <w:r w:rsidRPr="001B185B">
        <w:rPr>
          <w:rFonts w:ascii="Times New Roman" w:hAnsi="Times New Roman" w:cs="Times New Roman"/>
          <w:sz w:val="20"/>
          <w:szCs w:val="20"/>
        </w:rPr>
        <w:t xml:space="preserve">Notes: Statistics are from a probit regression. </w:t>
      </w:r>
      <w:r w:rsidRPr="001B185B">
        <w:rPr>
          <w:rFonts w:ascii="Times New Roman" w:eastAsia="Times New Roman" w:hAnsi="Times New Roman" w:cs="Times New Roman"/>
          <w:vertAlign w:val="superscript"/>
          <w:lang w:eastAsia="fr-CH"/>
        </w:rPr>
        <w:t>a</w:t>
      </w:r>
      <w:r w:rsidRPr="001B185B">
        <w:rPr>
          <w:rFonts w:ascii="Times New Roman" w:hAnsi="Times New Roman" w:cs="Times New Roman"/>
          <w:i/>
          <w:sz w:val="20"/>
          <w:szCs w:val="20"/>
        </w:rPr>
        <w:t>Profitable farm</w:t>
      </w:r>
      <w:r w:rsidRPr="001B185B">
        <w:rPr>
          <w:rFonts w:ascii="Times New Roman" w:hAnsi="Times New Roman" w:cs="Times New Roman"/>
          <w:sz w:val="20"/>
          <w:szCs w:val="20"/>
        </w:rPr>
        <w:t>: 1=“very unprofitable</w:t>
      </w:r>
      <w:r w:rsidR="00F20987">
        <w:rPr>
          <w:rFonts w:ascii="Times New Roman" w:hAnsi="Times New Roman" w:cs="Times New Roman"/>
          <w:sz w:val="20"/>
          <w:szCs w:val="20"/>
        </w:rPr>
        <w:t>;”</w:t>
      </w:r>
      <w:r w:rsidR="00F20987" w:rsidRPr="001B185B">
        <w:rPr>
          <w:rFonts w:ascii="Times New Roman" w:hAnsi="Times New Roman" w:cs="Times New Roman"/>
          <w:sz w:val="20"/>
          <w:szCs w:val="20"/>
        </w:rPr>
        <w:t xml:space="preserve"> </w:t>
      </w:r>
      <w:r w:rsidRPr="001B185B">
        <w:rPr>
          <w:rFonts w:ascii="Times New Roman" w:hAnsi="Times New Roman" w:cs="Times New Roman"/>
          <w:sz w:val="20"/>
          <w:szCs w:val="20"/>
        </w:rPr>
        <w:t>2=“moderately unprofitable</w:t>
      </w:r>
      <w:r w:rsidR="00213B90">
        <w:rPr>
          <w:rFonts w:ascii="Times New Roman" w:hAnsi="Times New Roman" w:cs="Times New Roman"/>
          <w:sz w:val="20"/>
          <w:szCs w:val="20"/>
        </w:rPr>
        <w:t>;”</w:t>
      </w:r>
      <w:r w:rsidRPr="001B185B">
        <w:rPr>
          <w:rFonts w:ascii="Times New Roman" w:hAnsi="Times New Roman" w:cs="Times New Roman"/>
          <w:sz w:val="20"/>
          <w:szCs w:val="20"/>
        </w:rPr>
        <w:t xml:space="preserve"> 3=“break-even</w:t>
      </w:r>
      <w:r w:rsidR="00213B90">
        <w:rPr>
          <w:rFonts w:ascii="Times New Roman" w:hAnsi="Times New Roman" w:cs="Times New Roman"/>
          <w:sz w:val="20"/>
          <w:szCs w:val="20"/>
        </w:rPr>
        <w:t>;”</w:t>
      </w:r>
      <w:r w:rsidRPr="001B185B">
        <w:rPr>
          <w:rFonts w:ascii="Times New Roman" w:hAnsi="Times New Roman" w:cs="Times New Roman"/>
          <w:sz w:val="20"/>
          <w:szCs w:val="20"/>
        </w:rPr>
        <w:t xml:space="preserve"> 4=“moderately profitable</w:t>
      </w:r>
      <w:r w:rsidR="00213B90">
        <w:rPr>
          <w:rFonts w:ascii="Times New Roman" w:hAnsi="Times New Roman" w:cs="Times New Roman"/>
          <w:sz w:val="20"/>
          <w:szCs w:val="20"/>
        </w:rPr>
        <w:t>;”</w:t>
      </w:r>
      <w:r w:rsidRPr="001B185B">
        <w:rPr>
          <w:rFonts w:ascii="Times New Roman" w:hAnsi="Times New Roman" w:cs="Times New Roman"/>
          <w:sz w:val="20"/>
          <w:szCs w:val="20"/>
        </w:rPr>
        <w:t xml:space="preserve"> 5=“very profitable</w:t>
      </w:r>
      <w:r w:rsidR="00213B90">
        <w:rPr>
          <w:rFonts w:ascii="Times New Roman" w:hAnsi="Times New Roman" w:cs="Times New Roman"/>
          <w:sz w:val="20"/>
          <w:szCs w:val="20"/>
        </w:rPr>
        <w:t>.”</w:t>
      </w:r>
      <w:r w:rsidRPr="001B185B">
        <w:rPr>
          <w:rFonts w:ascii="Times New Roman" w:hAnsi="Times New Roman" w:cs="Times New Roman"/>
          <w:sz w:val="20"/>
          <w:szCs w:val="20"/>
        </w:rPr>
        <w:t xml:space="preserve"> </w:t>
      </w:r>
      <w:r w:rsidRPr="001B185B">
        <w:rPr>
          <w:rFonts w:ascii="Times New Roman" w:eastAsia="Times New Roman" w:hAnsi="Times New Roman" w:cs="Times New Roman"/>
          <w:vertAlign w:val="superscript"/>
          <w:lang w:eastAsia="fr-CH"/>
        </w:rPr>
        <w:t>b</w:t>
      </w:r>
      <w:r w:rsidRPr="001B185B">
        <w:rPr>
          <w:rFonts w:ascii="Times New Roman" w:hAnsi="Times New Roman" w:cs="Times New Roman"/>
          <w:i/>
          <w:sz w:val="20"/>
          <w:szCs w:val="20"/>
        </w:rPr>
        <w:t>Subsidy dependent</w:t>
      </w:r>
      <w:r w:rsidRPr="001B185B">
        <w:rPr>
          <w:rFonts w:ascii="Times New Roman" w:hAnsi="Times New Roman" w:cs="Times New Roman"/>
          <w:sz w:val="20"/>
          <w:szCs w:val="20"/>
        </w:rPr>
        <w:t>: 1=“not dependent</w:t>
      </w:r>
      <w:r w:rsidR="00213B90">
        <w:rPr>
          <w:rFonts w:ascii="Times New Roman" w:hAnsi="Times New Roman" w:cs="Times New Roman"/>
          <w:sz w:val="20"/>
          <w:szCs w:val="20"/>
        </w:rPr>
        <w:t>;”</w:t>
      </w:r>
      <w:r w:rsidRPr="001B185B">
        <w:rPr>
          <w:rFonts w:ascii="Times New Roman" w:hAnsi="Times New Roman" w:cs="Times New Roman"/>
          <w:sz w:val="20"/>
          <w:szCs w:val="20"/>
        </w:rPr>
        <w:t xml:space="preserve"> 2=“slightly dependent</w:t>
      </w:r>
      <w:r w:rsidR="00213B90">
        <w:rPr>
          <w:rFonts w:ascii="Times New Roman" w:hAnsi="Times New Roman" w:cs="Times New Roman"/>
          <w:sz w:val="20"/>
          <w:szCs w:val="20"/>
        </w:rPr>
        <w:t>;”</w:t>
      </w:r>
      <w:r w:rsidRPr="001B185B">
        <w:rPr>
          <w:rFonts w:ascii="Times New Roman" w:hAnsi="Times New Roman" w:cs="Times New Roman"/>
          <w:sz w:val="20"/>
          <w:szCs w:val="20"/>
        </w:rPr>
        <w:t xml:space="preserve"> 3=“very dependent</w:t>
      </w:r>
      <w:r w:rsidR="00213B90">
        <w:rPr>
          <w:rFonts w:ascii="Times New Roman" w:hAnsi="Times New Roman" w:cs="Times New Roman"/>
          <w:sz w:val="20"/>
          <w:szCs w:val="20"/>
        </w:rPr>
        <w:t>.</w:t>
      </w:r>
      <w:r w:rsidRPr="001B185B">
        <w:rPr>
          <w:rFonts w:ascii="Times New Roman" w:hAnsi="Times New Roman" w:cs="Times New Roman"/>
          <w:sz w:val="20"/>
          <w:szCs w:val="20"/>
        </w:rPr>
        <w:t xml:space="preserve">” </w:t>
      </w:r>
      <w:r w:rsidRPr="001B185B">
        <w:rPr>
          <w:rFonts w:ascii="Times New Roman" w:eastAsia="Times New Roman" w:hAnsi="Times New Roman" w:cs="Times New Roman"/>
          <w:vertAlign w:val="superscript"/>
          <w:lang w:eastAsia="fr-CH"/>
        </w:rPr>
        <w:t>c</w:t>
      </w:r>
      <w:r w:rsidRPr="001B185B">
        <w:rPr>
          <w:rFonts w:ascii="Times New Roman" w:hAnsi="Times New Roman" w:cs="Times New Roman"/>
          <w:i/>
          <w:sz w:val="20"/>
          <w:szCs w:val="20"/>
        </w:rPr>
        <w:t>Frequency of cooperation</w:t>
      </w:r>
      <w:r w:rsidRPr="001B185B">
        <w:rPr>
          <w:rFonts w:ascii="Times New Roman" w:hAnsi="Times New Roman" w:cs="Times New Roman"/>
          <w:sz w:val="20"/>
          <w:szCs w:val="20"/>
        </w:rPr>
        <w:t>: 1=“never</w:t>
      </w:r>
      <w:r w:rsidR="00213B90">
        <w:rPr>
          <w:rFonts w:ascii="Times New Roman" w:hAnsi="Times New Roman" w:cs="Times New Roman"/>
          <w:sz w:val="20"/>
          <w:szCs w:val="20"/>
        </w:rPr>
        <w:t>;”</w:t>
      </w:r>
      <w:r w:rsidRPr="001B185B">
        <w:rPr>
          <w:rFonts w:ascii="Times New Roman" w:hAnsi="Times New Roman" w:cs="Times New Roman"/>
          <w:sz w:val="20"/>
          <w:szCs w:val="20"/>
        </w:rPr>
        <w:t xml:space="preserve"> 2=“rarely</w:t>
      </w:r>
      <w:r w:rsidR="00213B90">
        <w:rPr>
          <w:rFonts w:ascii="Times New Roman" w:hAnsi="Times New Roman" w:cs="Times New Roman"/>
          <w:sz w:val="20"/>
          <w:szCs w:val="20"/>
        </w:rPr>
        <w:t xml:space="preserve">;” </w:t>
      </w:r>
      <w:r w:rsidRPr="001B185B">
        <w:rPr>
          <w:rFonts w:ascii="Times New Roman" w:hAnsi="Times New Roman" w:cs="Times New Roman"/>
          <w:sz w:val="20"/>
          <w:szCs w:val="20"/>
        </w:rPr>
        <w:t>3=“not sure</w:t>
      </w:r>
      <w:r w:rsidR="00213B90">
        <w:rPr>
          <w:rFonts w:ascii="Times New Roman" w:hAnsi="Times New Roman" w:cs="Times New Roman"/>
          <w:sz w:val="20"/>
          <w:szCs w:val="20"/>
        </w:rPr>
        <w:t>;”</w:t>
      </w:r>
      <w:r w:rsidRPr="001B185B">
        <w:rPr>
          <w:rFonts w:ascii="Times New Roman" w:hAnsi="Times New Roman" w:cs="Times New Roman"/>
          <w:sz w:val="20"/>
          <w:szCs w:val="20"/>
        </w:rPr>
        <w:t xml:space="preserve"> 4=“sometimes</w:t>
      </w:r>
      <w:r w:rsidR="00213B90">
        <w:rPr>
          <w:rFonts w:ascii="Times New Roman" w:hAnsi="Times New Roman" w:cs="Times New Roman"/>
          <w:sz w:val="20"/>
          <w:szCs w:val="20"/>
        </w:rPr>
        <w:t>;”</w:t>
      </w:r>
      <w:r w:rsidRPr="001B185B">
        <w:rPr>
          <w:rFonts w:ascii="Times New Roman" w:hAnsi="Times New Roman" w:cs="Times New Roman"/>
          <w:sz w:val="20"/>
          <w:szCs w:val="20"/>
        </w:rPr>
        <w:t xml:space="preserve"> 5=“always</w:t>
      </w:r>
      <w:r w:rsidR="00213B90">
        <w:rPr>
          <w:rFonts w:ascii="Times New Roman" w:hAnsi="Times New Roman" w:cs="Times New Roman"/>
          <w:sz w:val="20"/>
          <w:szCs w:val="20"/>
        </w:rPr>
        <w:t>.</w:t>
      </w:r>
      <w:r w:rsidRPr="001B185B">
        <w:rPr>
          <w:rFonts w:ascii="Times New Roman" w:hAnsi="Times New Roman" w:cs="Times New Roman"/>
          <w:sz w:val="20"/>
          <w:szCs w:val="20"/>
        </w:rPr>
        <w:t>” Further binary indicators for the missing values are omitted from the specification due to multicollinearity.</w:t>
      </w:r>
    </w:p>
    <w:p w14:paraId="516BCEF9" w14:textId="77777777" w:rsidR="00D2470D" w:rsidRDefault="00D2470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2FEFFCA0" w14:textId="77777777" w:rsidR="009E32DC" w:rsidRPr="001B185B" w:rsidRDefault="009E32DC" w:rsidP="009E32DC">
      <w:pPr>
        <w:spacing w:after="0"/>
        <w:rPr>
          <w:rFonts w:ascii="Times New Roman" w:hAnsi="Times New Roman" w:cs="Times New Roman"/>
          <w:sz w:val="24"/>
          <w:szCs w:val="24"/>
        </w:rPr>
      </w:pPr>
      <w:r w:rsidRPr="001B185B">
        <w:rPr>
          <w:rFonts w:ascii="Times New Roman" w:hAnsi="Times New Roman" w:cs="Times New Roman"/>
          <w:noProof/>
          <w:sz w:val="24"/>
          <w:szCs w:val="24"/>
          <w:lang w:val="en-IN" w:eastAsia="en-IN"/>
        </w:rPr>
        <w:lastRenderedPageBreak/>
        <w:drawing>
          <wp:inline distT="0" distB="0" distL="0" distR="0" wp14:anchorId="4FAA3E45" wp14:editId="5123CBBC">
            <wp:extent cx="5760720" cy="4191635"/>
            <wp:effectExtent l="19050" t="19050" r="11430"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_byprofit2.png"/>
                    <pic:cNvPicPr/>
                  </pic:nvPicPr>
                  <pic:blipFill>
                    <a:blip r:embed="rId8">
                      <a:extLst>
                        <a:ext uri="{28A0092B-C50C-407E-A947-70E740481C1C}">
                          <a14:useLocalDpi xmlns:a14="http://schemas.microsoft.com/office/drawing/2010/main" val="0"/>
                        </a:ext>
                      </a:extLst>
                    </a:blip>
                    <a:stretch>
                      <a:fillRect/>
                    </a:stretch>
                  </pic:blipFill>
                  <pic:spPr>
                    <a:xfrm>
                      <a:off x="0" y="0"/>
                      <a:ext cx="5760720" cy="4191635"/>
                    </a:xfrm>
                    <a:prstGeom prst="rect">
                      <a:avLst/>
                    </a:prstGeom>
                    <a:ln w="3175">
                      <a:solidFill>
                        <a:schemeClr val="tx1"/>
                      </a:solidFill>
                    </a:ln>
                  </pic:spPr>
                </pic:pic>
              </a:graphicData>
            </a:graphic>
          </wp:inline>
        </w:drawing>
      </w:r>
    </w:p>
    <w:p w14:paraId="24BB5B9F" w14:textId="77777777" w:rsidR="009E32DC" w:rsidRPr="001B185B" w:rsidRDefault="00285169" w:rsidP="00D2470D">
      <w:pPr>
        <w:spacing w:before="240" w:line="480" w:lineRule="auto"/>
        <w:outlineLvl w:val="0"/>
        <w:rPr>
          <w:rFonts w:ascii="Times New Roman" w:hAnsi="Times New Roman" w:cs="Times New Roman"/>
          <w:b/>
          <w:sz w:val="24"/>
          <w:szCs w:val="24"/>
        </w:rPr>
      </w:pPr>
      <w:commentRangeStart w:id="1"/>
      <w:commentRangeStart w:id="2"/>
      <w:r w:rsidRPr="00930315">
        <w:rPr>
          <w:rFonts w:ascii="Times New Roman" w:hAnsi="Times New Roman" w:cs="Times New Roman"/>
          <w:b/>
          <w:sz w:val="24"/>
          <w:szCs w:val="24"/>
        </w:rPr>
        <w:t>Figure</w:t>
      </w:r>
      <w:commentRangeEnd w:id="1"/>
      <w:r w:rsidR="00F20987">
        <w:rPr>
          <w:rStyle w:val="CommentReference"/>
        </w:rPr>
        <w:commentReference w:id="1"/>
      </w:r>
      <w:commentRangeEnd w:id="2"/>
      <w:r w:rsidR="00D37E2F">
        <w:rPr>
          <w:rStyle w:val="CommentReference"/>
        </w:rPr>
        <w:commentReference w:id="2"/>
      </w:r>
      <w:r w:rsidRPr="00930315">
        <w:rPr>
          <w:rFonts w:ascii="Times New Roman" w:hAnsi="Times New Roman" w:cs="Times New Roman"/>
          <w:b/>
          <w:sz w:val="24"/>
          <w:szCs w:val="24"/>
        </w:rPr>
        <w:t xml:space="preserve"> 1</w:t>
      </w:r>
      <w:r w:rsidR="009E32DC" w:rsidRPr="00930315">
        <w:rPr>
          <w:rFonts w:ascii="Times New Roman" w:hAnsi="Times New Roman" w:cs="Times New Roman"/>
          <w:b/>
          <w:sz w:val="24"/>
          <w:szCs w:val="24"/>
        </w:rPr>
        <w:t xml:space="preserve">A. Ease </w:t>
      </w:r>
      <w:r w:rsidR="009E32DC" w:rsidRPr="001B185B">
        <w:rPr>
          <w:rFonts w:ascii="Times New Roman" w:hAnsi="Times New Roman" w:cs="Times New Roman"/>
          <w:b/>
          <w:sz w:val="24"/>
          <w:szCs w:val="24"/>
        </w:rPr>
        <w:t xml:space="preserve">of </w:t>
      </w:r>
      <w:r w:rsidR="00B76B03">
        <w:rPr>
          <w:rFonts w:ascii="Times New Roman" w:hAnsi="Times New Roman" w:cs="Times New Roman"/>
          <w:b/>
          <w:sz w:val="24"/>
          <w:szCs w:val="24"/>
        </w:rPr>
        <w:t>G</w:t>
      </w:r>
      <w:r w:rsidR="009E32DC" w:rsidRPr="001B185B">
        <w:rPr>
          <w:rFonts w:ascii="Times New Roman" w:hAnsi="Times New Roman" w:cs="Times New Roman"/>
          <w:b/>
          <w:sz w:val="24"/>
          <w:szCs w:val="24"/>
        </w:rPr>
        <w:t xml:space="preserve">etting a </w:t>
      </w:r>
      <w:r w:rsidR="00B76B03">
        <w:rPr>
          <w:rFonts w:ascii="Times New Roman" w:hAnsi="Times New Roman" w:cs="Times New Roman"/>
          <w:b/>
          <w:sz w:val="24"/>
          <w:szCs w:val="24"/>
        </w:rPr>
        <w:t>L</w:t>
      </w:r>
      <w:r w:rsidR="009E32DC" w:rsidRPr="001B185B">
        <w:rPr>
          <w:rFonts w:ascii="Times New Roman" w:hAnsi="Times New Roman" w:cs="Times New Roman"/>
          <w:b/>
          <w:sz w:val="24"/>
          <w:szCs w:val="24"/>
        </w:rPr>
        <w:t xml:space="preserve">oan by </w:t>
      </w:r>
      <w:r w:rsidR="00B76B03">
        <w:rPr>
          <w:rFonts w:ascii="Times New Roman" w:hAnsi="Times New Roman" w:cs="Times New Roman"/>
          <w:b/>
          <w:sz w:val="24"/>
          <w:szCs w:val="24"/>
        </w:rPr>
        <w:t>F</w:t>
      </w:r>
      <w:r w:rsidR="009E32DC" w:rsidRPr="001B185B">
        <w:rPr>
          <w:rFonts w:ascii="Times New Roman" w:hAnsi="Times New Roman" w:cs="Times New Roman"/>
          <w:b/>
          <w:sz w:val="24"/>
          <w:szCs w:val="24"/>
        </w:rPr>
        <w:t xml:space="preserve">arm </w:t>
      </w:r>
      <w:r w:rsidR="00B76B03">
        <w:rPr>
          <w:rFonts w:ascii="Times New Roman" w:hAnsi="Times New Roman" w:cs="Times New Roman"/>
          <w:b/>
          <w:sz w:val="24"/>
          <w:szCs w:val="24"/>
        </w:rPr>
        <w:t>P</w:t>
      </w:r>
      <w:r w:rsidR="009E32DC" w:rsidRPr="001B185B">
        <w:rPr>
          <w:rFonts w:ascii="Times New Roman" w:hAnsi="Times New Roman" w:cs="Times New Roman"/>
          <w:b/>
          <w:sz w:val="24"/>
          <w:szCs w:val="24"/>
        </w:rPr>
        <w:t>rofitability</w:t>
      </w:r>
    </w:p>
    <w:p w14:paraId="42B69FE7" w14:textId="77777777" w:rsidR="009E32DC" w:rsidRPr="001B185B" w:rsidRDefault="009E32DC" w:rsidP="00D2470D">
      <w:pPr>
        <w:spacing w:after="0" w:line="480" w:lineRule="auto"/>
        <w:ind w:right="141"/>
        <w:jc w:val="both"/>
        <w:rPr>
          <w:rFonts w:ascii="Times New Roman" w:hAnsi="Times New Roman" w:cs="Times New Roman"/>
          <w:sz w:val="20"/>
          <w:szCs w:val="20"/>
        </w:rPr>
      </w:pPr>
      <w:r w:rsidRPr="001B185B">
        <w:rPr>
          <w:rFonts w:ascii="Times New Roman" w:hAnsi="Times New Roman" w:cs="Times New Roman"/>
          <w:sz w:val="20"/>
          <w:szCs w:val="20"/>
        </w:rPr>
        <w:t>Source: The 2015 survey of farmers conducted by the authors.</w:t>
      </w:r>
    </w:p>
    <w:p w14:paraId="73214325" w14:textId="77777777" w:rsidR="009E32DC" w:rsidRPr="001B185B" w:rsidRDefault="009E32DC" w:rsidP="00D2470D">
      <w:pPr>
        <w:spacing w:after="0" w:line="480" w:lineRule="auto"/>
        <w:ind w:right="141"/>
        <w:jc w:val="both"/>
        <w:rPr>
          <w:rFonts w:ascii="Times New Roman" w:hAnsi="Times New Roman" w:cs="Times New Roman"/>
          <w:sz w:val="20"/>
          <w:szCs w:val="20"/>
        </w:rPr>
      </w:pPr>
      <w:r w:rsidRPr="001B185B">
        <w:rPr>
          <w:rFonts w:ascii="Times New Roman" w:hAnsi="Times New Roman" w:cs="Times New Roman"/>
          <w:sz w:val="20"/>
          <w:szCs w:val="20"/>
        </w:rPr>
        <w:t xml:space="preserve">Notes: The graph is based on the evaluation sample. Observations with missing information on profitability (1 obs.) and loan accessibility (62 obs.) are excluded, resulting in 195 observations (92 unprofitable farms and 103 profitable farms). </w:t>
      </w:r>
    </w:p>
    <w:p w14:paraId="5E19E7AA" w14:textId="77777777" w:rsidR="009E32DC" w:rsidRPr="001B185B" w:rsidRDefault="009E32DC" w:rsidP="009E32DC">
      <w:pPr>
        <w:ind w:left="142" w:right="141"/>
        <w:jc w:val="both"/>
        <w:rPr>
          <w:rFonts w:ascii="Times New Roman" w:hAnsi="Times New Roman" w:cs="Times New Roman"/>
          <w:sz w:val="20"/>
          <w:szCs w:val="20"/>
        </w:rPr>
      </w:pPr>
    </w:p>
    <w:p w14:paraId="22D93D1A" w14:textId="77777777" w:rsidR="009E32DC" w:rsidRPr="001B185B" w:rsidRDefault="009E32DC" w:rsidP="009E32DC">
      <w:pPr>
        <w:rPr>
          <w:rFonts w:ascii="Times New Roman" w:hAnsi="Times New Roman" w:cs="Times New Roman"/>
          <w:sz w:val="24"/>
          <w:szCs w:val="24"/>
        </w:rPr>
      </w:pPr>
      <w:r w:rsidRPr="001B185B">
        <w:rPr>
          <w:rFonts w:ascii="Times New Roman" w:hAnsi="Times New Roman" w:cs="Times New Roman"/>
          <w:sz w:val="24"/>
          <w:szCs w:val="24"/>
        </w:rPr>
        <w:br w:type="page"/>
      </w:r>
    </w:p>
    <w:p w14:paraId="0309C7D8" w14:textId="77777777" w:rsidR="009E32DC" w:rsidRPr="001B185B" w:rsidRDefault="009E32DC" w:rsidP="00CB3D14">
      <w:pPr>
        <w:spacing w:line="480" w:lineRule="auto"/>
        <w:jc w:val="both"/>
        <w:outlineLvl w:val="0"/>
        <w:rPr>
          <w:rFonts w:ascii="Times New Roman" w:hAnsi="Times New Roman" w:cs="Times New Roman"/>
          <w:b/>
          <w:sz w:val="24"/>
          <w:szCs w:val="24"/>
          <w:lang w:val="en-US"/>
        </w:rPr>
      </w:pPr>
      <w:r w:rsidRPr="001B185B">
        <w:rPr>
          <w:rFonts w:ascii="Times New Roman" w:hAnsi="Times New Roman" w:cs="Times New Roman"/>
          <w:b/>
          <w:sz w:val="24"/>
          <w:szCs w:val="24"/>
          <w:lang w:val="en-US"/>
        </w:rPr>
        <w:lastRenderedPageBreak/>
        <w:t xml:space="preserve">Appendix B. Translation of the </w:t>
      </w:r>
      <w:r w:rsidR="00B76B03">
        <w:rPr>
          <w:rFonts w:ascii="Times New Roman" w:hAnsi="Times New Roman" w:cs="Times New Roman"/>
          <w:b/>
          <w:sz w:val="24"/>
          <w:szCs w:val="24"/>
          <w:lang w:val="en-US"/>
        </w:rPr>
        <w:t>B</w:t>
      </w:r>
      <w:r w:rsidRPr="001B185B">
        <w:rPr>
          <w:rFonts w:ascii="Times New Roman" w:hAnsi="Times New Roman" w:cs="Times New Roman"/>
          <w:b/>
          <w:sz w:val="24"/>
          <w:szCs w:val="24"/>
          <w:lang w:val="en-US"/>
        </w:rPr>
        <w:t xml:space="preserve">rochure </w:t>
      </w:r>
      <w:r w:rsidR="00B76B03">
        <w:rPr>
          <w:rFonts w:ascii="Times New Roman" w:hAnsi="Times New Roman" w:cs="Times New Roman"/>
          <w:b/>
          <w:sz w:val="24"/>
          <w:szCs w:val="24"/>
          <w:lang w:val="en-US"/>
        </w:rPr>
        <w:t>C</w:t>
      </w:r>
      <w:r w:rsidRPr="001B185B">
        <w:rPr>
          <w:rFonts w:ascii="Times New Roman" w:hAnsi="Times New Roman" w:cs="Times New Roman"/>
          <w:b/>
          <w:sz w:val="24"/>
          <w:szCs w:val="24"/>
          <w:lang w:val="en-US"/>
        </w:rPr>
        <w:t>ontent</w:t>
      </w:r>
    </w:p>
    <w:p w14:paraId="29446231"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 xml:space="preserve">AGENCY FOR FINANCIAL SUPPORT OF AGRICULTURE AND RURAL DEVELOPMENT </w:t>
      </w:r>
    </w:p>
    <w:p w14:paraId="3F77B889"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Every year the Government of the Republic of Macedonia prepares a program for the financial support of rural development.</w:t>
      </w:r>
    </w:p>
    <w:p w14:paraId="6EEF3C3A" w14:textId="77777777" w:rsidR="009E32DC" w:rsidRPr="001B185B" w:rsidRDefault="009E32DC" w:rsidP="00CB3D14">
      <w:pPr>
        <w:spacing w:line="480" w:lineRule="auto"/>
        <w:jc w:val="both"/>
        <w:outlineLvl w:val="0"/>
        <w:rPr>
          <w:rFonts w:ascii="Times New Roman" w:hAnsi="Times New Roman" w:cs="Times New Roman"/>
          <w:sz w:val="24"/>
          <w:szCs w:val="24"/>
          <w:lang w:val="en-US"/>
        </w:rPr>
      </w:pPr>
      <w:r w:rsidRPr="001B185B">
        <w:rPr>
          <w:rFonts w:ascii="Times New Roman" w:hAnsi="Times New Roman" w:cs="Times New Roman"/>
          <w:sz w:val="24"/>
          <w:szCs w:val="24"/>
          <w:lang w:val="en-US"/>
        </w:rPr>
        <w:t>GOALS</w:t>
      </w:r>
    </w:p>
    <w:p w14:paraId="6AE682D1" w14:textId="642B82B7" w:rsidR="009E32DC" w:rsidRPr="001B185B" w:rsidRDefault="009E32DC" w:rsidP="00CB3D14">
      <w:pPr>
        <w:pStyle w:val="ListParagraph"/>
        <w:numPr>
          <w:ilvl w:val="0"/>
          <w:numId w:val="1"/>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Modernization and structural adjustment of the agrifood sector</w:t>
      </w:r>
    </w:p>
    <w:p w14:paraId="28356E9C" w14:textId="77777777" w:rsidR="009E32DC" w:rsidRPr="001B185B" w:rsidRDefault="009E32DC" w:rsidP="00CB3D14">
      <w:pPr>
        <w:pStyle w:val="ListParagraph"/>
        <w:numPr>
          <w:ilvl w:val="0"/>
          <w:numId w:val="1"/>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Support of economic activities related to the protection of natural, cultural and development values of rural areas</w:t>
      </w:r>
    </w:p>
    <w:p w14:paraId="24E112B1" w14:textId="77777777" w:rsidR="009E32DC" w:rsidRPr="001B185B" w:rsidRDefault="009E32DC" w:rsidP="00CB3D14">
      <w:pPr>
        <w:pStyle w:val="ListParagraph"/>
        <w:numPr>
          <w:ilvl w:val="0"/>
          <w:numId w:val="1"/>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Transition of the national agricultural policy towards EU policies</w:t>
      </w:r>
    </w:p>
    <w:p w14:paraId="6996D6BB"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MEASURE 112 - SUPPORT OF YOUNG FARMERS IN STARTING AGRICUTURAL ACTIVITIES</w:t>
      </w:r>
    </w:p>
    <w:p w14:paraId="5AB8BA3E" w14:textId="77777777" w:rsidR="009E32DC" w:rsidRPr="001B185B" w:rsidRDefault="009E32DC" w:rsidP="00CB3D14">
      <w:pPr>
        <w:pStyle w:val="ListParagraph"/>
        <w:numPr>
          <w:ilvl w:val="0"/>
          <w:numId w:val="2"/>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This measure is aimed at young farmers aged between 18 and 40 years who engage in agricultural activities for the first time by overtaking an existing farm or establishing a new one.</w:t>
      </w:r>
    </w:p>
    <w:p w14:paraId="7BCDD574" w14:textId="77777777" w:rsidR="009E32DC" w:rsidRPr="001B185B" w:rsidRDefault="009E32DC" w:rsidP="00CB3D14">
      <w:pPr>
        <w:spacing w:line="480" w:lineRule="auto"/>
        <w:jc w:val="both"/>
        <w:outlineLvl w:val="0"/>
        <w:rPr>
          <w:rFonts w:ascii="Times New Roman" w:hAnsi="Times New Roman" w:cs="Times New Roman"/>
          <w:sz w:val="24"/>
          <w:szCs w:val="24"/>
          <w:u w:val="single"/>
          <w:lang w:val="en-US"/>
        </w:rPr>
      </w:pPr>
      <w:r w:rsidRPr="001B185B">
        <w:rPr>
          <w:rFonts w:ascii="Times New Roman" w:hAnsi="Times New Roman" w:cs="Times New Roman"/>
          <w:sz w:val="24"/>
          <w:szCs w:val="24"/>
          <w:u w:val="single"/>
          <w:lang w:val="en-US"/>
        </w:rPr>
        <w:t>Beneficiaries</w:t>
      </w:r>
    </w:p>
    <w:p w14:paraId="2282C9CA"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Physical and legal entities involved in an agricultural activity or agricultural households registered in the Single Farm Register (SFR) of Ministry of Agriculture, Forestry and Water Economy (MAFWE)</w:t>
      </w:r>
    </w:p>
    <w:p w14:paraId="0E840D99" w14:textId="77777777" w:rsidR="009E32DC" w:rsidRPr="001B185B" w:rsidRDefault="009E32DC" w:rsidP="00CB3D14">
      <w:pPr>
        <w:spacing w:line="480" w:lineRule="auto"/>
        <w:jc w:val="both"/>
        <w:outlineLvl w:val="0"/>
        <w:rPr>
          <w:rFonts w:ascii="Times New Roman" w:hAnsi="Times New Roman" w:cs="Times New Roman"/>
          <w:sz w:val="24"/>
          <w:szCs w:val="24"/>
          <w:u w:val="single"/>
          <w:lang w:val="en-US"/>
        </w:rPr>
      </w:pPr>
      <w:r w:rsidRPr="001B185B">
        <w:rPr>
          <w:rFonts w:ascii="Times New Roman" w:hAnsi="Times New Roman" w:cs="Times New Roman"/>
          <w:sz w:val="24"/>
          <w:szCs w:val="24"/>
          <w:u w:val="single"/>
          <w:lang w:val="en-US"/>
        </w:rPr>
        <w:t>Criteria</w:t>
      </w:r>
    </w:p>
    <w:p w14:paraId="7B0A576F" w14:textId="77777777" w:rsidR="009E32DC" w:rsidRPr="001B185B" w:rsidRDefault="009E32DC" w:rsidP="00CB3D14">
      <w:pPr>
        <w:pStyle w:val="ListParagraph"/>
        <w:numPr>
          <w:ilvl w:val="0"/>
          <w:numId w:val="2"/>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The application for support is to be submitted no later than 18 months from the date of registration of a change or a new farm in SFR</w:t>
      </w:r>
    </w:p>
    <w:p w14:paraId="56C927A5" w14:textId="77777777" w:rsidR="009E32DC" w:rsidRPr="001B185B" w:rsidRDefault="009E32DC" w:rsidP="00CB3D14">
      <w:pPr>
        <w:pStyle w:val="ListParagraph"/>
        <w:numPr>
          <w:ilvl w:val="0"/>
          <w:numId w:val="2"/>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lastRenderedPageBreak/>
        <w:t>The applicant is a holder of agricultural property</w:t>
      </w:r>
    </w:p>
    <w:p w14:paraId="7E02DB8D" w14:textId="3AE1E62E" w:rsidR="009E32DC" w:rsidRPr="001B185B" w:rsidRDefault="009E32DC" w:rsidP="00CB3D14">
      <w:pPr>
        <w:pStyle w:val="ListParagraph"/>
        <w:numPr>
          <w:ilvl w:val="0"/>
          <w:numId w:val="2"/>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 xml:space="preserve">The applicant has at least secondary education in agriculture or </w:t>
      </w:r>
      <w:r w:rsidR="00A85201">
        <w:rPr>
          <w:rFonts w:ascii="Times New Roman" w:hAnsi="Times New Roman" w:cs="Times New Roman"/>
          <w:sz w:val="24"/>
          <w:szCs w:val="24"/>
          <w:lang w:val="en-US"/>
        </w:rPr>
        <w:t>has gone</w:t>
      </w:r>
      <w:r w:rsidR="00A85201" w:rsidRPr="001B185B">
        <w:rPr>
          <w:rFonts w:ascii="Times New Roman" w:hAnsi="Times New Roman" w:cs="Times New Roman"/>
          <w:sz w:val="24"/>
          <w:szCs w:val="24"/>
          <w:lang w:val="en-US"/>
        </w:rPr>
        <w:t xml:space="preserve"> </w:t>
      </w:r>
      <w:r w:rsidRPr="001B185B">
        <w:rPr>
          <w:rFonts w:ascii="Times New Roman" w:hAnsi="Times New Roman" w:cs="Times New Roman"/>
          <w:sz w:val="24"/>
          <w:szCs w:val="24"/>
          <w:lang w:val="en-US"/>
        </w:rPr>
        <w:t>through training to acquire the qualifications for an agricultural activity, except for the cases where the business plan foresees a training</w:t>
      </w:r>
    </w:p>
    <w:p w14:paraId="4EAD9EAB" w14:textId="77777777" w:rsidR="009E32DC" w:rsidRPr="001B185B" w:rsidRDefault="009E32DC" w:rsidP="00CB3D14">
      <w:pPr>
        <w:pStyle w:val="ListParagraph"/>
        <w:numPr>
          <w:ilvl w:val="0"/>
          <w:numId w:val="2"/>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The applicant is to comply with good agricultural practices and measures for the protection of nature and animal welfare</w:t>
      </w:r>
    </w:p>
    <w:p w14:paraId="75ACD611"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MEASURE 121 - INVESTMENTS IN THE MODERNIZATION OF AGRICULTURAL HOUSEHOLDS</w:t>
      </w:r>
    </w:p>
    <w:p w14:paraId="029D431D" w14:textId="77777777" w:rsidR="009E32DC" w:rsidRPr="001B185B" w:rsidRDefault="009E32DC" w:rsidP="00CB3D14">
      <w:pPr>
        <w:pStyle w:val="ListParagraph"/>
        <w:numPr>
          <w:ilvl w:val="0"/>
          <w:numId w:val="3"/>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 xml:space="preserve">121.1: Purchase of cattle from recognized organizations of cattle breeders in the Republic of Macedonia </w:t>
      </w:r>
    </w:p>
    <w:p w14:paraId="6624699A" w14:textId="77777777" w:rsidR="009E32DC" w:rsidRPr="001B185B" w:rsidRDefault="009E32DC" w:rsidP="00CB3D14">
      <w:pPr>
        <w:pStyle w:val="ListParagraph"/>
        <w:numPr>
          <w:ilvl w:val="0"/>
          <w:numId w:val="3"/>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121.2: Purchase of bee queens from a registered bee breeder</w:t>
      </w:r>
    </w:p>
    <w:p w14:paraId="1DF43063" w14:textId="77777777" w:rsidR="009E32DC" w:rsidRPr="001B185B" w:rsidRDefault="009E32DC" w:rsidP="00CB3D14">
      <w:pPr>
        <w:pStyle w:val="ListParagraph"/>
        <w:numPr>
          <w:ilvl w:val="0"/>
          <w:numId w:val="3"/>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121.3: Growing new vineyards and orchards and honey flora in new locations</w:t>
      </w:r>
    </w:p>
    <w:p w14:paraId="3BF0FE9C" w14:textId="77777777" w:rsidR="009E32DC" w:rsidRPr="001B185B" w:rsidRDefault="009E32DC" w:rsidP="00CB3D14">
      <w:pPr>
        <w:pStyle w:val="ListParagraph"/>
        <w:numPr>
          <w:ilvl w:val="0"/>
          <w:numId w:val="3"/>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121.4: Procurement of equipment for drip irrigation for corn and forage crops and wells for irrigation</w:t>
      </w:r>
    </w:p>
    <w:p w14:paraId="27648CCD" w14:textId="77777777" w:rsidR="009E32DC" w:rsidRPr="001B185B" w:rsidRDefault="009E32DC" w:rsidP="00CB3D14">
      <w:pPr>
        <w:pStyle w:val="ListParagraph"/>
        <w:numPr>
          <w:ilvl w:val="0"/>
          <w:numId w:val="3"/>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121.5: Investments in agricultural equipment and mechanization for grain and industrial crops</w:t>
      </w:r>
    </w:p>
    <w:p w14:paraId="577A5E0D" w14:textId="77777777" w:rsidR="009E32DC" w:rsidRPr="001B185B" w:rsidRDefault="009E32DC" w:rsidP="00CB3D14">
      <w:pPr>
        <w:spacing w:line="480" w:lineRule="auto"/>
        <w:jc w:val="both"/>
        <w:outlineLvl w:val="0"/>
        <w:rPr>
          <w:rFonts w:ascii="Times New Roman" w:hAnsi="Times New Roman" w:cs="Times New Roman"/>
          <w:sz w:val="24"/>
          <w:szCs w:val="24"/>
          <w:u w:val="single"/>
          <w:lang w:val="en-US"/>
        </w:rPr>
      </w:pPr>
      <w:r w:rsidRPr="001B185B">
        <w:rPr>
          <w:rFonts w:ascii="Times New Roman" w:hAnsi="Times New Roman" w:cs="Times New Roman"/>
          <w:sz w:val="24"/>
          <w:szCs w:val="24"/>
          <w:u w:val="single"/>
          <w:lang w:val="en-US"/>
        </w:rPr>
        <w:t>Beneficiaries</w:t>
      </w:r>
    </w:p>
    <w:p w14:paraId="0C7700CD"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Agricultural farms registered in SFR of MAFWE, in accordance with the Law of Agriculture and Rural Development</w:t>
      </w:r>
    </w:p>
    <w:p w14:paraId="4C667769" w14:textId="77777777" w:rsidR="009E32DC" w:rsidRPr="001B185B" w:rsidRDefault="009E32DC" w:rsidP="00CB3D14">
      <w:pPr>
        <w:spacing w:line="480" w:lineRule="auto"/>
        <w:jc w:val="both"/>
        <w:outlineLvl w:val="0"/>
        <w:rPr>
          <w:rFonts w:ascii="Times New Roman" w:hAnsi="Times New Roman" w:cs="Times New Roman"/>
          <w:sz w:val="24"/>
          <w:szCs w:val="24"/>
          <w:u w:val="single"/>
          <w:lang w:val="en-US"/>
        </w:rPr>
      </w:pPr>
      <w:r w:rsidRPr="001B185B">
        <w:rPr>
          <w:rFonts w:ascii="Times New Roman" w:hAnsi="Times New Roman" w:cs="Times New Roman"/>
          <w:sz w:val="24"/>
          <w:szCs w:val="24"/>
          <w:u w:val="single"/>
          <w:lang w:val="en-US"/>
        </w:rPr>
        <w:t>Criteria</w:t>
      </w:r>
    </w:p>
    <w:p w14:paraId="11FFE72A" w14:textId="77777777" w:rsidR="009E32DC" w:rsidRPr="001B185B" w:rsidRDefault="009E32DC" w:rsidP="00CB3D14">
      <w:pPr>
        <w:pStyle w:val="ListParagraph"/>
        <w:numPr>
          <w:ilvl w:val="0"/>
          <w:numId w:val="2"/>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The applicant is a holder of agricultural property</w:t>
      </w:r>
    </w:p>
    <w:p w14:paraId="2153FEF1" w14:textId="7A26A07B" w:rsidR="009E32DC" w:rsidRPr="001B185B" w:rsidRDefault="009E32DC" w:rsidP="00CB3D14">
      <w:pPr>
        <w:pStyle w:val="ListParagraph"/>
        <w:numPr>
          <w:ilvl w:val="0"/>
          <w:numId w:val="2"/>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Submeasure 121.3 requires a minimum acceptable size of 0.5 hectares with a mandatory agrichemical analysis of soil and certified planting material</w:t>
      </w:r>
    </w:p>
    <w:p w14:paraId="2E681E5F" w14:textId="36E77F74" w:rsidR="009E32DC" w:rsidRPr="001B185B" w:rsidRDefault="009E32DC" w:rsidP="00CB3D14">
      <w:pPr>
        <w:pStyle w:val="ListParagraph"/>
        <w:numPr>
          <w:ilvl w:val="0"/>
          <w:numId w:val="2"/>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lastRenderedPageBreak/>
        <w:t>Submeasure 121.4 requires suitable production capacities (from 2 to 10 ha) recorded in the production plan for the current year</w:t>
      </w:r>
    </w:p>
    <w:p w14:paraId="6B61EC8A"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MEASURE 122 - INVESTMENTS IN THE INCREASE OF THE ECONOMIC VALUE OF FORESTRY</w:t>
      </w:r>
    </w:p>
    <w:p w14:paraId="26BC55A8" w14:textId="77777777" w:rsidR="009E32DC" w:rsidRPr="001B185B" w:rsidRDefault="009E32DC" w:rsidP="00CB3D14">
      <w:pPr>
        <w:pStyle w:val="ListParagraph"/>
        <w:numPr>
          <w:ilvl w:val="0"/>
          <w:numId w:val="4"/>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To increase the production efficiency by reducing the costs and improving the quality of forestry production</w:t>
      </w:r>
    </w:p>
    <w:p w14:paraId="222EDAAF" w14:textId="77777777" w:rsidR="009E32DC" w:rsidRPr="001B185B" w:rsidRDefault="009E32DC" w:rsidP="00CB3D14">
      <w:pPr>
        <w:spacing w:line="480" w:lineRule="auto"/>
        <w:jc w:val="both"/>
        <w:outlineLvl w:val="0"/>
        <w:rPr>
          <w:rFonts w:ascii="Times New Roman" w:hAnsi="Times New Roman" w:cs="Times New Roman"/>
          <w:sz w:val="24"/>
          <w:szCs w:val="24"/>
          <w:u w:val="single"/>
          <w:lang w:val="en-US"/>
        </w:rPr>
      </w:pPr>
      <w:r w:rsidRPr="001B185B">
        <w:rPr>
          <w:rFonts w:ascii="Times New Roman" w:hAnsi="Times New Roman" w:cs="Times New Roman"/>
          <w:sz w:val="24"/>
          <w:szCs w:val="24"/>
          <w:u w:val="single"/>
          <w:lang w:val="en-US"/>
        </w:rPr>
        <w:t>Beneficiaries</w:t>
      </w:r>
    </w:p>
    <w:p w14:paraId="7A883E71"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Physical and legal entities who are forest owners and/or associations of private forest owners</w:t>
      </w:r>
    </w:p>
    <w:p w14:paraId="57D07135"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MEASURE 131 - SUPPORT OF ECONOMIC ASSOCIATIONS OF FARMS FOR JOINT AGRICULTURAL ACTIVITIES</w:t>
      </w:r>
    </w:p>
    <w:p w14:paraId="7293D757" w14:textId="77777777" w:rsidR="009E32DC" w:rsidRPr="001B185B" w:rsidRDefault="009E32DC" w:rsidP="00CB3D14">
      <w:pPr>
        <w:pStyle w:val="ListParagraph"/>
        <w:numPr>
          <w:ilvl w:val="0"/>
          <w:numId w:val="4"/>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131.1: Establishment and operation of agricultural cooperatives</w:t>
      </w:r>
    </w:p>
    <w:p w14:paraId="2CB923AF" w14:textId="77777777" w:rsidR="009E32DC" w:rsidRPr="001B185B" w:rsidRDefault="009E32DC" w:rsidP="00CB3D14">
      <w:pPr>
        <w:pStyle w:val="ListParagraph"/>
        <w:numPr>
          <w:ilvl w:val="0"/>
          <w:numId w:val="4"/>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131.2: Organization of information and promotional activities for agricultural products</w:t>
      </w:r>
    </w:p>
    <w:p w14:paraId="559ACCCF" w14:textId="77777777" w:rsidR="009E32DC" w:rsidRPr="001B185B" w:rsidRDefault="009E32DC" w:rsidP="00CB3D14">
      <w:pPr>
        <w:pStyle w:val="ListParagraph"/>
        <w:numPr>
          <w:ilvl w:val="0"/>
          <w:numId w:val="4"/>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131.3: Aid for insurance premiums in the form of partial reimbursement of the insurance cost</w:t>
      </w:r>
    </w:p>
    <w:p w14:paraId="2EB0120B" w14:textId="77777777" w:rsidR="009E32DC" w:rsidRPr="001B185B" w:rsidRDefault="009E32DC" w:rsidP="00CB3D14">
      <w:pPr>
        <w:pStyle w:val="ListParagraph"/>
        <w:numPr>
          <w:ilvl w:val="0"/>
          <w:numId w:val="4"/>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131.4: Investments for purchasing agricultural machinery that amount to 90% of the procurement value</w:t>
      </w:r>
    </w:p>
    <w:p w14:paraId="33B0F89A" w14:textId="77777777" w:rsidR="009E32DC" w:rsidRPr="001B185B" w:rsidRDefault="009E32DC" w:rsidP="00CB3D14">
      <w:pPr>
        <w:spacing w:line="480" w:lineRule="auto"/>
        <w:jc w:val="both"/>
        <w:outlineLvl w:val="0"/>
        <w:rPr>
          <w:rFonts w:ascii="Times New Roman" w:hAnsi="Times New Roman" w:cs="Times New Roman"/>
          <w:sz w:val="24"/>
          <w:szCs w:val="24"/>
          <w:u w:val="single"/>
          <w:lang w:val="en-US"/>
        </w:rPr>
      </w:pPr>
      <w:r w:rsidRPr="001B185B">
        <w:rPr>
          <w:rFonts w:ascii="Times New Roman" w:hAnsi="Times New Roman" w:cs="Times New Roman"/>
          <w:sz w:val="24"/>
          <w:szCs w:val="24"/>
          <w:u w:val="single"/>
          <w:lang w:val="en-US"/>
        </w:rPr>
        <w:t>Beneficiaries</w:t>
      </w:r>
    </w:p>
    <w:p w14:paraId="273E0629"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Agricultural cooperatives registered in the Register of Agricultural Cooperatives of MAFWE in accordance with the Law of Agricultural Cooperatives</w:t>
      </w:r>
    </w:p>
    <w:p w14:paraId="117F210C" w14:textId="77777777" w:rsidR="009E32DC" w:rsidRPr="001B185B" w:rsidRDefault="009E32DC" w:rsidP="00CB3D14">
      <w:pPr>
        <w:spacing w:line="480" w:lineRule="auto"/>
        <w:jc w:val="both"/>
        <w:outlineLvl w:val="0"/>
        <w:rPr>
          <w:rFonts w:ascii="Times New Roman" w:hAnsi="Times New Roman" w:cs="Times New Roman"/>
          <w:sz w:val="24"/>
          <w:szCs w:val="24"/>
          <w:lang w:val="en-US"/>
        </w:rPr>
      </w:pPr>
      <w:r w:rsidRPr="001B185B">
        <w:rPr>
          <w:rFonts w:ascii="Times New Roman" w:hAnsi="Times New Roman" w:cs="Times New Roman"/>
          <w:sz w:val="24"/>
          <w:szCs w:val="24"/>
          <w:lang w:val="en-US"/>
        </w:rPr>
        <w:t>PROCEDURE</w:t>
      </w:r>
    </w:p>
    <w:p w14:paraId="55238E25" w14:textId="77777777" w:rsidR="009E32DC" w:rsidRPr="001B185B" w:rsidRDefault="009E32DC" w:rsidP="00CB3D14">
      <w:pPr>
        <w:pStyle w:val="ListParagraph"/>
        <w:numPr>
          <w:ilvl w:val="0"/>
          <w:numId w:val="5"/>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Submission of the application</w:t>
      </w:r>
    </w:p>
    <w:p w14:paraId="5010F18A" w14:textId="77777777" w:rsidR="009E32DC" w:rsidRPr="001B185B" w:rsidRDefault="009E32DC" w:rsidP="00CB3D14">
      <w:pPr>
        <w:pStyle w:val="ListParagraph"/>
        <w:numPr>
          <w:ilvl w:val="0"/>
          <w:numId w:val="5"/>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lastRenderedPageBreak/>
        <w:t>Approval of the request</w:t>
      </w:r>
    </w:p>
    <w:p w14:paraId="350F1BA4" w14:textId="77777777" w:rsidR="009E32DC" w:rsidRPr="001B185B" w:rsidRDefault="009E32DC" w:rsidP="00CB3D14">
      <w:pPr>
        <w:pStyle w:val="ListParagraph"/>
        <w:numPr>
          <w:ilvl w:val="0"/>
          <w:numId w:val="5"/>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Signing of the contract</w:t>
      </w:r>
    </w:p>
    <w:p w14:paraId="1FA43A9F" w14:textId="77777777" w:rsidR="009E32DC" w:rsidRPr="001B185B" w:rsidRDefault="009E32DC" w:rsidP="00CB3D14">
      <w:pPr>
        <w:pStyle w:val="ListParagraph"/>
        <w:numPr>
          <w:ilvl w:val="0"/>
          <w:numId w:val="5"/>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Realization of the obligations under the contract</w:t>
      </w:r>
    </w:p>
    <w:p w14:paraId="7A69A9A5" w14:textId="77777777" w:rsidR="009E32DC" w:rsidRPr="001B185B" w:rsidRDefault="009E32DC" w:rsidP="00CB3D14">
      <w:pPr>
        <w:pStyle w:val="ListParagraph"/>
        <w:numPr>
          <w:ilvl w:val="0"/>
          <w:numId w:val="5"/>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Filing for the payment</w:t>
      </w:r>
    </w:p>
    <w:p w14:paraId="429E0E83" w14:textId="77777777" w:rsidR="009E32DC" w:rsidRPr="001B185B" w:rsidRDefault="009E32DC" w:rsidP="00CB3D14">
      <w:pPr>
        <w:pStyle w:val="ListParagraph"/>
        <w:numPr>
          <w:ilvl w:val="0"/>
          <w:numId w:val="5"/>
        </w:num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 xml:space="preserve">Approval of the payment </w:t>
      </w:r>
    </w:p>
    <w:p w14:paraId="449F7CE6" w14:textId="77777777" w:rsidR="009E32DC" w:rsidRPr="001B185B" w:rsidRDefault="009E32DC" w:rsidP="00CB3D14">
      <w:pPr>
        <w:spacing w:line="480" w:lineRule="auto"/>
        <w:jc w:val="both"/>
        <w:outlineLvl w:val="0"/>
        <w:rPr>
          <w:rFonts w:ascii="Times New Roman" w:hAnsi="Times New Roman" w:cs="Times New Roman"/>
          <w:sz w:val="24"/>
          <w:szCs w:val="24"/>
          <w:u w:val="single"/>
          <w:lang w:val="en-US"/>
        </w:rPr>
      </w:pPr>
      <w:r w:rsidRPr="001B185B">
        <w:rPr>
          <w:rFonts w:ascii="Times New Roman" w:hAnsi="Times New Roman" w:cs="Times New Roman"/>
          <w:sz w:val="24"/>
          <w:szCs w:val="24"/>
          <w:u w:val="single"/>
          <w:lang w:val="en-US"/>
        </w:rPr>
        <w:t>Required documents and guidelines</w:t>
      </w:r>
      <w:r w:rsidRPr="001B185B">
        <w:rPr>
          <w:rFonts w:ascii="Times New Roman" w:hAnsi="Times New Roman" w:cs="Times New Roman"/>
          <w:sz w:val="24"/>
          <w:szCs w:val="24"/>
          <w:lang w:val="en-US"/>
        </w:rPr>
        <w:t xml:space="preserve"> can be obtained on the website of Agency for Financial Support of Agriculture and Rural Development or at the local units of the National Extension Agency.</w:t>
      </w:r>
    </w:p>
    <w:p w14:paraId="35875E12" w14:textId="77777777" w:rsidR="009E32DC" w:rsidRPr="001B185B" w:rsidRDefault="009E32DC" w:rsidP="00CB3D14">
      <w:pPr>
        <w:spacing w:line="480" w:lineRule="auto"/>
        <w:jc w:val="both"/>
        <w:outlineLvl w:val="0"/>
        <w:rPr>
          <w:rFonts w:ascii="Times New Roman" w:hAnsi="Times New Roman" w:cs="Times New Roman"/>
          <w:sz w:val="24"/>
          <w:szCs w:val="24"/>
          <w:u w:val="single"/>
          <w:lang w:val="en-US"/>
        </w:rPr>
      </w:pPr>
      <w:r w:rsidRPr="001B185B">
        <w:rPr>
          <w:rFonts w:ascii="Times New Roman" w:hAnsi="Times New Roman" w:cs="Times New Roman"/>
          <w:sz w:val="24"/>
          <w:szCs w:val="24"/>
          <w:u w:val="single"/>
          <w:lang w:val="en-US"/>
        </w:rPr>
        <w:t>Check before submitting an application</w:t>
      </w:r>
    </w:p>
    <w:p w14:paraId="25309C34" w14:textId="6A1146DA"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 xml:space="preserve">It is necessary to verify the data for cadastral parcels and production facilities registered in SFR and check whether </w:t>
      </w:r>
      <w:r w:rsidR="00D60617">
        <w:rPr>
          <w:rFonts w:ascii="Times New Roman" w:hAnsi="Times New Roman" w:cs="Times New Roman"/>
          <w:sz w:val="24"/>
          <w:szCs w:val="24"/>
          <w:lang w:val="en-US"/>
        </w:rPr>
        <w:t xml:space="preserve">or not </w:t>
      </w:r>
      <w:r w:rsidRPr="001B185B">
        <w:rPr>
          <w:rFonts w:ascii="Times New Roman" w:hAnsi="Times New Roman" w:cs="Times New Roman"/>
          <w:sz w:val="24"/>
          <w:szCs w:val="24"/>
          <w:lang w:val="en-US"/>
        </w:rPr>
        <w:t>all liabilities are settled: those based on lease and use of state-owned land, state pastures, water bills, concessions for commercial and recreational fishing, concessions for issuing a permit to hunting areas, obligations regarding the contracts for the use of compensation funds from foreign assistance, taxes</w:t>
      </w:r>
      <w:r w:rsidR="00BD31A9">
        <w:rPr>
          <w:rFonts w:ascii="Times New Roman" w:hAnsi="Times New Roman" w:cs="Times New Roman"/>
          <w:sz w:val="24"/>
          <w:szCs w:val="24"/>
          <w:lang w:val="en-US"/>
        </w:rPr>
        <w:t>,</w:t>
      </w:r>
      <w:r w:rsidRPr="001B185B">
        <w:rPr>
          <w:rFonts w:ascii="Times New Roman" w:hAnsi="Times New Roman" w:cs="Times New Roman"/>
          <w:sz w:val="24"/>
          <w:szCs w:val="24"/>
          <w:lang w:val="en-US"/>
        </w:rPr>
        <w:t xml:space="preserve"> and contributions for which the </w:t>
      </w:r>
      <w:r w:rsidR="00BD31A9">
        <w:rPr>
          <w:rFonts w:ascii="Times New Roman" w:hAnsi="Times New Roman" w:cs="Times New Roman"/>
          <w:sz w:val="24"/>
          <w:szCs w:val="24"/>
          <w:lang w:val="en-US"/>
        </w:rPr>
        <w:t>p</w:t>
      </w:r>
      <w:r w:rsidRPr="001B185B">
        <w:rPr>
          <w:rFonts w:ascii="Times New Roman" w:hAnsi="Times New Roman" w:cs="Times New Roman"/>
          <w:sz w:val="24"/>
          <w:szCs w:val="24"/>
          <w:lang w:val="en-US"/>
        </w:rPr>
        <w:t>ublic revenue office is responsible.</w:t>
      </w:r>
    </w:p>
    <w:p w14:paraId="54E52B31" w14:textId="77777777" w:rsidR="009E32DC" w:rsidRPr="001B185B" w:rsidRDefault="009E32DC" w:rsidP="00CB3D14">
      <w:pPr>
        <w:spacing w:line="480" w:lineRule="auto"/>
        <w:jc w:val="both"/>
        <w:outlineLvl w:val="0"/>
        <w:rPr>
          <w:rFonts w:ascii="Times New Roman" w:hAnsi="Times New Roman" w:cs="Times New Roman"/>
          <w:sz w:val="24"/>
          <w:szCs w:val="24"/>
          <w:lang w:val="en-US"/>
        </w:rPr>
      </w:pPr>
      <w:r w:rsidRPr="001B185B">
        <w:rPr>
          <w:rFonts w:ascii="Times New Roman" w:hAnsi="Times New Roman" w:cs="Times New Roman"/>
          <w:sz w:val="24"/>
          <w:szCs w:val="24"/>
          <w:lang w:val="en-US"/>
        </w:rPr>
        <w:t xml:space="preserve">INSTITUTIONS </w:t>
      </w:r>
    </w:p>
    <w:p w14:paraId="76B6C865" w14:textId="77777777" w:rsidR="009E32DC" w:rsidRPr="001B185B" w:rsidRDefault="009E32DC" w:rsidP="00CB3D14">
      <w:pPr>
        <w:spacing w:line="480" w:lineRule="auto"/>
        <w:jc w:val="both"/>
        <w:outlineLvl w:val="0"/>
        <w:rPr>
          <w:rFonts w:ascii="Times New Roman" w:hAnsi="Times New Roman" w:cs="Times New Roman"/>
          <w:b/>
          <w:sz w:val="24"/>
          <w:szCs w:val="24"/>
          <w:lang w:val="en-US"/>
        </w:rPr>
      </w:pPr>
      <w:r w:rsidRPr="001B185B">
        <w:rPr>
          <w:rFonts w:ascii="Times New Roman" w:hAnsi="Times New Roman" w:cs="Times New Roman"/>
          <w:b/>
          <w:sz w:val="24"/>
          <w:szCs w:val="24"/>
          <w:lang w:val="en-US"/>
        </w:rPr>
        <w:t>Ministry of agriculture, forestry and water economy (MAFWE)</w:t>
      </w:r>
    </w:p>
    <w:p w14:paraId="5D32C379" w14:textId="77777777" w:rsidR="009E32DC" w:rsidRPr="001B185B" w:rsidRDefault="009E32DC" w:rsidP="00CB3D14">
      <w:pPr>
        <w:spacing w:line="480" w:lineRule="auto"/>
        <w:jc w:val="both"/>
        <w:outlineLvl w:val="0"/>
        <w:rPr>
          <w:rFonts w:ascii="Times New Roman" w:hAnsi="Times New Roman" w:cs="Times New Roman"/>
          <w:sz w:val="24"/>
          <w:szCs w:val="24"/>
          <w:lang w:val="en-US"/>
        </w:rPr>
      </w:pPr>
      <w:r w:rsidRPr="001B185B">
        <w:rPr>
          <w:rFonts w:ascii="Times New Roman" w:hAnsi="Times New Roman" w:cs="Times New Roman"/>
          <w:sz w:val="24"/>
          <w:szCs w:val="24"/>
          <w:lang w:val="en-US"/>
        </w:rPr>
        <w:t>Amina Treti St. 2, 1000 Skopje Phone: 02/3134-477</w:t>
      </w:r>
    </w:p>
    <w:p w14:paraId="7F81F1AA" w14:textId="77777777" w:rsidR="009E32DC" w:rsidRPr="001B185B" w:rsidRDefault="00314DAD" w:rsidP="00CB3D14">
      <w:pPr>
        <w:spacing w:line="480" w:lineRule="auto"/>
        <w:jc w:val="both"/>
        <w:rPr>
          <w:rFonts w:ascii="Times New Roman" w:hAnsi="Times New Roman" w:cs="Times New Roman"/>
          <w:sz w:val="24"/>
          <w:szCs w:val="24"/>
          <w:lang w:val="en-US"/>
        </w:rPr>
      </w:pPr>
      <w:hyperlink r:id="rId11" w:history="1">
        <w:r w:rsidR="009E32DC" w:rsidRPr="001B185B">
          <w:rPr>
            <w:rStyle w:val="Hyperlink"/>
            <w:rFonts w:ascii="Times New Roman" w:hAnsi="Times New Roman" w:cs="Times New Roman"/>
            <w:sz w:val="24"/>
            <w:szCs w:val="24"/>
            <w:lang w:val="en-US"/>
          </w:rPr>
          <w:t>www.mzsv.gov.mk</w:t>
        </w:r>
      </w:hyperlink>
    </w:p>
    <w:p w14:paraId="3720F880" w14:textId="77777777" w:rsidR="009E32DC" w:rsidRPr="001B185B" w:rsidRDefault="009E32DC" w:rsidP="00CB3D14">
      <w:pPr>
        <w:spacing w:line="480" w:lineRule="auto"/>
        <w:jc w:val="both"/>
        <w:outlineLvl w:val="0"/>
        <w:rPr>
          <w:rFonts w:ascii="Times New Roman" w:hAnsi="Times New Roman" w:cs="Times New Roman"/>
          <w:b/>
          <w:sz w:val="24"/>
          <w:szCs w:val="24"/>
          <w:lang w:val="en-US"/>
        </w:rPr>
      </w:pPr>
      <w:r w:rsidRPr="001B185B">
        <w:rPr>
          <w:rFonts w:ascii="Times New Roman" w:hAnsi="Times New Roman" w:cs="Times New Roman"/>
          <w:b/>
          <w:sz w:val="24"/>
          <w:szCs w:val="24"/>
          <w:lang w:val="en-US"/>
        </w:rPr>
        <w:t>Agency for financial support of agriculture and rural development (AFPZRR)</w:t>
      </w:r>
    </w:p>
    <w:p w14:paraId="06EA1627" w14:textId="77777777" w:rsidR="009E32DC" w:rsidRPr="001B185B" w:rsidRDefault="009E32DC" w:rsidP="00CB3D14">
      <w:pPr>
        <w:spacing w:line="480" w:lineRule="auto"/>
        <w:jc w:val="both"/>
        <w:rPr>
          <w:rFonts w:ascii="Times New Roman" w:hAnsi="Times New Roman" w:cs="Times New Roman"/>
          <w:sz w:val="24"/>
          <w:szCs w:val="24"/>
          <w:lang w:val="en-US"/>
        </w:rPr>
      </w:pPr>
      <w:r w:rsidRPr="001B185B">
        <w:rPr>
          <w:rFonts w:ascii="Times New Roman" w:hAnsi="Times New Roman" w:cs="Times New Roman"/>
          <w:sz w:val="24"/>
          <w:szCs w:val="24"/>
          <w:lang w:val="en-US"/>
        </w:rPr>
        <w:t>3d Makedonska brigada 20, 1000 Skopje Phone: 02/3097-450</w:t>
      </w:r>
    </w:p>
    <w:p w14:paraId="5D608CDD" w14:textId="77777777" w:rsidR="009E32DC" w:rsidRPr="001B185B" w:rsidRDefault="00314DAD" w:rsidP="00CB3D14">
      <w:pPr>
        <w:spacing w:line="480" w:lineRule="auto"/>
        <w:jc w:val="both"/>
        <w:rPr>
          <w:rFonts w:ascii="Times New Roman" w:hAnsi="Times New Roman" w:cs="Times New Roman"/>
          <w:sz w:val="24"/>
          <w:szCs w:val="24"/>
          <w:lang w:val="en-US"/>
        </w:rPr>
      </w:pPr>
      <w:hyperlink r:id="rId12" w:history="1">
        <w:r w:rsidR="009E32DC" w:rsidRPr="001B185B">
          <w:rPr>
            <w:rStyle w:val="Hyperlink"/>
            <w:rFonts w:ascii="Times New Roman" w:hAnsi="Times New Roman" w:cs="Times New Roman"/>
            <w:sz w:val="24"/>
            <w:szCs w:val="24"/>
            <w:lang w:val="en-US"/>
          </w:rPr>
          <w:t>www.pardpa.gov.mk</w:t>
        </w:r>
      </w:hyperlink>
    </w:p>
    <w:p w14:paraId="5C08EB0D" w14:textId="77777777" w:rsidR="009E32DC" w:rsidRPr="001B185B" w:rsidRDefault="009E32DC" w:rsidP="00CB3D14">
      <w:pPr>
        <w:spacing w:line="480" w:lineRule="auto"/>
        <w:jc w:val="both"/>
        <w:outlineLvl w:val="0"/>
        <w:rPr>
          <w:rFonts w:ascii="Times New Roman" w:hAnsi="Times New Roman" w:cs="Times New Roman"/>
          <w:b/>
          <w:sz w:val="24"/>
          <w:szCs w:val="24"/>
          <w:lang w:val="en-US"/>
        </w:rPr>
      </w:pPr>
      <w:r w:rsidRPr="001B185B">
        <w:rPr>
          <w:rFonts w:ascii="Times New Roman" w:hAnsi="Times New Roman" w:cs="Times New Roman"/>
          <w:b/>
          <w:sz w:val="24"/>
          <w:szCs w:val="24"/>
          <w:lang w:val="en-US"/>
        </w:rPr>
        <w:lastRenderedPageBreak/>
        <w:t>National Extension Agency (NEA)</w:t>
      </w:r>
    </w:p>
    <w:p w14:paraId="5D2E39B9" w14:textId="77777777" w:rsidR="009E32DC" w:rsidRPr="001B185B" w:rsidRDefault="009E32DC" w:rsidP="00CB3D14">
      <w:pPr>
        <w:spacing w:line="480" w:lineRule="auto"/>
        <w:jc w:val="both"/>
        <w:outlineLvl w:val="0"/>
        <w:rPr>
          <w:rFonts w:ascii="Times New Roman" w:hAnsi="Times New Roman" w:cs="Times New Roman"/>
          <w:sz w:val="24"/>
          <w:szCs w:val="24"/>
          <w:lang w:val="en-US"/>
        </w:rPr>
      </w:pPr>
      <w:r w:rsidRPr="001B185B">
        <w:rPr>
          <w:rFonts w:ascii="Times New Roman" w:hAnsi="Times New Roman" w:cs="Times New Roman"/>
          <w:sz w:val="24"/>
          <w:szCs w:val="24"/>
          <w:lang w:val="en-US"/>
        </w:rPr>
        <w:t>Kliment Ohridski St. 66, 7000 Bitola</w:t>
      </w:r>
    </w:p>
    <w:p w14:paraId="51694C8A" w14:textId="77777777" w:rsidR="00E5569B" w:rsidRPr="00D2470D" w:rsidRDefault="00314DAD" w:rsidP="00CB3D14">
      <w:pPr>
        <w:spacing w:line="480" w:lineRule="auto"/>
        <w:jc w:val="both"/>
        <w:rPr>
          <w:rFonts w:ascii="Times New Roman" w:hAnsi="Times New Roman" w:cs="Times New Roman"/>
          <w:sz w:val="24"/>
          <w:szCs w:val="24"/>
          <w:lang w:val="en-US"/>
        </w:rPr>
      </w:pPr>
      <w:hyperlink r:id="rId13" w:history="1">
        <w:r w:rsidR="009E32DC" w:rsidRPr="001B185B">
          <w:rPr>
            <w:rStyle w:val="Hyperlink"/>
            <w:rFonts w:ascii="Times New Roman" w:hAnsi="Times New Roman" w:cs="Times New Roman"/>
            <w:sz w:val="24"/>
            <w:szCs w:val="24"/>
            <w:lang w:val="en-US"/>
          </w:rPr>
          <w:t>www.agencija.gov.mk</w:t>
        </w:r>
      </w:hyperlink>
    </w:p>
    <w:sectPr w:rsidR="00E5569B" w:rsidRPr="00D2470D" w:rsidSect="00741D2B">
      <w:footerReference w:type="default" r:id="rId14"/>
      <w:pgSz w:w="11906" w:h="16838"/>
      <w:pgMar w:top="1440" w:right="1440" w:bottom="1440" w:left="1440" w:header="706" w:footer="706" w:gutter="0"/>
      <w:pgNumType w:fmt="upperRoman"/>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tor" w:date="2018-03-22T20:57:00Z" w:initials="ED">
    <w:p w14:paraId="28776EA3" w14:textId="77777777" w:rsidR="00213B90" w:rsidRDefault="00F20987">
      <w:pPr>
        <w:pStyle w:val="CommentText"/>
      </w:pPr>
      <w:r>
        <w:rPr>
          <w:rStyle w:val="CommentReference"/>
        </w:rPr>
        <w:annotationRef/>
      </w:r>
      <w:r w:rsidR="00213B90">
        <w:t xml:space="preserve">Check spacing between “profitable” and “farms” </w:t>
      </w:r>
    </w:p>
    <w:p w14:paraId="08DC2681" w14:textId="77777777" w:rsidR="00F20987" w:rsidRDefault="00F20987">
      <w:pPr>
        <w:pStyle w:val="CommentText"/>
      </w:pPr>
      <w:r>
        <w:t>Within the graph legend, commas go inside quotation marks</w:t>
      </w:r>
    </w:p>
  </w:comment>
  <w:comment w:id="2" w:author="HUBER Martin" w:date="2018-03-26T16:10:00Z" w:initials="HM">
    <w:p w14:paraId="4D399C64" w14:textId="4CD0B371" w:rsidR="00D37E2F" w:rsidRDefault="00D37E2F">
      <w:pPr>
        <w:pStyle w:val="CommentText"/>
      </w:pPr>
      <w:r>
        <w:rPr>
          <w:rStyle w:val="CommentReference"/>
        </w:rPr>
        <w:annotationRef/>
      </w:r>
      <w:r>
        <w:t>From our side 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DC2681" w15:done="0"/>
  <w15:commentEx w15:paraId="4D399C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C2681" w16cid:durableId="1E5E97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33D16" w14:textId="77777777" w:rsidR="00314DAD" w:rsidRDefault="00314DAD" w:rsidP="00C12F37">
      <w:pPr>
        <w:spacing w:after="0" w:line="240" w:lineRule="auto"/>
      </w:pPr>
      <w:r>
        <w:separator/>
      </w:r>
    </w:p>
  </w:endnote>
  <w:endnote w:type="continuationSeparator" w:id="0">
    <w:p w14:paraId="63A0237D" w14:textId="77777777" w:rsidR="00314DAD" w:rsidRDefault="00314DAD" w:rsidP="00C1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013939"/>
      <w:docPartObj>
        <w:docPartGallery w:val="Page Numbers (Bottom of Page)"/>
        <w:docPartUnique/>
      </w:docPartObj>
    </w:sdtPr>
    <w:sdtEndPr>
      <w:rPr>
        <w:noProof/>
      </w:rPr>
    </w:sdtEndPr>
    <w:sdtContent>
      <w:p w14:paraId="43280857" w14:textId="77777777" w:rsidR="00741D2B" w:rsidRDefault="00741D2B">
        <w:pPr>
          <w:pStyle w:val="Footer"/>
          <w:jc w:val="center"/>
        </w:pPr>
        <w:r>
          <w:fldChar w:fldCharType="begin"/>
        </w:r>
        <w:r>
          <w:instrText xml:space="preserve"> PAGE   \* MERGEFORMAT </w:instrText>
        </w:r>
        <w:r>
          <w:fldChar w:fldCharType="separate"/>
        </w:r>
        <w:r w:rsidR="004F5739">
          <w:rPr>
            <w:noProof/>
          </w:rPr>
          <w:t>I</w:t>
        </w:r>
        <w:r>
          <w:rPr>
            <w:noProof/>
          </w:rPr>
          <w:fldChar w:fldCharType="end"/>
        </w:r>
      </w:p>
    </w:sdtContent>
  </w:sdt>
  <w:p w14:paraId="71D4B7E3" w14:textId="77777777" w:rsidR="00F32ECA" w:rsidRDefault="00314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49F27" w14:textId="77777777" w:rsidR="00314DAD" w:rsidRDefault="00314DAD" w:rsidP="00C12F37">
      <w:pPr>
        <w:spacing w:after="0" w:line="240" w:lineRule="auto"/>
      </w:pPr>
      <w:r>
        <w:separator/>
      </w:r>
    </w:p>
  </w:footnote>
  <w:footnote w:type="continuationSeparator" w:id="0">
    <w:p w14:paraId="2FE402D6" w14:textId="77777777" w:rsidR="00314DAD" w:rsidRDefault="00314DAD" w:rsidP="00C12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3611"/>
    <w:multiLevelType w:val="hybridMultilevel"/>
    <w:tmpl w:val="C4EC1C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144E6D"/>
    <w:multiLevelType w:val="hybridMultilevel"/>
    <w:tmpl w:val="4B1606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B498D"/>
    <w:multiLevelType w:val="hybridMultilevel"/>
    <w:tmpl w:val="BF6E7C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CA61F8"/>
    <w:multiLevelType w:val="hybridMultilevel"/>
    <w:tmpl w:val="5BA8AD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380D79"/>
    <w:multiLevelType w:val="hybridMultilevel"/>
    <w:tmpl w:val="60867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DC"/>
    <w:rsid w:val="00177570"/>
    <w:rsid w:val="001F1DEB"/>
    <w:rsid w:val="00213B90"/>
    <w:rsid w:val="002553C5"/>
    <w:rsid w:val="00285169"/>
    <w:rsid w:val="002A21FD"/>
    <w:rsid w:val="00314DAD"/>
    <w:rsid w:val="004F5739"/>
    <w:rsid w:val="00555892"/>
    <w:rsid w:val="00562046"/>
    <w:rsid w:val="00596677"/>
    <w:rsid w:val="00741D2B"/>
    <w:rsid w:val="007F61C8"/>
    <w:rsid w:val="00836D21"/>
    <w:rsid w:val="00895D5A"/>
    <w:rsid w:val="00930315"/>
    <w:rsid w:val="00933B22"/>
    <w:rsid w:val="009E1566"/>
    <w:rsid w:val="009E32DC"/>
    <w:rsid w:val="00A547FA"/>
    <w:rsid w:val="00A85201"/>
    <w:rsid w:val="00B76B03"/>
    <w:rsid w:val="00BD31A9"/>
    <w:rsid w:val="00C12F37"/>
    <w:rsid w:val="00CB3D14"/>
    <w:rsid w:val="00D2470D"/>
    <w:rsid w:val="00D37E2F"/>
    <w:rsid w:val="00D60617"/>
    <w:rsid w:val="00DC4483"/>
    <w:rsid w:val="00DC5561"/>
    <w:rsid w:val="00E5569B"/>
    <w:rsid w:val="00E77DFB"/>
    <w:rsid w:val="00F2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41B5A"/>
  <w15:docId w15:val="{603F29C0-A987-4054-A333-B26EEDE9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2D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2DC"/>
    <w:pPr>
      <w:ind w:left="720"/>
      <w:contextualSpacing/>
    </w:pPr>
  </w:style>
  <w:style w:type="character" w:styleId="Hyperlink">
    <w:name w:val="Hyperlink"/>
    <w:basedOn w:val="DefaultParagraphFont"/>
    <w:uiPriority w:val="99"/>
    <w:unhideWhenUsed/>
    <w:rsid w:val="009E32DC"/>
    <w:rPr>
      <w:color w:val="0563C1" w:themeColor="hyperlink"/>
      <w:u w:val="single"/>
    </w:rPr>
  </w:style>
  <w:style w:type="paragraph" w:styleId="Header">
    <w:name w:val="header"/>
    <w:basedOn w:val="Normal"/>
    <w:link w:val="HeaderChar"/>
    <w:uiPriority w:val="99"/>
    <w:unhideWhenUsed/>
    <w:rsid w:val="009E3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32DC"/>
    <w:rPr>
      <w:lang w:val="en-GB"/>
    </w:rPr>
  </w:style>
  <w:style w:type="paragraph" w:styleId="Footer">
    <w:name w:val="footer"/>
    <w:basedOn w:val="Normal"/>
    <w:link w:val="FooterChar"/>
    <w:uiPriority w:val="99"/>
    <w:unhideWhenUsed/>
    <w:rsid w:val="009E3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32DC"/>
    <w:rPr>
      <w:lang w:val="en-GB"/>
    </w:rPr>
  </w:style>
  <w:style w:type="character" w:styleId="CommentReference">
    <w:name w:val="annotation reference"/>
    <w:basedOn w:val="DefaultParagraphFont"/>
    <w:uiPriority w:val="99"/>
    <w:semiHidden/>
    <w:unhideWhenUsed/>
    <w:rsid w:val="00F20987"/>
    <w:rPr>
      <w:sz w:val="16"/>
      <w:szCs w:val="16"/>
    </w:rPr>
  </w:style>
  <w:style w:type="paragraph" w:styleId="CommentText">
    <w:name w:val="annotation text"/>
    <w:basedOn w:val="Normal"/>
    <w:link w:val="CommentTextChar"/>
    <w:uiPriority w:val="99"/>
    <w:semiHidden/>
    <w:unhideWhenUsed/>
    <w:rsid w:val="00F20987"/>
    <w:pPr>
      <w:spacing w:line="240" w:lineRule="auto"/>
    </w:pPr>
    <w:rPr>
      <w:sz w:val="20"/>
      <w:szCs w:val="20"/>
    </w:rPr>
  </w:style>
  <w:style w:type="character" w:customStyle="1" w:styleId="CommentTextChar">
    <w:name w:val="Comment Text Char"/>
    <w:basedOn w:val="DefaultParagraphFont"/>
    <w:link w:val="CommentText"/>
    <w:uiPriority w:val="99"/>
    <w:semiHidden/>
    <w:rsid w:val="00F20987"/>
    <w:rPr>
      <w:sz w:val="20"/>
      <w:szCs w:val="20"/>
      <w:lang w:val="en-GB"/>
    </w:rPr>
  </w:style>
  <w:style w:type="paragraph" w:styleId="CommentSubject">
    <w:name w:val="annotation subject"/>
    <w:basedOn w:val="CommentText"/>
    <w:next w:val="CommentText"/>
    <w:link w:val="CommentSubjectChar"/>
    <w:uiPriority w:val="99"/>
    <w:semiHidden/>
    <w:unhideWhenUsed/>
    <w:rsid w:val="00F20987"/>
    <w:rPr>
      <w:b/>
      <w:bCs/>
    </w:rPr>
  </w:style>
  <w:style w:type="character" w:customStyle="1" w:styleId="CommentSubjectChar">
    <w:name w:val="Comment Subject Char"/>
    <w:basedOn w:val="CommentTextChar"/>
    <w:link w:val="CommentSubject"/>
    <w:uiPriority w:val="99"/>
    <w:semiHidden/>
    <w:rsid w:val="00F20987"/>
    <w:rPr>
      <w:b/>
      <w:bCs/>
      <w:sz w:val="20"/>
      <w:szCs w:val="20"/>
      <w:lang w:val="en-GB"/>
    </w:rPr>
  </w:style>
  <w:style w:type="paragraph" w:styleId="BalloonText">
    <w:name w:val="Balloon Text"/>
    <w:basedOn w:val="Normal"/>
    <w:link w:val="BalloonTextChar"/>
    <w:uiPriority w:val="99"/>
    <w:semiHidden/>
    <w:unhideWhenUsed/>
    <w:rsid w:val="00F209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0987"/>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encija.gov.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dpa.gov.mk"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zsv.gov.m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DAD5-ACA3-4F34-8574-8B9382E6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UniversitÃ© de Fribourg</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anna.solovyeva@unifr.ch</dc:creator>
  <cp:lastModifiedBy>AQ</cp:lastModifiedBy>
  <cp:revision>3</cp:revision>
  <dcterms:created xsi:type="dcterms:W3CDTF">2018-03-26T14:10:00Z</dcterms:created>
  <dcterms:modified xsi:type="dcterms:W3CDTF">2018-04-17T05:20:00Z</dcterms:modified>
</cp:coreProperties>
</file>