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CD" w:rsidRDefault="00082CCD" w:rsidP="00D4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Appendix</w:t>
      </w:r>
    </w:p>
    <w:p w:rsidR="00082CCD" w:rsidRDefault="00082CCD" w:rsidP="00D46FE1">
      <w:pPr>
        <w:rPr>
          <w:rFonts w:ascii="Times New Roman" w:hAnsi="Times New Roman" w:cs="Times New Roman"/>
          <w:b/>
          <w:sz w:val="24"/>
          <w:szCs w:val="24"/>
        </w:rPr>
      </w:pPr>
    </w:p>
    <w:p w:rsidR="00D46FE1" w:rsidRPr="00BB3749" w:rsidRDefault="00D46FE1" w:rsidP="00D4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Parameter estimates</w:t>
      </w:r>
    </w:p>
    <w:tbl>
      <w:tblPr>
        <w:tblStyle w:val="LightShading-Accent1"/>
        <w:tblW w:w="9738" w:type="dxa"/>
        <w:tblLayout w:type="fixed"/>
        <w:tblLook w:val="04A0" w:firstRow="1" w:lastRow="0" w:firstColumn="1" w:lastColumn="0" w:noHBand="0" w:noVBand="1"/>
      </w:tblPr>
      <w:tblGrid>
        <w:gridCol w:w="918"/>
        <w:gridCol w:w="6480"/>
        <w:gridCol w:w="810"/>
        <w:gridCol w:w="1530"/>
      </w:tblGrid>
      <w:tr w:rsidR="00D46FE1" w:rsidRPr="00082CCD" w:rsidTr="00267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Para- </w:t>
            </w:r>
          </w:p>
          <w:p w:rsidR="00D46FE1" w:rsidRPr="004A4FB8" w:rsidRDefault="00D46FE1" w:rsidP="007E5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meters</w:t>
            </w:r>
          </w:p>
          <w:p w:rsidR="00D46FE1" w:rsidRPr="004A4FB8" w:rsidRDefault="00D46FE1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Definitions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Est. </w:t>
            </w:r>
          </w:p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Values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Source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beef demand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-0.70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beef demand at the processing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-0.57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Marsh,1992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slaughter cattle demand at the feedlot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-0.66</w:t>
            </w:r>
          </w:p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Marsh,1992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feeder cattle demand at the farm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-0.62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Marsh,1992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beef demand with respect to price of pork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0.19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beef demand with respect to price of poultry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0.05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pork demand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-0.79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pork demand at the processing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-0.71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hog demand at the farm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-0.51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Wohlgenant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1989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pork demand with respect to price of beef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0.34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pork demand with respect to price of poultry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0.02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poultry demand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-0.29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poultry demand at the processing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-0.22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poultry demand with respect to price of beef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0.18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poultry demand with respect to price of pork at the retail level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0.04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1996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auto"/>
                        <w:sz w:val="20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ethanol demand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-0.43</w:t>
            </w:r>
          </w:p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ind w:left="72" w:hanging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Elobied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Tok</w:t>
            </w:r>
            <w:r w:rsidR="00AD3D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2008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beef sector with respect price of corn 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-0.19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  <w:r w:rsidR="00D46FE1" w:rsidRPr="004A4FB8">
              <w:rPr>
                <w:rStyle w:val="FootnoteReference"/>
                <w:rFonts w:ascii="Times New Roman" w:hAnsi="Times New Roman" w:cs="Times New Roman"/>
                <w:color w:val="auto"/>
                <w:sz w:val="20"/>
                <w:szCs w:val="20"/>
              </w:rPr>
              <w:footnoteReference w:id="1"/>
            </w:r>
          </w:p>
        </w:tc>
      </w:tr>
      <w:tr w:rsidR="007E5502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corn demand by beef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0.29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corn demand by beef sector with respect price of DG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-0.31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hog sector with respect price of corn 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-0.14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lasticity of corn demand by hog sector with respect price of soymeal 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0.24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corn demand by hog sector with respect price of DG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-0.36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poultry sector with respect price of corn 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-0.21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corn demand by poultry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0.29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7E5502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corn demand by poultry sector with respect price of DG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-0.32</w:t>
            </w:r>
          </w:p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e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ethanol sector with respect price of corn 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326110" w:rsidP="00CC4A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Fixed prop</w:t>
            </w:r>
            <w:r w:rsidR="00CC4A58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relation</w:t>
            </w:r>
            <w:r w:rsidRPr="004A4FB8">
              <w:rPr>
                <w:rStyle w:val="FootnoteReference"/>
                <w:rFonts w:ascii="Times New Roman" w:hAnsi="Times New Roman" w:cs="Times New Roman"/>
                <w:color w:val="auto"/>
                <w:sz w:val="20"/>
                <w:szCs w:val="20"/>
              </w:rPr>
              <w:footnoteReference w:id="2"/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E5502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E5502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soymeal demand by beef sector with respect price of soymeal </w:t>
            </w:r>
          </w:p>
        </w:tc>
        <w:tc>
          <w:tcPr>
            <w:tcW w:w="810" w:type="dxa"/>
            <w:shd w:val="clear" w:color="auto" w:fill="auto"/>
          </w:tcPr>
          <w:p w:rsidR="007E5502" w:rsidRPr="00082CCD" w:rsidRDefault="007E5502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-0.32</w:t>
            </w:r>
          </w:p>
        </w:tc>
        <w:tc>
          <w:tcPr>
            <w:tcW w:w="1530" w:type="dxa"/>
            <w:shd w:val="clear" w:color="auto" w:fill="auto"/>
          </w:tcPr>
          <w:p w:rsidR="007E5502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Authors’ </w:t>
            </w:r>
            <w:r w:rsidR="007E5502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beef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0.15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beef sector with respect price of DG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0.09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soymeal demand by hog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-0.05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hog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hog sector with respect price of DG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0.05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soymeal demand by poultry sector with respect price of soymeal 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-0.22</w:t>
            </w:r>
          </w:p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poultry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0.14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soymeal demand by poultry sector with respect price of DG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0.07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D46FE1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 xml:space="preserve"> 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soybean demand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-0.37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Gerlt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2013</w:t>
            </w:r>
          </w:p>
        </w:tc>
      </w:tr>
      <w:tr w:rsidR="00D46FE1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D46FE1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 xml:space="preserve"> 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Cross price elasticity of soybean demand with respect to soymeal demand</w:t>
            </w:r>
          </w:p>
        </w:tc>
        <w:tc>
          <w:tcPr>
            <w:tcW w:w="810" w:type="dxa"/>
            <w:shd w:val="clear" w:color="auto" w:fill="auto"/>
          </w:tcPr>
          <w:p w:rsidR="00D46FE1" w:rsidRPr="00082CCD" w:rsidRDefault="00D46FE1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</w:tcPr>
          <w:p w:rsidR="00D46FE1" w:rsidRPr="004A4FB8" w:rsidRDefault="00D46FE1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Gerlt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2013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DG demand by beef sector with respect price of DG 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-0.79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beef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beef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0.24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DE6C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DG demand by hog sector with respect price of DG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-0.8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hog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0.38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hog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DG demand by poultry sector with respect price of DG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-0.77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poultry sector with respect price of corn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0.39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186559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186559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Cross e</w:t>
            </w: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lasticity of DG demand by poultry sector with respect price of soymeal</w:t>
            </w:r>
          </w:p>
        </w:tc>
        <w:tc>
          <w:tcPr>
            <w:tcW w:w="810" w:type="dxa"/>
            <w:shd w:val="clear" w:color="auto" w:fill="auto"/>
          </w:tcPr>
          <w:p w:rsidR="00186559" w:rsidRPr="00082CCD" w:rsidRDefault="00186559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1530" w:type="dxa"/>
            <w:shd w:val="clear" w:color="auto" w:fill="auto"/>
          </w:tcPr>
          <w:p w:rsidR="00186559" w:rsidRPr="004A4FB8" w:rsidRDefault="00186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Authors’ estimation</w:t>
            </w:r>
          </w:p>
        </w:tc>
      </w:tr>
      <w:tr w:rsidR="006F017F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F017F" w:rsidRPr="0096065D" w:rsidRDefault="003A546D" w:rsidP="006F017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F017F" w:rsidRPr="00082CCD" w:rsidRDefault="00CC7360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Corn export demand elasticity</w:t>
            </w:r>
          </w:p>
        </w:tc>
        <w:tc>
          <w:tcPr>
            <w:tcW w:w="810" w:type="dxa"/>
            <w:shd w:val="clear" w:color="auto" w:fill="auto"/>
          </w:tcPr>
          <w:p w:rsidR="006F017F" w:rsidRPr="00082CCD" w:rsidRDefault="00665DAD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-1.11</w:t>
            </w:r>
          </w:p>
        </w:tc>
        <w:tc>
          <w:tcPr>
            <w:tcW w:w="1530" w:type="dxa"/>
            <w:shd w:val="clear" w:color="auto" w:fill="auto"/>
          </w:tcPr>
          <w:p w:rsidR="006F017F" w:rsidRPr="004A4FB8" w:rsidRDefault="00665DAD" w:rsidP="00CC7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Remier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 2012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CC73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Soybean meal export demand elasticity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-1.41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4A4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Piggot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Wohlgenant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200</w:t>
            </w:r>
            <w:r w:rsid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CC73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Soybean export demand elasticity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-0.90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DE6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Remier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 2012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CC73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DG export demand elasticity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825825" w:rsidP="00DE6C5B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DE6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5A4B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Ethanol demand elasticity with respect to mandate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CC4A58" w:rsidP="00DE6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See footnote 21 in the main text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beef supply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0.36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beef supply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0.28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slaughter cattle supply at the feedlot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0.26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Marsh, 1994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feeder cattle supply at the farm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Marsh, 2003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pork supply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pork supply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0.44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slaughter hog supply at the farm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Lemieux and </w:t>
            </w: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Wohlgenant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1989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poultry supply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0.18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Own price elasticity of poultry supply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0.14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slaughter cattle supply with respect to price of corn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Meyers et al. 1992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slaughter cattle supply with respect to price of soymeal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-0.003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Meyers et al. 1992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slaughter cattle supply with respect to price of DG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-0.002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hog supply with respect to price of corn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-0.09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Stoddart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1991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hog supply with respect to price of soymeal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hog supply with respect to price of DG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-0.002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poultry supply with respect to price of corn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-0.02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A220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Heien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197</w:t>
            </w:r>
            <w:r w:rsidR="00A220AA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poultry supply with respect to price of soymeal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Meyers et al. 1992</w:t>
            </w:r>
          </w:p>
        </w:tc>
      </w:tr>
      <w:tr w:rsidR="00CC4A58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CC4A58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CC4A58" w:rsidRPr="00082CCD" w:rsidRDefault="00CC4A58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poultry supply with respect to price of DG</w:t>
            </w:r>
          </w:p>
        </w:tc>
        <w:tc>
          <w:tcPr>
            <w:tcW w:w="810" w:type="dxa"/>
            <w:shd w:val="clear" w:color="auto" w:fill="auto"/>
          </w:tcPr>
          <w:p w:rsidR="00CC4A58" w:rsidRPr="00082CCD" w:rsidRDefault="00CC4A58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-0.001</w:t>
            </w:r>
          </w:p>
        </w:tc>
        <w:tc>
          <w:tcPr>
            <w:tcW w:w="1530" w:type="dxa"/>
            <w:shd w:val="clear" w:color="auto" w:fill="auto"/>
          </w:tcPr>
          <w:p w:rsidR="00CC4A58" w:rsidRPr="004A4FB8" w:rsidRDefault="00CC4A58" w:rsidP="002676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Own price elasticity of corn supply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Bhattacharya et al., 2009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Own price elasticity of soymeal supply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0.14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Piggott et al., 2001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sy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Own price elasticity of soybean supply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Gerlt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S., 2013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Own price elasticity of DG supply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CC4A58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Fixed proportion relation</w:t>
            </w:r>
            <w:r w:rsidRPr="004A4FB8">
              <w:rPr>
                <w:rStyle w:val="FootnoteReference"/>
                <w:rFonts w:ascii="Times New Roman" w:hAnsi="Times New Roman" w:cs="Times New Roman"/>
                <w:color w:val="auto"/>
                <w:sz w:val="20"/>
                <w:szCs w:val="20"/>
              </w:rPr>
              <w:footnoteReference w:id="3"/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Own price elasticity of ethanol supply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0.65 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Elobeid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Tok</w:t>
            </w:r>
            <w:r w:rsidR="004A4FB8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oz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2008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e,co</m:t>
                    </m:r>
                  </m:sub>
                </m:sSub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ethanol supply with respect to price of corn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Luchansky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Monks, 2009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Cambria Math" w:eastAsiaTheme="minorEastAsia" w:hAnsi="Cambria Math" w:cs="Times New Roman"/>
                <w:b w:val="0"/>
                <w:i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auto"/>
                        <w:sz w:val="20"/>
                        <w:szCs w:val="20"/>
                      </w:rPr>
                      <m:t>g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6F017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feeder cattle supply with respect to pasture yield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DE6C5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CC73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Corn supply elasticity with respect to rainfall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DE6C5B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0.16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CC4A58" w:rsidP="006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Authors‘</w:t>
            </w:r>
            <w:r w:rsidR="0068219C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estimation</w:t>
            </w:r>
            <w:r w:rsidR="007F4687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using</w:t>
            </w:r>
            <w:r w:rsidR="007F4687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Westcott and </w:t>
            </w:r>
            <w:proofErr w:type="spellStart"/>
            <w:r w:rsidR="007F4687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Jewison</w:t>
            </w:r>
            <w:proofErr w:type="spellEnd"/>
            <w:r w:rsidR="007F4687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2013  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DE6C5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 w:val="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CC73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Soybean supply elasticity with respect to rainfall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CC7360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CC4A58" w:rsidP="00682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Authors</w:t>
            </w:r>
            <w:r w:rsidR="0068219C"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’ 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estimation </w:t>
            </w: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using Westcott and </w:t>
            </w: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Jewison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2013  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beef quantity at the retail level with respect to quantity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RTI, 2007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beef quantity at the processing level with respect to quantity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1.03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ws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beef quantity at the processing level with respect to quantity at the feedlot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RTI, 2007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slaughter beef quantity at the feedlot level with respect to beef quantity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1.02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slaughter quantity at the feedlot level with respect to feeder cattle quantity at the farm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0.94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RTI, 2007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fs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feeder quantity at the farm level with respect to slaughter quantity at the feedlot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0.78 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pork quantity at the retail level with respect to quantity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pork quantity at the processing level with respect to quantity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wf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pork quantity at the processing level with respect to hog quantity at the farm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186559" w:rsidP="004518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fw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hog quantity at the farm level with respect to quantity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rw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poultry quantity at the retail level with respect to quantity at the processing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Expert opinion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wr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Elasticity of poultry quantity at the processing level with respect to quantity at the retail level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0.98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Brester</w:t>
            </w:r>
            <w:proofErr w:type="spellEnd"/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et al., 2004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  s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beef sector with respect to quantity of slaughter cattle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CC4A58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Unit cost function (UCF)</w:t>
            </w:r>
            <w:r w:rsidRPr="004A4FB8">
              <w:rPr>
                <w:rStyle w:val="FootnoteReference"/>
                <w:rFonts w:ascii="Times New Roman" w:hAnsi="Times New Roman" w:cs="Times New Roman"/>
                <w:color w:val="auto"/>
                <w:sz w:val="20"/>
                <w:szCs w:val="20"/>
              </w:rPr>
              <w:footnoteReference w:id="4"/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co,p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pork sector with respect quantity of hog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68219C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co,k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poultry sector with respect to quantity of poultry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co,e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corn demand by ethanol sector with respect to quantity of ethanol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corn utilization by beef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Conley et al., 2012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corn utilization by hog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0.11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Conley et al., 2012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corn utilization by poultry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0.13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Conley et al., 2012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e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corn utilization by ethanol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Conley et al., 2012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co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Share of total corn utilization for net corn export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0.15</w:t>
            </w: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Conley et al., 2012</w:t>
            </w:r>
          </w:p>
        </w:tc>
      </w:tr>
      <w:tr w:rsidR="0068219C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  s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soymeal demand by beef sector with respect to quantity of slaughter cattle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sym,p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soymeal demand by pork sector with respect quantity of hog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sym,k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soymeal demand by poultry sector with respect to quantity of poultry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Share of total soymeal utilization by beef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0.09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USB, 2012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soymeal utilization by hog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0.19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USB, 2012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soymeal utilization by poultry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0.35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USB, 2012</w:t>
            </w:r>
          </w:p>
        </w:tc>
      </w:tr>
      <w:tr w:rsidR="007F4687" w:rsidRPr="00082CCD" w:rsidTr="0026761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x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sym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Share of total soymeal utilization for net soymeal export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0.23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USB, 2012</w:t>
            </w:r>
          </w:p>
        </w:tc>
      </w:tr>
      <w:tr w:rsidR="0068219C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  s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DG demand by beef sector with respect to quantity of slaughter cattle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DG,p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DG demand by pork sector with respect quantity of hog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68219C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68219C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τ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DG,k</m:t>
                    </m:r>
                  </m:sup>
                </m:sSup>
              </m:oMath>
            </m:oMathPara>
          </w:p>
        </w:tc>
        <w:tc>
          <w:tcPr>
            <w:tcW w:w="648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Elasticity of DG demand by poultry sector with respect to quantity of poultry </w:t>
            </w:r>
          </w:p>
        </w:tc>
        <w:tc>
          <w:tcPr>
            <w:tcW w:w="810" w:type="dxa"/>
            <w:shd w:val="clear" w:color="auto" w:fill="auto"/>
          </w:tcPr>
          <w:p w:rsidR="0068219C" w:rsidRPr="00082CCD" w:rsidRDefault="0068219C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68219C" w:rsidRPr="004A4FB8" w:rsidRDefault="006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UCF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Share of total DG utilization by beef sector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0.56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Hoffman and Baker,  2011</w:t>
            </w:r>
          </w:p>
        </w:tc>
      </w:tr>
      <w:tr w:rsidR="007F4687" w:rsidRPr="00082CCD" w:rsidTr="00267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DG utilization by hog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0.10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Hoffman and Baker,  2011</w:t>
            </w:r>
          </w:p>
        </w:tc>
      </w:tr>
      <w:tr w:rsidR="007F4687" w:rsidRPr="00082CCD" w:rsidTr="00267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shd w:val="clear" w:color="auto" w:fill="auto"/>
          </w:tcPr>
          <w:p w:rsidR="007F4687" w:rsidRPr="0096065D" w:rsidRDefault="003A546D" w:rsidP="007E55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0"/>
                        <w:szCs w:val="20"/>
                      </w:rPr>
                      <m:t>DG</m:t>
                    </m:r>
                  </m:sup>
                </m:sSubSup>
              </m:oMath>
            </m:oMathPara>
          </w:p>
        </w:tc>
        <w:tc>
          <w:tcPr>
            <w:tcW w:w="648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Share of total DG utilization by poultry sector </w:t>
            </w:r>
          </w:p>
        </w:tc>
        <w:tc>
          <w:tcPr>
            <w:tcW w:w="810" w:type="dxa"/>
            <w:shd w:val="clear" w:color="auto" w:fill="auto"/>
          </w:tcPr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2C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0.07</w:t>
            </w:r>
          </w:p>
          <w:p w:rsidR="007F4687" w:rsidRPr="00082CCD" w:rsidRDefault="007F4687" w:rsidP="007E550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F4687" w:rsidRPr="004A4FB8" w:rsidRDefault="007F4687" w:rsidP="007E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A4F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Hoffman and Baker,  2011</w:t>
            </w:r>
          </w:p>
        </w:tc>
      </w:tr>
    </w:tbl>
    <w:p w:rsidR="0026761A" w:rsidRDefault="0026761A"/>
    <w:p w:rsidR="0026761A" w:rsidRDefault="0026761A">
      <w:r>
        <w:br w:type="page"/>
      </w:r>
    </w:p>
    <w:p w:rsidR="00A220AA" w:rsidRPr="00840DB0" w:rsidRDefault="00A220AA" w:rsidP="00A220AA">
      <w:pPr>
        <w:rPr>
          <w:rFonts w:ascii="Times New Roman" w:hAnsi="Times New Roman" w:cs="Times New Roman"/>
          <w:b/>
          <w:sz w:val="24"/>
          <w:szCs w:val="24"/>
        </w:rPr>
      </w:pPr>
      <w:r w:rsidRPr="00840DB0">
        <w:rPr>
          <w:rFonts w:ascii="Times New Roman" w:hAnsi="Times New Roman" w:cs="Times New Roman"/>
          <w:b/>
          <w:sz w:val="24"/>
          <w:szCs w:val="24"/>
        </w:rPr>
        <w:lastRenderedPageBreak/>
        <w:t>References for the online appendix:</w:t>
      </w:r>
    </w:p>
    <w:p w:rsidR="00A220AA" w:rsidRDefault="00A220AA" w:rsidP="00A220AA"/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 xml:space="preserve">Bhattacharya, S., A. M. Azzam, and D. Mark. 2009. 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>Ethanol and Meat: A Multi-Market Analysis.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 xml:space="preserve">  Paper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presented 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 xml:space="preserve">at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annual m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>eetin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 of 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>Agricultural &amp; Applied Economics Association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, M</w:t>
      </w:r>
      <w:r w:rsidRPr="001976F7">
        <w:rPr>
          <w:rFonts w:ascii="TimesNewRomanPSMT" w:hAnsi="TimesNewRomanPSMT" w:cs="TimesNewRomanPSMT"/>
          <w:color w:val="000000"/>
          <w:sz w:val="24"/>
          <w:szCs w:val="24"/>
        </w:rPr>
        <w:t xml:space="preserve">ilwaukee, WI, </w:t>
      </w:r>
      <w:proofErr w:type="gramStart"/>
      <w:r w:rsidRPr="001976F7">
        <w:rPr>
          <w:rFonts w:ascii="TimesNewRomanPSMT" w:hAnsi="TimesNewRomanPSMT" w:cs="TimesNewRomanPSMT"/>
          <w:color w:val="000000"/>
          <w:sz w:val="24"/>
          <w:szCs w:val="24"/>
        </w:rPr>
        <w:t>July</w:t>
      </w:r>
      <w:proofErr w:type="gramEnd"/>
      <w:r w:rsidRPr="001976F7">
        <w:rPr>
          <w:rFonts w:ascii="TimesNewRomanPSMT" w:hAnsi="TimesNewRomanPSMT" w:cs="TimesNewRomanPSMT"/>
          <w:color w:val="000000"/>
          <w:sz w:val="24"/>
          <w:szCs w:val="24"/>
        </w:rPr>
        <w:t xml:space="preserve"> 26-28, 2009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Brester</w:t>
      </w:r>
      <w:proofErr w:type="spellEnd"/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, G. W.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"Estimation of the U.S. Import Demand Elasticity for Beef: The Importance of Disaggregation."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37CE">
        <w:rPr>
          <w:rFonts w:ascii="TimesNewRomanPSMT" w:hAnsi="TimesNewRomanPSMT" w:cs="TimesNewRomanPSMT"/>
          <w:i/>
          <w:color w:val="000000"/>
          <w:sz w:val="24"/>
          <w:szCs w:val="24"/>
        </w:rPr>
        <w:t>Review of Agricultural Economics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 18(1996):31-42.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Brester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G. W., J. M. Marsh, and J.A. Atwood.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 w:rsidRPr="00167D3D">
        <w:rPr>
          <w:rFonts w:ascii="TimesNewRomanPSMT" w:hAnsi="TimesNewRomanPSMT" w:cs="TimesNewRomanPSMT"/>
          <w:color w:val="000000"/>
          <w:sz w:val="24"/>
          <w:szCs w:val="24"/>
        </w:rPr>
        <w:t>Distributional Impacts of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167D3D">
        <w:rPr>
          <w:rFonts w:ascii="TimesNewRomanPSMT" w:hAnsi="TimesNewRomanPSMT" w:cs="TimesNewRomanPSMT"/>
          <w:color w:val="000000"/>
          <w:sz w:val="24"/>
          <w:szCs w:val="24"/>
        </w:rPr>
        <w:t>Country-of-Origin Labeling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167D3D">
        <w:rPr>
          <w:rFonts w:ascii="TimesNewRomanPSMT" w:hAnsi="TimesNewRomanPSMT" w:cs="TimesNewRomanPSMT"/>
          <w:color w:val="000000"/>
          <w:sz w:val="24"/>
          <w:szCs w:val="24"/>
        </w:rPr>
        <w:t xml:space="preserve">in the U.S. Meat Industry.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proofErr w:type="gramEnd"/>
      <w:r w:rsidRPr="00167D3D">
        <w:rPr>
          <w:rFonts w:ascii="TimesNewRomanPSMT" w:hAnsi="TimesNewRomanPSMT" w:cs="TimesNewRomanPSMT"/>
          <w:i/>
          <w:color w:val="000000"/>
          <w:sz w:val="24"/>
          <w:szCs w:val="24"/>
        </w:rPr>
        <w:t>Journal of Agricultural and Resource Economics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29(2004</w:t>
      </w:r>
      <w:r w:rsidRPr="00167D3D">
        <w:rPr>
          <w:rFonts w:ascii="TimesNewRomanPSMT" w:hAnsi="TimesNewRomanPSMT" w:cs="TimesNewRomanPSMT"/>
          <w:color w:val="000000"/>
          <w:sz w:val="24"/>
          <w:szCs w:val="24"/>
        </w:rPr>
        <w:t>):206-227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220AA" w:rsidRPr="009337E1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Conley, D. M</w:t>
      </w:r>
      <w:r w:rsidRPr="009337E1">
        <w:rPr>
          <w:rFonts w:ascii="TimesNewRomanPSMT" w:hAnsi="TimesNewRomanPSMT" w:cs="TimesNewRomanPSMT"/>
          <w:color w:val="000000"/>
          <w:sz w:val="24"/>
          <w:szCs w:val="24"/>
        </w:rPr>
        <w:t>., R.G.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Nagesh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E. J.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Salame</w:t>
      </w:r>
      <w:proofErr w:type="spellEnd"/>
      <w:r w:rsidR="00725A01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 w:rsidR="00725A01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Supply and Utilization of Corn in the United States, by State, 2004-2010.</w:t>
      </w:r>
      <w:r w:rsidR="00725A01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672D04">
        <w:rPr>
          <w:rFonts w:ascii="TimesNewRomanPSMT" w:hAnsi="TimesNewRomanPSMT" w:cs="TimesNewRomanPSMT"/>
          <w:color w:val="000000"/>
          <w:sz w:val="24"/>
          <w:szCs w:val="24"/>
        </w:rPr>
        <w:t>Lincoln: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337E1">
        <w:rPr>
          <w:rFonts w:ascii="TimesNewRomanPSMT" w:hAnsi="TimesNewRomanPSMT" w:cs="TimesNewRomanPSMT"/>
          <w:color w:val="000000"/>
          <w:sz w:val="24"/>
          <w:szCs w:val="24"/>
        </w:rPr>
        <w:t>Department of Agricultural Economics, University of Nebraska–Lincoln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672D04">
        <w:rPr>
          <w:rFonts w:ascii="TimesNewRomanPSMT" w:hAnsi="TimesNewRomanPSMT" w:cs="TimesNewRomanPSMT"/>
          <w:color w:val="000000"/>
          <w:sz w:val="24"/>
          <w:szCs w:val="24"/>
        </w:rPr>
        <w:t xml:space="preserve">Research </w:t>
      </w:r>
      <w:r w:rsidR="00672D04" w:rsidRPr="009337E1">
        <w:rPr>
          <w:rFonts w:ascii="TimesNewRomanPSMT" w:hAnsi="TimesNewRomanPSMT" w:cs="TimesNewRomanPSMT"/>
          <w:color w:val="000000"/>
          <w:sz w:val="24"/>
          <w:szCs w:val="24"/>
        </w:rPr>
        <w:t>Bulletin 35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672D04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2012.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 w:rsidRPr="00B56113">
        <w:rPr>
          <w:rFonts w:ascii="Times New Roman" w:hAnsi="Times New Roman" w:cs="Times New Roman"/>
          <w:color w:val="131313"/>
          <w:sz w:val="24"/>
          <w:szCs w:val="24"/>
        </w:rPr>
        <w:t>Elobeid</w:t>
      </w:r>
      <w:proofErr w:type="spellEnd"/>
      <w:r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>A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and </w:t>
      </w:r>
      <w:proofErr w:type="spellStart"/>
      <w:r w:rsidRPr="00B56113">
        <w:rPr>
          <w:rFonts w:ascii="Times New Roman" w:hAnsi="Times New Roman" w:cs="Times New Roman"/>
          <w:color w:val="131313"/>
          <w:sz w:val="24"/>
          <w:szCs w:val="24"/>
        </w:rPr>
        <w:t>Tokgoz</w:t>
      </w:r>
      <w:proofErr w:type="spellEnd"/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313"/>
          <w:sz w:val="24"/>
          <w:szCs w:val="24"/>
        </w:rPr>
        <w:t>“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Removal of Distortions in the U.S. Ethanol Market: What Does </w:t>
      </w:r>
      <w:r w:rsidR="005B31CC">
        <w:rPr>
          <w:rFonts w:ascii="Times New Roman" w:hAnsi="Times New Roman" w:cs="Times New Roman"/>
          <w:color w:val="131313"/>
          <w:sz w:val="24"/>
          <w:szCs w:val="24"/>
        </w:rPr>
        <w:t>I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>t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>Imply for the United States and Brazil?</w:t>
      </w:r>
      <w:r>
        <w:rPr>
          <w:rFonts w:ascii="Times New Roman" w:hAnsi="Times New Roman" w:cs="Times New Roman"/>
          <w:color w:val="131313"/>
          <w:sz w:val="24"/>
          <w:szCs w:val="24"/>
        </w:rPr>
        <w:t>”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B56113">
        <w:rPr>
          <w:rFonts w:ascii="Times New Roman" w:hAnsi="Times New Roman" w:cs="Times New Roman"/>
          <w:i/>
          <w:iCs/>
          <w:color w:val="131313"/>
          <w:sz w:val="24"/>
          <w:szCs w:val="24"/>
        </w:rPr>
        <w:t>American Journal of Agricultural Economics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90</w:t>
      </w:r>
      <w:r>
        <w:rPr>
          <w:rFonts w:ascii="Times New Roman" w:hAnsi="Times New Roman" w:cs="Times New Roman"/>
          <w:color w:val="131313"/>
          <w:sz w:val="24"/>
          <w:szCs w:val="24"/>
        </w:rPr>
        <w:t>(2008):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>918–932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Gerlt</w:t>
      </w:r>
      <w:proofErr w:type="spellEnd"/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, S.</w:t>
      </w:r>
      <w:proofErr w:type="gramEnd"/>
      <w:r w:rsidRPr="002A573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Personal communication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Missouri</w:t>
      </w:r>
      <w:r w:rsidR="00F15245" w:rsidRPr="002A573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>:</w:t>
      </w:r>
      <w:proofErr w:type="gramEnd"/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Food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Agricultura1 Policy Research Institute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(FAPRI)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, U</w:t>
      </w:r>
      <w:r>
        <w:rPr>
          <w:rFonts w:ascii="TimesNewRomanPSMT" w:hAnsi="TimesNewRomanPSMT" w:cs="TimesNewRomanPSMT"/>
          <w:color w:val="000000"/>
          <w:sz w:val="24"/>
          <w:szCs w:val="24"/>
        </w:rPr>
        <w:t>niversity of Missouri, January 08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2013.</w:t>
      </w:r>
    </w:p>
    <w:p w:rsidR="00A220AA" w:rsidRPr="009E20AC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Heien</w:t>
      </w:r>
      <w:proofErr w:type="spellEnd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, D.</w:t>
      </w:r>
      <w:proofErr w:type="gramEnd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“An Economic Analysis of the U.S. Poultry Sector.”</w:t>
      </w:r>
      <w:proofErr w:type="gramEnd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E20AC">
        <w:rPr>
          <w:rFonts w:ascii="TimesNewRomanPSMT" w:hAnsi="TimesNewRomanPSMT" w:cs="TimesNewRomanPSMT"/>
          <w:i/>
          <w:color w:val="000000"/>
          <w:sz w:val="24"/>
          <w:szCs w:val="24"/>
        </w:rPr>
        <w:t>The Review of Economics and Statistics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 57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(1976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):370-375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220AA" w:rsidRDefault="00725A01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Hoffman, L.A. and A. Baker.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A220AA"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Estimating the Substitution of Distillers’ Grains for Corn and Soybean Meal in the U.S. Feed Complex.</w:t>
      </w:r>
      <w:r w:rsidR="00A220A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Washington, DC: </w:t>
      </w:r>
      <w:r w:rsidR="00F15245" w:rsidRPr="00F15245">
        <w:rPr>
          <w:rFonts w:ascii="TimesNewRomanPSMT" w:hAnsi="TimesNewRomanPSMT" w:cs="TimesNewRomanPSMT"/>
          <w:color w:val="000000"/>
          <w:sz w:val="24"/>
          <w:szCs w:val="24"/>
        </w:rPr>
        <w:t>U.S. Department of Agriculture, Economic Research Service,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220AA">
        <w:rPr>
          <w:rFonts w:ascii="TimesNewRomanPSMT" w:hAnsi="TimesNewRomanPSMT" w:cs="TimesNewRomanPSMT"/>
          <w:color w:val="000000"/>
          <w:sz w:val="24"/>
          <w:szCs w:val="24"/>
        </w:rPr>
        <w:t xml:space="preserve">USDA Outlook </w:t>
      </w:r>
      <w:r w:rsidR="00A220AA" w:rsidRPr="001D404E">
        <w:rPr>
          <w:rFonts w:ascii="TimesNewRomanPSMT" w:hAnsi="TimesNewRomanPSMT" w:cs="TimesNewRomanPSMT"/>
          <w:color w:val="000000"/>
          <w:sz w:val="24"/>
          <w:szCs w:val="24"/>
        </w:rPr>
        <w:t>FDS-11-I-01</w:t>
      </w:r>
      <w:r w:rsidR="00A220AA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>October 2011</w:t>
      </w:r>
      <w:r w:rsidR="00A220AA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2A573F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Lemieux, C. M., and M. R </w:t>
      </w:r>
      <w:proofErr w:type="spellStart"/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Wohlgenant</w:t>
      </w:r>
      <w:proofErr w:type="spellEnd"/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"Ex Ante Evaluation of the Economic Impact of Agricultural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Biotechnology: The Case of Porcine Somatotropin."</w:t>
      </w:r>
      <w:r w:rsidRPr="002A573F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</w:t>
      </w:r>
      <w:r w:rsidRPr="00B56113">
        <w:rPr>
          <w:rFonts w:ascii="Times New Roman" w:hAnsi="Times New Roman" w:cs="Times New Roman"/>
          <w:i/>
          <w:iCs/>
          <w:color w:val="131313"/>
          <w:sz w:val="24"/>
          <w:szCs w:val="24"/>
        </w:rPr>
        <w:t>American Journal of Agricultural Economics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71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(1989):903-914.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 w:rsidRPr="004C6DA5">
        <w:rPr>
          <w:rFonts w:ascii="TimesNewRomanPSMT" w:hAnsi="TimesNewRomanPSMT" w:cs="TimesNewRomanPSMT"/>
          <w:color w:val="000000"/>
          <w:sz w:val="24"/>
          <w:szCs w:val="24"/>
        </w:rPr>
        <w:t>Luchansky</w:t>
      </w:r>
      <w:proofErr w:type="spellEnd"/>
      <w:r w:rsidRPr="004C6DA5">
        <w:rPr>
          <w:rFonts w:ascii="TimesNewRomanPSMT" w:hAnsi="TimesNewRomanPSMT" w:cs="TimesNewRomanPSMT"/>
          <w:color w:val="000000"/>
          <w:sz w:val="24"/>
          <w:szCs w:val="24"/>
        </w:rPr>
        <w:t>, M.S., and J. Monks.</w:t>
      </w:r>
      <w:proofErr w:type="gramEnd"/>
      <w:r w:rsidRPr="004C6DA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“Supply and D</w:t>
      </w:r>
      <w:r w:rsidRPr="004C6DA5">
        <w:rPr>
          <w:rFonts w:ascii="TimesNewRomanPSMT" w:hAnsi="TimesNewRomanPSMT" w:cs="TimesNewRomanPSMT"/>
          <w:color w:val="000000"/>
          <w:sz w:val="24"/>
          <w:szCs w:val="24"/>
        </w:rPr>
        <w:t xml:space="preserve">emand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Elasticities in the U.S. Ethanol Fuel M</w:t>
      </w:r>
      <w:r w:rsidRPr="004C6DA5">
        <w:rPr>
          <w:rFonts w:ascii="TimesNewRomanPSMT" w:hAnsi="TimesNewRomanPSMT" w:cs="TimesNewRomanPSMT"/>
          <w:color w:val="000000"/>
          <w:sz w:val="24"/>
          <w:szCs w:val="24"/>
        </w:rPr>
        <w:t>arket.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</w:t>
      </w:r>
      <w:proofErr w:type="gramEnd"/>
      <w:r w:rsidRPr="004C6DA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C6DA5">
        <w:rPr>
          <w:rFonts w:ascii="TimesNewRomanPSMT" w:hAnsi="TimesNewRomanPSMT" w:cs="TimesNewRomanPSMT"/>
          <w:i/>
          <w:color w:val="000000"/>
          <w:sz w:val="24"/>
          <w:szCs w:val="24"/>
        </w:rPr>
        <w:t>Energy Economics</w:t>
      </w:r>
      <w:r w:rsidRPr="004C6DA5">
        <w:rPr>
          <w:rFonts w:ascii="TimesNewRomanPSMT" w:hAnsi="TimesNewRomanPSMT" w:cs="TimesNewRomanPSMT"/>
          <w:color w:val="000000"/>
          <w:sz w:val="24"/>
          <w:szCs w:val="24"/>
        </w:rPr>
        <w:t xml:space="preserve"> 31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4C6DA5">
        <w:rPr>
          <w:rFonts w:ascii="TimesNewRomanPSMT" w:hAnsi="TimesNewRomanPSMT" w:cs="TimesNewRomanPSMT"/>
          <w:color w:val="000000"/>
          <w:sz w:val="24"/>
          <w:szCs w:val="24"/>
        </w:rPr>
        <w:t>2009</w:t>
      </w:r>
      <w:r>
        <w:rPr>
          <w:rFonts w:ascii="TimesNewRomanPSMT" w:hAnsi="TimesNewRomanPSMT" w:cs="TimesNewRomanPSMT"/>
          <w:color w:val="000000"/>
          <w:sz w:val="24"/>
          <w:szCs w:val="24"/>
        </w:rPr>
        <w:t>):</w:t>
      </w:r>
      <w:r w:rsidRPr="004C6DA5">
        <w:rPr>
          <w:rFonts w:ascii="TimesNewRomanPSMT" w:hAnsi="TimesNewRomanPSMT" w:cs="TimesNewRomanPSMT"/>
          <w:color w:val="000000"/>
          <w:sz w:val="24"/>
          <w:szCs w:val="24"/>
        </w:rPr>
        <w:t>403–410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Marsh, J. M. "USDA Data Revisions of Choice Beef Prices: Implications for Estimating Demand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Responses." </w:t>
      </w:r>
      <w:r w:rsidRPr="00432676">
        <w:rPr>
          <w:rFonts w:ascii="TimesNewRomanPSMT" w:hAnsi="TimesNewRomanPSMT" w:cs="TimesNewRomanPSMT"/>
          <w:i/>
          <w:color w:val="000000"/>
          <w:sz w:val="24"/>
          <w:szCs w:val="24"/>
        </w:rPr>
        <w:t>Journal of Agricultural and Resource Economics</w:t>
      </w:r>
      <w:r w:rsidRPr="005B31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17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(1992)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:323-334.</w:t>
      </w:r>
    </w:p>
    <w:p w:rsidR="00A220AA" w:rsidRPr="00432676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Marsh, J. M. "Estimating Inter</w:t>
      </w:r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temporal Supply Response in the Fed Beef Market." </w:t>
      </w:r>
      <w:r w:rsidRPr="000C38E5">
        <w:rPr>
          <w:rFonts w:ascii="TimesNewRomanPSMT" w:hAnsi="TimesNewRomanPSMT" w:cs="TimesNewRomanPSMT"/>
          <w:i/>
          <w:color w:val="000000"/>
          <w:sz w:val="24"/>
          <w:szCs w:val="24"/>
        </w:rPr>
        <w:t>American Journal of Agricultural Economics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76</w:t>
      </w:r>
      <w:r>
        <w:rPr>
          <w:rFonts w:ascii="TimesNewRomanPSMT" w:hAnsi="TimesNewRomanPSMT" w:cs="TimesNewRomanPSMT"/>
          <w:color w:val="000000"/>
          <w:sz w:val="24"/>
          <w:szCs w:val="24"/>
        </w:rPr>
        <w:t>(1994):444-453.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Marsh, J. M. "U.S. Feeder Cattle Prices: Effects of Finance and Risk, Cow-Calf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>and Feedlot Technologies,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Mexican Feeder Imports." </w:t>
      </w:r>
      <w:r w:rsidRPr="0043267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Journal of Agricultural and Resource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Economics</w:t>
      </w: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 26</w:t>
      </w:r>
      <w:r>
        <w:rPr>
          <w:rFonts w:ascii="TimesNewRomanPSMT" w:hAnsi="TimesNewRomanPSMT" w:cs="TimesNewRomanPSMT"/>
          <w:color w:val="000000"/>
          <w:sz w:val="24"/>
          <w:szCs w:val="24"/>
        </w:rPr>
        <w:t>(2001):463-477.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 w:rsidRPr="00432676">
        <w:rPr>
          <w:rFonts w:ascii="TimesNewRomanPSMT" w:hAnsi="TimesNewRomanPSMT" w:cs="TimesNewRomanPSMT"/>
          <w:color w:val="000000"/>
          <w:sz w:val="24"/>
          <w:szCs w:val="24"/>
        </w:rPr>
        <w:t xml:space="preserve">Marsh, J. M. </w:t>
      </w:r>
      <w:r w:rsidRPr="002A573F">
        <w:rPr>
          <w:rFonts w:ascii="TimesNewRomanPSMT" w:hAnsi="TimesNewRomanPSMT" w:cs="TimesNewRomanPSMT"/>
          <w:color w:val="000000"/>
          <w:sz w:val="24"/>
          <w:szCs w:val="24"/>
        </w:rPr>
        <w:t>"Impacts of Declining U.S. Retail Beef Demand on Farm-Level Beef Prices and Production."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B56113">
        <w:rPr>
          <w:rFonts w:ascii="Times New Roman" w:hAnsi="Times New Roman" w:cs="Times New Roman"/>
          <w:i/>
          <w:iCs/>
          <w:color w:val="131313"/>
          <w:sz w:val="24"/>
          <w:szCs w:val="24"/>
        </w:rPr>
        <w:t>American Journal of Agricultural Economics</w:t>
      </w:r>
      <w:r w:rsidRPr="00B56113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85(2003):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902-913.</w:t>
      </w:r>
    </w:p>
    <w:p w:rsidR="00A220AA" w:rsidRPr="009873C8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Meyers, W. H., P.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Westhoff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B.L.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Buhr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D. L. Stephens, M.</w:t>
      </w:r>
      <w:r w:rsidR="00725A01">
        <w:rPr>
          <w:rFonts w:ascii="TimesNewRomanPSMT" w:hAnsi="TimesNewRomanPSMT" w:cs="TimesNewRomanPSMT"/>
          <w:color w:val="000000"/>
          <w:sz w:val="24"/>
          <w:szCs w:val="24"/>
        </w:rPr>
        <w:t xml:space="preserve">D. </w:t>
      </w:r>
      <w:proofErr w:type="spellStart"/>
      <w:r w:rsidR="00725A01">
        <w:rPr>
          <w:rFonts w:ascii="TimesNewRomanPSMT" w:hAnsi="TimesNewRomanPSMT" w:cs="TimesNewRomanPSMT"/>
          <w:color w:val="000000"/>
          <w:sz w:val="24"/>
          <w:szCs w:val="24"/>
        </w:rPr>
        <w:t>Helmar</w:t>
      </w:r>
      <w:proofErr w:type="spellEnd"/>
      <w:r w:rsidR="00725A01">
        <w:rPr>
          <w:rFonts w:ascii="TimesNewRomanPSMT" w:hAnsi="TimesNewRomanPSMT" w:cs="TimesNewRomanPSMT"/>
          <w:color w:val="000000"/>
          <w:sz w:val="24"/>
          <w:szCs w:val="24"/>
        </w:rPr>
        <w:t xml:space="preserve">, and K. J. Stephens. </w:t>
      </w:r>
      <w:r w:rsidRPr="00725A01">
        <w:rPr>
          <w:rFonts w:ascii="TimesNewRomanPSMT" w:hAnsi="TimesNewRomanPSMT" w:cs="TimesNewRomanPSMT"/>
          <w:i/>
          <w:noProof/>
          <w:color w:val="000000"/>
          <w:sz w:val="24"/>
          <w:szCs w:val="24"/>
        </w:rPr>
        <w:t>FAPRI U.S. Agricultural Sector Elasticitis Volume II: Livestock, Poultry, and Dairy.</w:t>
      </w: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t xml:space="preserve"> </w:t>
      </w:r>
      <w:r w:rsidR="00F15245">
        <w:rPr>
          <w:rFonts w:ascii="TimesNewRomanPSMT" w:hAnsi="TimesNewRomanPSMT" w:cs="TimesNewRomanPSMT"/>
          <w:noProof/>
          <w:color w:val="000000"/>
          <w:sz w:val="24"/>
          <w:szCs w:val="24"/>
        </w:rPr>
        <w:t>Ames: Center for Agricultureal and Rural Development, Iowa State University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t>Technical Report 92-TR 26</w:t>
      </w:r>
      <w:r w:rsidR="00F15245">
        <w:rPr>
          <w:rFonts w:ascii="TimesNewRomanPSMT" w:hAnsi="TimesNewRomanPSMT" w:cs="TimesNewRomanPSMT"/>
          <w:noProof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1992.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 xml:space="preserve">Piggott, N., M. K. </w:t>
      </w:r>
      <w:proofErr w:type="spellStart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Wohlgenant</w:t>
      </w:r>
      <w:proofErr w:type="spellEnd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 xml:space="preserve">, and K. D. </w:t>
      </w:r>
      <w:proofErr w:type="spellStart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Zering</w:t>
      </w:r>
      <w:proofErr w:type="spellEnd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 w:rsidRPr="0003260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Analysis of the Economic Importance of Changes in Soybean Use.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Raleigh: </w:t>
      </w:r>
      <w:r w:rsidR="00F15245" w:rsidRPr="0003260E">
        <w:rPr>
          <w:rFonts w:ascii="TimesNewRomanPSMT" w:hAnsi="TimesNewRomanPSMT" w:cs="TimesNewRomanPSMT"/>
          <w:color w:val="000000"/>
          <w:sz w:val="24"/>
          <w:szCs w:val="24"/>
        </w:rPr>
        <w:t>Department of Agricultural and Resource Economics, North Carolina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5245" w:rsidRPr="0003260E">
        <w:rPr>
          <w:rFonts w:ascii="TimesNewRomanPSMT" w:hAnsi="TimesNewRomanPSMT" w:cs="TimesNewRomanPSMT"/>
          <w:color w:val="000000"/>
          <w:sz w:val="24"/>
          <w:szCs w:val="24"/>
        </w:rPr>
        <w:t>State University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Research Reports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from the Economics Research Team for the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Soy/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Swine Nutrition Research </w:t>
      </w:r>
      <w:proofErr w:type="spellStart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Progra</w:t>
      </w:r>
      <w:proofErr w:type="spellEnd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3260E">
        <w:rPr>
          <w:rFonts w:ascii="TimesNewRomanPSMT" w:hAnsi="TimesNewRomanPSMT" w:cs="TimesNewRomanPSMT"/>
          <w:color w:val="000000"/>
          <w:sz w:val="24"/>
          <w:szCs w:val="24"/>
        </w:rPr>
        <w:t>2001.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Reimer, J. J., 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X. Zeng, and M. J. </w:t>
      </w:r>
      <w:proofErr w:type="spellStart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Gehlhar</w:t>
      </w:r>
      <w:proofErr w:type="spellEnd"/>
      <w:proofErr w:type="gramStart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..</w:t>
      </w:r>
      <w:proofErr w:type="gramEnd"/>
      <w:r w:rsid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="00F15245"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>
        <w:rPr>
          <w:rFonts w:ascii="TimesNewRomanPSMT" w:hAnsi="TimesNewRomanPSMT" w:cs="TimesNewRomanPSMT"/>
          <w:color w:val="000000"/>
          <w:sz w:val="24"/>
          <w:szCs w:val="24"/>
        </w:rPr>
        <w:t>Export Demand Elasticity Estimation for Major U.S. Crops.”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6320E0">
        <w:rPr>
          <w:rFonts w:ascii="TimesNewRomanPSMT" w:hAnsi="TimesNewRomanPSMT" w:cs="TimesNewRomanPSMT"/>
          <w:i/>
          <w:color w:val="000000"/>
          <w:sz w:val="24"/>
          <w:szCs w:val="24"/>
        </w:rPr>
        <w:t>Journal of Agricultural and Applied Economics</w:t>
      </w:r>
      <w:r w:rsidR="00F15245">
        <w:rPr>
          <w:rFonts w:ascii="TimesNewRomanPSMT" w:hAnsi="TimesNewRomanPSMT" w:cs="TimesNewRomanPSMT"/>
          <w:color w:val="000000"/>
          <w:sz w:val="24"/>
          <w:szCs w:val="24"/>
        </w:rPr>
        <w:t>, 44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(2012): 501-515.</w:t>
      </w:r>
    </w:p>
    <w:p w:rsidR="00F15245" w:rsidRPr="00F15245" w:rsidRDefault="00F15245" w:rsidP="00F15245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i/>
          <w:color w:val="000000"/>
          <w:sz w:val="24"/>
          <w:szCs w:val="24"/>
        </w:rPr>
      </w:pPr>
      <w:proofErr w:type="gramStart"/>
      <w:r w:rsidRPr="00F15245">
        <w:rPr>
          <w:rFonts w:ascii="TimesNewRomanPSMT" w:hAnsi="TimesNewRomanPSMT" w:cs="TimesNewRomanPSMT"/>
          <w:color w:val="000000"/>
          <w:sz w:val="24"/>
          <w:szCs w:val="24"/>
        </w:rPr>
        <w:t>RTI International.</w:t>
      </w:r>
      <w:proofErr w:type="gramEnd"/>
      <w:r w:rsidRP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15245">
        <w:rPr>
          <w:rFonts w:ascii="TimesNewRomanPSMT" w:hAnsi="TimesNewRomanPSMT" w:cs="TimesNewRomanPSMT"/>
          <w:i/>
          <w:color w:val="000000"/>
          <w:sz w:val="24"/>
          <w:szCs w:val="24"/>
        </w:rPr>
        <w:t>GIPSA Livestock and Meat Marketing Study, Volume 3: Fed Cattle and</w:t>
      </w:r>
    </w:p>
    <w:p w:rsidR="00F15245" w:rsidRDefault="00F15245" w:rsidP="00F15245">
      <w:pPr>
        <w:autoSpaceDE w:val="0"/>
        <w:autoSpaceDN w:val="0"/>
        <w:adjustRightInd w:val="0"/>
        <w:spacing w:line="480" w:lineRule="auto"/>
        <w:ind w:left="810" w:hanging="90"/>
        <w:rPr>
          <w:rFonts w:ascii="TimesNewRomanPSMT" w:hAnsi="TimesNewRomanPSMT" w:cs="TimesNewRomanPSMT"/>
          <w:color w:val="000000"/>
          <w:sz w:val="24"/>
          <w:szCs w:val="24"/>
        </w:rPr>
      </w:pPr>
      <w:r w:rsidRPr="00F15245">
        <w:rPr>
          <w:rFonts w:ascii="TimesNewRomanPSMT" w:hAnsi="TimesNewRomanPSMT" w:cs="TimesNewRomanPSMT"/>
          <w:i/>
          <w:color w:val="000000"/>
          <w:sz w:val="24"/>
          <w:szCs w:val="24"/>
        </w:rPr>
        <w:t>Beef Industries.</w:t>
      </w:r>
      <w:r w:rsidRPr="00F15245">
        <w:rPr>
          <w:rFonts w:ascii="TimesNewRomanPSMT" w:hAnsi="TimesNewRomanPSMT" w:cs="TimesNewRomanPSMT"/>
          <w:color w:val="000000"/>
          <w:sz w:val="24"/>
          <w:szCs w:val="24"/>
        </w:rPr>
        <w:t xml:space="preserve"> Research Triangle Park, NC: RTI International, January 2007.</w:t>
      </w:r>
    </w:p>
    <w:p w:rsidR="00A220AA" w:rsidRPr="009E20AC" w:rsidRDefault="00A220AA" w:rsidP="00F15245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Stoddart</w:t>
      </w:r>
      <w:proofErr w:type="spellEnd"/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, H. R. “The North American Hog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Pork Industry: Implications of 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 xml:space="preserve">ountervailing Duty on Pork.” </w:t>
      </w:r>
      <w:r w:rsidRPr="009E20AC">
        <w:rPr>
          <w:rFonts w:ascii="TimesNewRomanPSMT" w:hAnsi="TimesNewRomanPSMT" w:cs="TimesNewRomanPSMT"/>
          <w:i/>
          <w:color w:val="000000"/>
          <w:sz w:val="24"/>
          <w:szCs w:val="24"/>
        </w:rPr>
        <w:t>American Journal of Agricultural Economics</w:t>
      </w:r>
      <w:r>
        <w:rPr>
          <w:rFonts w:ascii="TimesNewRomanPSMT" w:hAnsi="TimesNewRomanPSMT" w:cs="TimesNewRomanPSMT"/>
          <w:i/>
          <w:color w:val="000000"/>
          <w:sz w:val="24"/>
          <w:szCs w:val="24"/>
        </w:rPr>
        <w:t>,</w:t>
      </w:r>
      <w:r w:rsidRPr="009E20AC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73(1991):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E20AC">
        <w:rPr>
          <w:rFonts w:ascii="TimesNewRomanPSMT" w:hAnsi="TimesNewRomanPSMT" w:cs="TimesNewRomanPSMT"/>
          <w:color w:val="000000"/>
          <w:sz w:val="24"/>
          <w:szCs w:val="24"/>
        </w:rPr>
        <w:t>1562-1569.</w:t>
      </w:r>
    </w:p>
    <w:p w:rsidR="00A220AA" w:rsidRDefault="00725A01" w:rsidP="00A220AA">
      <w:pPr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United Soybean Board (USB). </w:t>
      </w:r>
      <w:proofErr w:type="gramStart"/>
      <w:r w:rsidR="00A220AA"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U.S. Soybean and Soymeal Domestic Consumption – by Segment.</w:t>
      </w:r>
      <w:proofErr w:type="gramEnd"/>
      <w:r w:rsidR="00A220A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15245" w:rsidRPr="00493078">
        <w:rPr>
          <w:rFonts w:ascii="TimesNewRomanPSMT" w:hAnsi="TimesNewRomanPSMT" w:cs="TimesNewRomanPSMT"/>
          <w:color w:val="000000"/>
          <w:sz w:val="24"/>
          <w:szCs w:val="24"/>
        </w:rPr>
        <w:t>Chesterfield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A220AA">
        <w:rPr>
          <w:rFonts w:ascii="TimesNewRomanPSMT" w:hAnsi="TimesNewRomanPSMT" w:cs="TimesNewRomanPSMT"/>
          <w:color w:val="000000"/>
          <w:sz w:val="24"/>
          <w:szCs w:val="24"/>
        </w:rPr>
        <w:t>United Soybean Board, 2012.</w:t>
      </w:r>
    </w:p>
    <w:p w:rsidR="00A220AA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Westcott, P.C. and M.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Jewison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proofErr w:type="gramStart"/>
      <w:r w:rsidRPr="00725A01">
        <w:rPr>
          <w:rFonts w:ascii="TimesNewRomanPSMT" w:hAnsi="TimesNewRomanPSMT" w:cs="TimesNewRomanPSMT"/>
          <w:i/>
          <w:color w:val="000000"/>
          <w:sz w:val="24"/>
          <w:szCs w:val="24"/>
        </w:rPr>
        <w:t>Weather Effects on Expected Corn and Soybean Yields.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Washington, D.C.: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U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nited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tates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epartment of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>griculture,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 xml:space="preserve"> E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conomic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esearch </w:t>
      </w:r>
      <w:r w:rsidR="00C47D5F" w:rsidRPr="009873C8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C47D5F">
        <w:rPr>
          <w:rFonts w:ascii="TimesNewRomanPSMT" w:hAnsi="TimesNewRomanPSMT" w:cs="TimesNewRomanPSMT"/>
          <w:color w:val="000000"/>
          <w:sz w:val="24"/>
          <w:szCs w:val="24"/>
        </w:rPr>
        <w:t xml:space="preserve">ervice, </w:t>
      </w:r>
      <w:r>
        <w:rPr>
          <w:rFonts w:ascii="TimesNewRomanPSMT" w:hAnsi="TimesNewRomanPSMT" w:cs="TimesNewRomanPSMT"/>
          <w:color w:val="000000"/>
          <w:sz w:val="24"/>
          <w:szCs w:val="24"/>
        </w:rPr>
        <w:t>FDS-13g-01,</w:t>
      </w:r>
      <w:r w:rsidRPr="00840DB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2013.</w:t>
      </w:r>
    </w:p>
    <w:p w:rsidR="00A220AA" w:rsidRPr="00C8346D" w:rsidRDefault="00A220AA" w:rsidP="00A220AA">
      <w:pPr>
        <w:autoSpaceDE w:val="0"/>
        <w:autoSpaceDN w:val="0"/>
        <w:adjustRightInd w:val="0"/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C8346D">
        <w:rPr>
          <w:rFonts w:ascii="TimesNewRomanPSMT" w:hAnsi="TimesNewRomanPSMT" w:cs="TimesNewRomanPSMT"/>
          <w:color w:val="000000"/>
          <w:sz w:val="24"/>
          <w:szCs w:val="24"/>
        </w:rPr>
        <w:t>Wohlgenant</w:t>
      </w:r>
      <w:proofErr w:type="spellEnd"/>
      <w:r w:rsidRPr="00C8346D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M. K. “</w:t>
      </w:r>
      <w:r w:rsidRPr="00C8346D">
        <w:rPr>
          <w:rFonts w:ascii="TimesNewRomanPSMT" w:hAnsi="TimesNewRomanPSMT" w:cs="TimesNewRomanPSMT"/>
          <w:color w:val="000000"/>
          <w:sz w:val="24"/>
          <w:szCs w:val="24"/>
        </w:rPr>
        <w:t>Demand for Farm Output in a Complete System of Demand Functions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C8346D">
        <w:rPr>
          <w:rFonts w:ascii="TimesNewRomanPSMT" w:hAnsi="TimesNewRomanPSMT" w:cs="TimesNewRomanPSMT"/>
          <w:color w:val="000000"/>
          <w:sz w:val="24"/>
          <w:szCs w:val="24"/>
        </w:rPr>
        <w:t xml:space="preserve">”  </w:t>
      </w:r>
      <w:r w:rsidRPr="00C8346D">
        <w:rPr>
          <w:rFonts w:ascii="TimesNewRomanPSMT" w:hAnsi="TimesNewRomanPSMT" w:cs="TimesNewRomanPSMT"/>
          <w:i/>
          <w:color w:val="000000"/>
          <w:sz w:val="24"/>
          <w:szCs w:val="24"/>
        </w:rPr>
        <w:t>American Journal of Agricultural Economics</w:t>
      </w:r>
      <w:r>
        <w:rPr>
          <w:rFonts w:ascii="TimesNewRomanPSMT" w:hAnsi="TimesNewRomanPSMT" w:cs="TimesNewRomanPSMT"/>
          <w:color w:val="000000"/>
          <w:sz w:val="24"/>
          <w:szCs w:val="24"/>
        </w:rPr>
        <w:t>, 71 (1989</w:t>
      </w:r>
      <w:r w:rsidRPr="00C8346D">
        <w:rPr>
          <w:rFonts w:ascii="TimesNewRomanPSMT" w:hAnsi="TimesNewRomanPSMT" w:cs="TimesNewRomanPSMT"/>
          <w:color w:val="000000"/>
          <w:sz w:val="24"/>
          <w:szCs w:val="24"/>
        </w:rPr>
        <w:t>): 241-252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C8346D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A220AA" w:rsidRPr="00AB2941" w:rsidRDefault="00A220AA" w:rsidP="00A220AA">
      <w:pPr>
        <w:spacing w:line="480" w:lineRule="auto"/>
        <w:ind w:left="810" w:hanging="81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6761A" w:rsidRDefault="0026761A"/>
    <w:sectPr w:rsidR="0026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0A" w:rsidRDefault="005D0A0A" w:rsidP="00D46FE1">
      <w:r>
        <w:separator/>
      </w:r>
    </w:p>
  </w:endnote>
  <w:endnote w:type="continuationSeparator" w:id="0">
    <w:p w:rsidR="005D0A0A" w:rsidRDefault="005D0A0A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TMed">
    <w:altName w:val="URWGroteskT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">
    <w:altName w:val="URWGrotesk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0A" w:rsidRDefault="005D0A0A" w:rsidP="00D46FE1">
      <w:r>
        <w:separator/>
      </w:r>
    </w:p>
  </w:footnote>
  <w:footnote w:type="continuationSeparator" w:id="0">
    <w:p w:rsidR="005D0A0A" w:rsidRDefault="005D0A0A" w:rsidP="00D46FE1">
      <w:r>
        <w:continuationSeparator/>
      </w:r>
    </w:p>
  </w:footnote>
  <w:footnote w:id="1">
    <w:p w:rsidR="004A4FB8" w:rsidRPr="0068219C" w:rsidRDefault="004A4FB8" w:rsidP="00D46FE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8219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8219C">
        <w:rPr>
          <w:rFonts w:ascii="Times New Roman" w:hAnsi="Times New Roman" w:cs="Times New Roman"/>
          <w:sz w:val="18"/>
          <w:szCs w:val="18"/>
        </w:rPr>
        <w:t xml:space="preserve"> Based on the structural models, the estimates were obtained by following double log differential forms with appropriate corrections for serial correlation.</w:t>
      </w:r>
    </w:p>
  </w:footnote>
  <w:footnote w:id="2">
    <w:p w:rsidR="004A4FB8" w:rsidRPr="00326110" w:rsidRDefault="004A4FB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32611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261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Because </w:t>
      </w:r>
      <w:r w:rsidRPr="00326110">
        <w:rPr>
          <w:rFonts w:ascii="Times New Roman" w:hAnsi="Times New Roman" w:cs="Times New Roman"/>
          <w:sz w:val="18"/>
          <w:szCs w:val="18"/>
        </w:rPr>
        <w:t xml:space="preserve">of the fixed proportion relation between corn and ethanol, the decision on volume of ethanol production determines </w:t>
      </w:r>
      <w:r>
        <w:rPr>
          <w:rFonts w:ascii="Times New Roman" w:hAnsi="Times New Roman" w:cs="Times New Roman"/>
          <w:sz w:val="18"/>
          <w:szCs w:val="18"/>
        </w:rPr>
        <w:t xml:space="preserve">the quantity of corn demanded. </w:t>
      </w:r>
      <w:r w:rsidRPr="00326110">
        <w:rPr>
          <w:rFonts w:ascii="Times New Roman" w:hAnsi="Times New Roman" w:cs="Times New Roman"/>
          <w:sz w:val="18"/>
          <w:szCs w:val="18"/>
        </w:rPr>
        <w:t xml:space="preserve">This implies that corn demand for ethanol does not respond to corn price and is inelastic as shown in Fig 1, panel f.   </w:t>
      </w:r>
    </w:p>
  </w:footnote>
  <w:footnote w:id="3">
    <w:p w:rsidR="004A4FB8" w:rsidRPr="00CC4A58" w:rsidRDefault="004A4FB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C4A5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C4A58">
        <w:rPr>
          <w:rFonts w:ascii="Times New Roman" w:hAnsi="Times New Roman" w:cs="Times New Roman"/>
          <w:sz w:val="18"/>
          <w:szCs w:val="18"/>
        </w:rPr>
        <w:t xml:space="preserve"> Result of the fixed proportion relation between ethanol and its by-product DG</w:t>
      </w:r>
    </w:p>
  </w:footnote>
  <w:footnote w:id="4">
    <w:p w:rsidR="004A4FB8" w:rsidRPr="00767278" w:rsidRDefault="004A4FB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6727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6727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67278">
        <w:rPr>
          <w:rFonts w:ascii="Times New Roman" w:hAnsi="Times New Roman" w:cs="Times New Roman"/>
          <w:sz w:val="18"/>
          <w:szCs w:val="18"/>
        </w:rPr>
        <w:t xml:space="preserve">Total differentiation of a demand function derived by assuming a unit cost function and using shepherd’s lemma results into expression similar to </w:t>
      </w:r>
      <w:r>
        <w:rPr>
          <w:rFonts w:ascii="Times New Roman" w:hAnsi="Times New Roman" w:cs="Times New Roman"/>
          <w:sz w:val="18"/>
          <w:szCs w:val="18"/>
        </w:rPr>
        <w:t xml:space="preserve">equation </w:t>
      </w:r>
      <w:r w:rsidRPr="00767278">
        <w:rPr>
          <w:rFonts w:ascii="Times New Roman" w:hAnsi="Times New Roman" w:cs="Times New Roman"/>
          <w:sz w:val="18"/>
          <w:szCs w:val="18"/>
        </w:rPr>
        <w:t>19 with elasticity of demand with respect to downstream quantity equal to 1.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F00"/>
    <w:multiLevelType w:val="hybridMultilevel"/>
    <w:tmpl w:val="A322B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5E4"/>
    <w:multiLevelType w:val="hybridMultilevel"/>
    <w:tmpl w:val="A6B05E48"/>
    <w:lvl w:ilvl="0" w:tplc="8CE23D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2C96E07"/>
    <w:multiLevelType w:val="hybridMultilevel"/>
    <w:tmpl w:val="E6527D1C"/>
    <w:lvl w:ilvl="0" w:tplc="A4DAD7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B9B528E"/>
    <w:multiLevelType w:val="multilevel"/>
    <w:tmpl w:val="B6D8F6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7092E33"/>
    <w:multiLevelType w:val="hybridMultilevel"/>
    <w:tmpl w:val="B4AEEE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779C"/>
    <w:multiLevelType w:val="multilevel"/>
    <w:tmpl w:val="0CDA59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B3B2954"/>
    <w:multiLevelType w:val="hybridMultilevel"/>
    <w:tmpl w:val="D0944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01D19"/>
    <w:multiLevelType w:val="hybridMultilevel"/>
    <w:tmpl w:val="64161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C48C9"/>
    <w:multiLevelType w:val="hybridMultilevel"/>
    <w:tmpl w:val="A6B05E48"/>
    <w:lvl w:ilvl="0" w:tplc="8CE23D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99A769B"/>
    <w:multiLevelType w:val="hybridMultilevel"/>
    <w:tmpl w:val="C87A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921EC"/>
    <w:multiLevelType w:val="hybridMultilevel"/>
    <w:tmpl w:val="B706E612"/>
    <w:lvl w:ilvl="0" w:tplc="E03846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4284"/>
    <w:multiLevelType w:val="multilevel"/>
    <w:tmpl w:val="F63E29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>
    <w:nsid w:val="49005AE5"/>
    <w:multiLevelType w:val="multilevel"/>
    <w:tmpl w:val="A274C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F3266E4"/>
    <w:multiLevelType w:val="hybridMultilevel"/>
    <w:tmpl w:val="A6B05E48"/>
    <w:lvl w:ilvl="0" w:tplc="8CE23D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05755CB"/>
    <w:multiLevelType w:val="multilevel"/>
    <w:tmpl w:val="0CDA59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7BB7434"/>
    <w:multiLevelType w:val="hybridMultilevel"/>
    <w:tmpl w:val="AB30C810"/>
    <w:lvl w:ilvl="0" w:tplc="3C5E47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20B70"/>
    <w:multiLevelType w:val="hybridMultilevel"/>
    <w:tmpl w:val="A6B05E48"/>
    <w:lvl w:ilvl="0" w:tplc="8CE23D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A9674A9"/>
    <w:multiLevelType w:val="hybridMultilevel"/>
    <w:tmpl w:val="4B5455AA"/>
    <w:lvl w:ilvl="0" w:tplc="F0CC6910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E8C64CB"/>
    <w:multiLevelType w:val="hybridMultilevel"/>
    <w:tmpl w:val="C8DE8550"/>
    <w:lvl w:ilvl="0" w:tplc="F0CC6910">
      <w:start w:val="1"/>
      <w:numFmt w:val="decimal"/>
      <w:lvlText w:val="%1)"/>
      <w:lvlJc w:val="left"/>
      <w:pPr>
        <w:ind w:left="-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9">
    <w:nsid w:val="61694522"/>
    <w:multiLevelType w:val="hybridMultilevel"/>
    <w:tmpl w:val="4B5455AA"/>
    <w:lvl w:ilvl="0" w:tplc="F0CC6910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6D647311"/>
    <w:multiLevelType w:val="hybridMultilevel"/>
    <w:tmpl w:val="BF4E8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4C7CB7"/>
    <w:multiLevelType w:val="multilevel"/>
    <w:tmpl w:val="E632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1A920A2"/>
    <w:multiLevelType w:val="hybridMultilevel"/>
    <w:tmpl w:val="80C2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42CC1"/>
    <w:multiLevelType w:val="hybridMultilevel"/>
    <w:tmpl w:val="B4AEE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6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19"/>
  </w:num>
  <w:num w:numId="10">
    <w:abstractNumId w:val="6"/>
  </w:num>
  <w:num w:numId="11">
    <w:abstractNumId w:val="15"/>
  </w:num>
  <w:num w:numId="12">
    <w:abstractNumId w:val="20"/>
  </w:num>
  <w:num w:numId="13">
    <w:abstractNumId w:val="10"/>
  </w:num>
  <w:num w:numId="14">
    <w:abstractNumId w:val="7"/>
  </w:num>
  <w:num w:numId="15">
    <w:abstractNumId w:val="17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3"/>
  </w:num>
  <w:num w:numId="21">
    <w:abstractNumId w:val="5"/>
  </w:num>
  <w:num w:numId="22">
    <w:abstractNumId w:val="0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1"/>
    <w:rsid w:val="00082CCD"/>
    <w:rsid w:val="000D6A82"/>
    <w:rsid w:val="00186559"/>
    <w:rsid w:val="00221C02"/>
    <w:rsid w:val="00223E74"/>
    <w:rsid w:val="0026761A"/>
    <w:rsid w:val="002E7D8A"/>
    <w:rsid w:val="00326110"/>
    <w:rsid w:val="003A546D"/>
    <w:rsid w:val="003B098E"/>
    <w:rsid w:val="00451813"/>
    <w:rsid w:val="004847C2"/>
    <w:rsid w:val="004A4FB8"/>
    <w:rsid w:val="004A5099"/>
    <w:rsid w:val="005241CA"/>
    <w:rsid w:val="005276B1"/>
    <w:rsid w:val="0057150E"/>
    <w:rsid w:val="005A4B60"/>
    <w:rsid w:val="005B31CC"/>
    <w:rsid w:val="005D0A0A"/>
    <w:rsid w:val="00665DAD"/>
    <w:rsid w:val="00672D04"/>
    <w:rsid w:val="0068219C"/>
    <w:rsid w:val="0069051C"/>
    <w:rsid w:val="006D2799"/>
    <w:rsid w:val="006F017F"/>
    <w:rsid w:val="00725A01"/>
    <w:rsid w:val="00767278"/>
    <w:rsid w:val="007E5502"/>
    <w:rsid w:val="007F4687"/>
    <w:rsid w:val="00825825"/>
    <w:rsid w:val="008401FB"/>
    <w:rsid w:val="00874BA2"/>
    <w:rsid w:val="0094408E"/>
    <w:rsid w:val="0096065D"/>
    <w:rsid w:val="009C1B23"/>
    <w:rsid w:val="00A220AA"/>
    <w:rsid w:val="00AD3D9E"/>
    <w:rsid w:val="00B14737"/>
    <w:rsid w:val="00C4147B"/>
    <w:rsid w:val="00C47D5F"/>
    <w:rsid w:val="00CC4A58"/>
    <w:rsid w:val="00CC7360"/>
    <w:rsid w:val="00D1498B"/>
    <w:rsid w:val="00D24E0C"/>
    <w:rsid w:val="00D46FE1"/>
    <w:rsid w:val="00DE6C5B"/>
    <w:rsid w:val="00E754AC"/>
    <w:rsid w:val="00F15245"/>
    <w:rsid w:val="00F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1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D46FE1"/>
    <w:pPr>
      <w:spacing w:before="100" w:beforeAutospacing="1" w:after="100" w:afterAutospacing="1"/>
      <w:outlineLvl w:val="0"/>
    </w:pPr>
    <w:rPr>
      <w:rFonts w:cs="Arial"/>
      <w:b/>
      <w:bCs/>
      <w:color w:val="333399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FE1"/>
    <w:rPr>
      <w:b/>
      <w:bCs/>
      <w:color w:val="333399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FE1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6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FE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46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E1"/>
    <w:rPr>
      <w:rFonts w:cstheme="minorBidi"/>
    </w:rPr>
  </w:style>
  <w:style w:type="table" w:styleId="LightShading-Accent1">
    <w:name w:val="Light Shading Accent 1"/>
    <w:basedOn w:val="TableNormal"/>
    <w:uiPriority w:val="60"/>
    <w:rsid w:val="00D46FE1"/>
    <w:rPr>
      <w:rFonts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46FE1"/>
    <w:rPr>
      <w:color w:val="0000FF" w:themeColor="hyperlink"/>
      <w:u w:val="single"/>
    </w:rPr>
  </w:style>
  <w:style w:type="paragraph" w:customStyle="1" w:styleId="Default">
    <w:name w:val="Default"/>
    <w:rsid w:val="00D46F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2">
    <w:name w:val="A2"/>
    <w:uiPriority w:val="99"/>
    <w:rsid w:val="00D46FE1"/>
    <w:rPr>
      <w:rFonts w:cs="URWGroteskTMed"/>
      <w:color w:val="277946"/>
      <w:sz w:val="97"/>
      <w:szCs w:val="97"/>
    </w:rPr>
  </w:style>
  <w:style w:type="paragraph" w:customStyle="1" w:styleId="Pa7">
    <w:name w:val="Pa7"/>
    <w:basedOn w:val="Default"/>
    <w:next w:val="Default"/>
    <w:uiPriority w:val="99"/>
    <w:rsid w:val="00D46FE1"/>
    <w:pPr>
      <w:spacing w:line="281" w:lineRule="atLeast"/>
    </w:pPr>
    <w:rPr>
      <w:rFonts w:ascii="URWGroteskT" w:hAnsi="URWGroteskT" w:cstheme="minorBidi"/>
      <w:color w:val="auto"/>
    </w:rPr>
  </w:style>
  <w:style w:type="character" w:customStyle="1" w:styleId="A8">
    <w:name w:val="A8"/>
    <w:uiPriority w:val="99"/>
    <w:rsid w:val="00D46FE1"/>
    <w:rPr>
      <w:rFonts w:cs="URWGroteskT"/>
      <w:color w:val="211D1E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E1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E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E1"/>
    <w:rPr>
      <w:rFonts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E1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FE1"/>
    <w:rPr>
      <w:rFonts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6FE1"/>
    <w:rPr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D46FE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E1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D46FE1"/>
    <w:pPr>
      <w:spacing w:before="100" w:beforeAutospacing="1" w:after="100" w:afterAutospacing="1"/>
      <w:outlineLvl w:val="0"/>
    </w:pPr>
    <w:rPr>
      <w:rFonts w:cs="Arial"/>
      <w:b/>
      <w:bCs/>
      <w:color w:val="333399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FE1"/>
    <w:rPr>
      <w:b/>
      <w:bCs/>
      <w:color w:val="333399"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FE1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6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FE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46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E1"/>
    <w:rPr>
      <w:rFonts w:cstheme="minorBidi"/>
    </w:rPr>
  </w:style>
  <w:style w:type="table" w:styleId="LightShading-Accent1">
    <w:name w:val="Light Shading Accent 1"/>
    <w:basedOn w:val="TableNormal"/>
    <w:uiPriority w:val="60"/>
    <w:rsid w:val="00D46FE1"/>
    <w:rPr>
      <w:rFonts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46FE1"/>
    <w:rPr>
      <w:color w:val="0000FF" w:themeColor="hyperlink"/>
      <w:u w:val="single"/>
    </w:rPr>
  </w:style>
  <w:style w:type="paragraph" w:customStyle="1" w:styleId="Default">
    <w:name w:val="Default"/>
    <w:rsid w:val="00D46F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2">
    <w:name w:val="A2"/>
    <w:uiPriority w:val="99"/>
    <w:rsid w:val="00D46FE1"/>
    <w:rPr>
      <w:rFonts w:cs="URWGroteskTMed"/>
      <w:color w:val="277946"/>
      <w:sz w:val="97"/>
      <w:szCs w:val="97"/>
    </w:rPr>
  </w:style>
  <w:style w:type="paragraph" w:customStyle="1" w:styleId="Pa7">
    <w:name w:val="Pa7"/>
    <w:basedOn w:val="Default"/>
    <w:next w:val="Default"/>
    <w:uiPriority w:val="99"/>
    <w:rsid w:val="00D46FE1"/>
    <w:pPr>
      <w:spacing w:line="281" w:lineRule="atLeast"/>
    </w:pPr>
    <w:rPr>
      <w:rFonts w:ascii="URWGroteskT" w:hAnsi="URWGroteskT" w:cstheme="minorBidi"/>
      <w:color w:val="auto"/>
    </w:rPr>
  </w:style>
  <w:style w:type="character" w:customStyle="1" w:styleId="A8">
    <w:name w:val="A8"/>
    <w:uiPriority w:val="99"/>
    <w:rsid w:val="00D46FE1"/>
    <w:rPr>
      <w:rFonts w:cs="URWGroteskT"/>
      <w:color w:val="211D1E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FE1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FE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E1"/>
    <w:rPr>
      <w:rFonts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E1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FE1"/>
    <w:rPr>
      <w:rFonts w:cstheme="min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6FE1"/>
    <w:rPr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D46FE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3FA4-1EB9-48E6-A38E-0EF6AA9C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2388</Words>
  <Characters>13615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Dhoubhadel</dc:creator>
  <cp:lastModifiedBy>Azzeddine Azzam</cp:lastModifiedBy>
  <cp:revision>2</cp:revision>
  <cp:lastPrinted>2014-11-10T18:41:00Z</cp:lastPrinted>
  <dcterms:created xsi:type="dcterms:W3CDTF">2014-12-27T18:44:00Z</dcterms:created>
  <dcterms:modified xsi:type="dcterms:W3CDTF">2014-12-27T18:44:00Z</dcterms:modified>
</cp:coreProperties>
</file>