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85B74" w14:textId="183DEE73" w:rsidR="00795A8E" w:rsidRPr="0009005C" w:rsidRDefault="00795A8E" w:rsidP="00795A8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Supplemental Information</w:t>
      </w:r>
    </w:p>
    <w:p w14:paraId="16C92FDC" w14:textId="77777777" w:rsidR="00795A8E" w:rsidRPr="0009005C" w:rsidRDefault="00795A8E" w:rsidP="00795A8E">
      <w:pPr>
        <w:pStyle w:val="NoSpacing"/>
        <w:jc w:val="center"/>
        <w:rPr>
          <w:rFonts w:ascii="Times New Roman" w:hAnsi="Times New Roman" w:cs="Times New Roman"/>
          <w:b/>
          <w:bCs/>
          <w:sz w:val="24"/>
          <w:szCs w:val="24"/>
        </w:rPr>
      </w:pPr>
      <w:r w:rsidRPr="0009005C">
        <w:rPr>
          <w:rFonts w:ascii="Times New Roman" w:hAnsi="Times New Roman" w:cs="Times New Roman"/>
          <w:b/>
          <w:bCs/>
          <w:sz w:val="24"/>
          <w:szCs w:val="24"/>
        </w:rPr>
        <w:t xml:space="preserve"> “Factors Influencing Use and Frequency of Rotational Grazing for Beef Cattle in Tennessee.”</w:t>
      </w:r>
    </w:p>
    <w:p w14:paraId="05999E89" w14:textId="77777777" w:rsidR="00607163" w:rsidRDefault="00607163" w:rsidP="00795A8E">
      <w:pPr>
        <w:pStyle w:val="NoSpacing"/>
        <w:rPr>
          <w:rFonts w:ascii="Times New Roman" w:hAnsi="Times New Roman" w:cs="Times New Roman"/>
          <w:sz w:val="24"/>
          <w:szCs w:val="24"/>
        </w:rPr>
      </w:pPr>
    </w:p>
    <w:p w14:paraId="303219DE" w14:textId="3A85EDFE" w:rsidR="00795A8E" w:rsidRPr="00795A8E" w:rsidRDefault="00795A8E" w:rsidP="00795A8E">
      <w:pPr>
        <w:pStyle w:val="NoSpacing"/>
        <w:rPr>
          <w:rFonts w:ascii="Times New Roman" w:hAnsi="Times New Roman" w:cs="Times New Roman"/>
          <w:color w:val="000000"/>
          <w:sz w:val="24"/>
          <w:szCs w:val="24"/>
        </w:rPr>
      </w:pPr>
      <w:r>
        <w:rPr>
          <w:rFonts w:ascii="Times New Roman" w:hAnsi="Times New Roman" w:cs="Times New Roman"/>
          <w:sz w:val="24"/>
          <w:szCs w:val="24"/>
        </w:rPr>
        <w:t xml:space="preserve">The survey question regarding rotational grazing was not specific to a year. It stated “How often do you usually rotate livestock during the summer. However, the survey was administrated during March of 2018, meaning the 2017 summer grazing period was the most recent timeframe producers could possibly reference. Below are two figures showing the Palmer drought index for Tennessee from 2000 to 2021. </w:t>
      </w:r>
      <w:r w:rsidRPr="00795A8E">
        <w:rPr>
          <w:rFonts w:ascii="Times New Roman" w:hAnsi="Times New Roman" w:cs="Times New Roman"/>
          <w:color w:val="000000"/>
          <w:sz w:val="24"/>
          <w:szCs w:val="24"/>
        </w:rPr>
        <w:t xml:space="preserve">Figure </w:t>
      </w:r>
      <w:r w:rsidR="00C82DAE">
        <w:rPr>
          <w:rFonts w:ascii="Times New Roman" w:hAnsi="Times New Roman" w:cs="Times New Roman"/>
          <w:color w:val="000000"/>
          <w:sz w:val="24"/>
          <w:szCs w:val="24"/>
        </w:rPr>
        <w:t>S</w:t>
      </w:r>
      <w:r w:rsidRPr="00795A8E">
        <w:rPr>
          <w:rFonts w:ascii="Times New Roman" w:hAnsi="Times New Roman" w:cs="Times New Roman"/>
          <w:color w:val="000000"/>
          <w:sz w:val="24"/>
          <w:szCs w:val="24"/>
        </w:rPr>
        <w:t xml:space="preserve">1 shows the Palmer Drought Index since 2000. Figure </w:t>
      </w:r>
      <w:r w:rsidR="00C82DAE">
        <w:rPr>
          <w:rFonts w:ascii="Times New Roman" w:hAnsi="Times New Roman" w:cs="Times New Roman"/>
          <w:color w:val="000000"/>
          <w:sz w:val="24"/>
          <w:szCs w:val="24"/>
        </w:rPr>
        <w:t>S</w:t>
      </w:r>
      <w:r w:rsidRPr="00795A8E">
        <w:rPr>
          <w:rFonts w:ascii="Times New Roman" w:hAnsi="Times New Roman" w:cs="Times New Roman"/>
          <w:color w:val="000000"/>
          <w:sz w:val="24"/>
          <w:szCs w:val="24"/>
        </w:rPr>
        <w:t xml:space="preserve">2 shows the 2017 Palmer Drought Index in 2017 relative to the 21-year average. </w:t>
      </w:r>
      <w:r>
        <w:rPr>
          <w:rFonts w:ascii="Times New Roman" w:hAnsi="Times New Roman" w:cs="Times New Roman"/>
          <w:color w:val="000000"/>
          <w:sz w:val="24"/>
          <w:szCs w:val="24"/>
        </w:rPr>
        <w:t xml:space="preserve">These figures show that 2017 was not a drought time and in fact above average year (see Figure </w:t>
      </w:r>
      <w:r w:rsidR="00C82DAE">
        <w:rPr>
          <w:rFonts w:ascii="Times New Roman" w:hAnsi="Times New Roman" w:cs="Times New Roman"/>
          <w:color w:val="000000"/>
          <w:sz w:val="24"/>
          <w:szCs w:val="24"/>
        </w:rPr>
        <w:t>S</w:t>
      </w:r>
      <w:r>
        <w:rPr>
          <w:rFonts w:ascii="Times New Roman" w:hAnsi="Times New Roman" w:cs="Times New Roman"/>
          <w:color w:val="000000"/>
          <w:sz w:val="24"/>
          <w:szCs w:val="24"/>
        </w:rPr>
        <w:t xml:space="preserve">2). Again, the specific question did not reference 2017. </w:t>
      </w:r>
    </w:p>
    <w:p w14:paraId="0D172AB9" w14:textId="77777777" w:rsidR="00795A8E" w:rsidRDefault="00795A8E" w:rsidP="00795A8E">
      <w:pPr>
        <w:pStyle w:val="NoSpacing"/>
        <w:rPr>
          <w:rFonts w:ascii="Times New Roman" w:hAnsi="Times New Roman" w:cs="Times New Roman"/>
          <w:color w:val="000000"/>
          <w:sz w:val="24"/>
          <w:szCs w:val="24"/>
        </w:rPr>
      </w:pPr>
    </w:p>
    <w:p w14:paraId="4CCEC336" w14:textId="77777777" w:rsidR="00795A8E" w:rsidRPr="003E00DB" w:rsidRDefault="00795A8E" w:rsidP="00795A8E">
      <w:pPr>
        <w:pStyle w:val="NoSpacing"/>
        <w:rPr>
          <w:rFonts w:ascii="Times New Roman" w:hAnsi="Times New Roman" w:cs="Times New Roman"/>
          <w:sz w:val="24"/>
          <w:szCs w:val="24"/>
        </w:rPr>
      </w:pPr>
      <w:r>
        <w:rPr>
          <w:noProof/>
        </w:rPr>
        <w:drawing>
          <wp:inline distT="0" distB="0" distL="0" distR="0" wp14:anchorId="54BC22E9" wp14:editId="50941E7C">
            <wp:extent cx="5123622" cy="2234317"/>
            <wp:effectExtent l="0" t="0" r="1270" b="0"/>
            <wp:docPr id="1" name="Chart 1">
              <a:extLst xmlns:a="http://schemas.openxmlformats.org/drawingml/2006/main">
                <a:ext uri="{FF2B5EF4-FFF2-40B4-BE49-F238E27FC236}">
                  <a16:creationId xmlns:a16="http://schemas.microsoft.com/office/drawing/2014/main" id="{83AAC59B-1233-4D86-BEEA-C35F0A09CF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323DDD0" w14:textId="27625ACF" w:rsidR="00795A8E" w:rsidRPr="00F637F5" w:rsidRDefault="00795A8E" w:rsidP="00795A8E">
      <w:pPr>
        <w:pStyle w:val="NoSpacing"/>
        <w:rPr>
          <w:rFonts w:ascii="Times New Roman" w:hAnsi="Times New Roman" w:cs="Times New Roman"/>
          <w:b/>
          <w:bCs/>
          <w:sz w:val="24"/>
          <w:szCs w:val="24"/>
        </w:rPr>
      </w:pPr>
      <w:r w:rsidRPr="00F637F5">
        <w:rPr>
          <w:rFonts w:ascii="Times New Roman" w:hAnsi="Times New Roman" w:cs="Times New Roman"/>
          <w:b/>
          <w:bCs/>
          <w:sz w:val="24"/>
          <w:szCs w:val="24"/>
        </w:rPr>
        <w:t xml:space="preserve">Figure </w:t>
      </w:r>
      <w:r w:rsidR="00C82DAE">
        <w:rPr>
          <w:rFonts w:ascii="Times New Roman" w:hAnsi="Times New Roman" w:cs="Times New Roman"/>
          <w:b/>
          <w:bCs/>
          <w:sz w:val="24"/>
          <w:szCs w:val="24"/>
        </w:rPr>
        <w:t>S</w:t>
      </w:r>
      <w:r w:rsidRPr="00F637F5">
        <w:rPr>
          <w:rFonts w:ascii="Times New Roman" w:hAnsi="Times New Roman" w:cs="Times New Roman"/>
          <w:b/>
          <w:bCs/>
          <w:sz w:val="24"/>
          <w:szCs w:val="24"/>
        </w:rPr>
        <w:t xml:space="preserve">1 Palmer Drought Index in Tennessee from 2020 to 2021 by Month  </w:t>
      </w:r>
    </w:p>
    <w:p w14:paraId="02013D52" w14:textId="77777777" w:rsidR="00795A8E" w:rsidRPr="0017218D" w:rsidRDefault="00795A8E" w:rsidP="00795A8E">
      <w:pPr>
        <w:pStyle w:val="NoSpacing"/>
        <w:rPr>
          <w:rFonts w:ascii="Times New Roman" w:hAnsi="Times New Roman" w:cs="Times New Roman"/>
          <w:sz w:val="24"/>
          <w:szCs w:val="24"/>
        </w:rPr>
      </w:pPr>
    </w:p>
    <w:p w14:paraId="049A3494" w14:textId="77777777" w:rsidR="00795A8E" w:rsidRDefault="00795A8E" w:rsidP="00795A8E">
      <w:pPr>
        <w:pStyle w:val="NoSpacing"/>
        <w:rPr>
          <w:rFonts w:ascii="Times New Roman" w:hAnsi="Times New Roman" w:cs="Times New Roman"/>
          <w:sz w:val="24"/>
          <w:szCs w:val="24"/>
        </w:rPr>
      </w:pPr>
    </w:p>
    <w:p w14:paraId="2ADFD7AD" w14:textId="77777777" w:rsidR="00795A8E" w:rsidRDefault="00795A8E" w:rsidP="00795A8E">
      <w:pPr>
        <w:pStyle w:val="NoSpacing"/>
        <w:rPr>
          <w:rFonts w:ascii="Times New Roman" w:hAnsi="Times New Roman" w:cs="Times New Roman"/>
          <w:sz w:val="24"/>
          <w:szCs w:val="24"/>
        </w:rPr>
      </w:pPr>
      <w:r>
        <w:rPr>
          <w:noProof/>
        </w:rPr>
        <w:drawing>
          <wp:inline distT="0" distB="0" distL="0" distR="0" wp14:anchorId="5D624CB8" wp14:editId="1F26083C">
            <wp:extent cx="4572000" cy="2743200"/>
            <wp:effectExtent l="0" t="0" r="0" b="0"/>
            <wp:docPr id="2" name="Chart 2">
              <a:extLst xmlns:a="http://schemas.openxmlformats.org/drawingml/2006/main">
                <a:ext uri="{FF2B5EF4-FFF2-40B4-BE49-F238E27FC236}">
                  <a16:creationId xmlns:a16="http://schemas.microsoft.com/office/drawing/2014/main" id="{69D706A4-0D06-43CD-93CB-0FDB105290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5848E22" w14:textId="034275C5" w:rsidR="00795A8E" w:rsidRDefault="00795A8E" w:rsidP="00795A8E">
      <w:pPr>
        <w:pStyle w:val="NoSpacing"/>
      </w:pPr>
      <w:r w:rsidRPr="00603253">
        <w:rPr>
          <w:rFonts w:ascii="Times New Roman" w:hAnsi="Times New Roman" w:cs="Times New Roman"/>
          <w:b/>
          <w:bCs/>
          <w:sz w:val="24"/>
          <w:szCs w:val="24"/>
        </w:rPr>
        <w:t xml:space="preserve">Figure </w:t>
      </w:r>
      <w:r w:rsidR="00C82DAE">
        <w:rPr>
          <w:rFonts w:ascii="Times New Roman" w:hAnsi="Times New Roman" w:cs="Times New Roman"/>
          <w:b/>
          <w:bCs/>
          <w:sz w:val="24"/>
          <w:szCs w:val="24"/>
        </w:rPr>
        <w:t>S</w:t>
      </w:r>
      <w:r w:rsidRPr="00603253">
        <w:rPr>
          <w:rFonts w:ascii="Times New Roman" w:hAnsi="Times New Roman" w:cs="Times New Roman"/>
          <w:b/>
          <w:bCs/>
          <w:sz w:val="24"/>
          <w:szCs w:val="24"/>
        </w:rPr>
        <w:t xml:space="preserve">2. Average Palmer Drought Index from May through August in Tennessee </w:t>
      </w:r>
    </w:p>
    <w:sectPr w:rsidR="00795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8E"/>
    <w:rsid w:val="00607163"/>
    <w:rsid w:val="0074320F"/>
    <w:rsid w:val="00795A8E"/>
    <w:rsid w:val="00C8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CDD5"/>
  <w15:chartTrackingRefBased/>
  <w15:docId w15:val="{7D16EE29-2BC6-42F3-9BAA-B038B4F2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boyer3\OneDrive%20-%20University%20of%20Tennessee\Desktop\beef%20survey%20rotational%20grazing\manuscript\JAAE\R1\R2\palmer%20index.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boyer3\OneDrive%20-%20University%20of%20Tennessee\Desktop\beef%20survey%20rotational%20grazing\manuscript\JAAE\R1\R2\palmer%20index.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spPr>
            <a:solidFill>
              <a:schemeClr val="accent1"/>
            </a:solidFill>
            <a:ln>
              <a:noFill/>
            </a:ln>
            <a:effectLst/>
          </c:spPr>
          <c:cat>
            <c:numRef>
              <c:f>'palmer index'!$D$5:$D$268</c:f>
              <c:numCache>
                <c:formatCode>mmm\-yy</c:formatCode>
                <c:ptCount val="264"/>
                <c:pt idx="0">
                  <c:v>36526</c:v>
                </c:pt>
                <c:pt idx="1">
                  <c:v>36557</c:v>
                </c:pt>
                <c:pt idx="2">
                  <c:v>36586</c:v>
                </c:pt>
                <c:pt idx="3">
                  <c:v>36617</c:v>
                </c:pt>
                <c:pt idx="4">
                  <c:v>36647</c:v>
                </c:pt>
                <c:pt idx="5">
                  <c:v>36678</c:v>
                </c:pt>
                <c:pt idx="6">
                  <c:v>36708</c:v>
                </c:pt>
                <c:pt idx="7">
                  <c:v>36739</c:v>
                </c:pt>
                <c:pt idx="8">
                  <c:v>36770</c:v>
                </c:pt>
                <c:pt idx="9">
                  <c:v>36800</c:v>
                </c:pt>
                <c:pt idx="10">
                  <c:v>36831</c:v>
                </c:pt>
                <c:pt idx="11">
                  <c:v>36861</c:v>
                </c:pt>
                <c:pt idx="12">
                  <c:v>36892</c:v>
                </c:pt>
                <c:pt idx="13">
                  <c:v>36923</c:v>
                </c:pt>
                <c:pt idx="14">
                  <c:v>36951</c:v>
                </c:pt>
                <c:pt idx="15">
                  <c:v>36982</c:v>
                </c:pt>
                <c:pt idx="16">
                  <c:v>37012</c:v>
                </c:pt>
                <c:pt idx="17">
                  <c:v>37043</c:v>
                </c:pt>
                <c:pt idx="18">
                  <c:v>37073</c:v>
                </c:pt>
                <c:pt idx="19">
                  <c:v>37104</c:v>
                </c:pt>
                <c:pt idx="20">
                  <c:v>37135</c:v>
                </c:pt>
                <c:pt idx="21">
                  <c:v>37165</c:v>
                </c:pt>
                <c:pt idx="22">
                  <c:v>37196</c:v>
                </c:pt>
                <c:pt idx="23">
                  <c:v>37226</c:v>
                </c:pt>
                <c:pt idx="24">
                  <c:v>37257</c:v>
                </c:pt>
                <c:pt idx="25">
                  <c:v>37288</c:v>
                </c:pt>
                <c:pt idx="26">
                  <c:v>37316</c:v>
                </c:pt>
                <c:pt idx="27">
                  <c:v>37347</c:v>
                </c:pt>
                <c:pt idx="28">
                  <c:v>37377</c:v>
                </c:pt>
                <c:pt idx="29">
                  <c:v>37408</c:v>
                </c:pt>
                <c:pt idx="30">
                  <c:v>37438</c:v>
                </c:pt>
                <c:pt idx="31">
                  <c:v>37469</c:v>
                </c:pt>
                <c:pt idx="32">
                  <c:v>37500</c:v>
                </c:pt>
                <c:pt idx="33">
                  <c:v>37530</c:v>
                </c:pt>
                <c:pt idx="34">
                  <c:v>37561</c:v>
                </c:pt>
                <c:pt idx="35">
                  <c:v>37591</c:v>
                </c:pt>
                <c:pt idx="36">
                  <c:v>37622</c:v>
                </c:pt>
                <c:pt idx="37">
                  <c:v>37653</c:v>
                </c:pt>
                <c:pt idx="38">
                  <c:v>37681</c:v>
                </c:pt>
                <c:pt idx="39">
                  <c:v>37712</c:v>
                </c:pt>
                <c:pt idx="40">
                  <c:v>37742</c:v>
                </c:pt>
                <c:pt idx="41">
                  <c:v>37773</c:v>
                </c:pt>
                <c:pt idx="42">
                  <c:v>37803</c:v>
                </c:pt>
                <c:pt idx="43">
                  <c:v>37834</c:v>
                </c:pt>
                <c:pt idx="44">
                  <c:v>37865</c:v>
                </c:pt>
                <c:pt idx="45">
                  <c:v>37895</c:v>
                </c:pt>
                <c:pt idx="46">
                  <c:v>37926</c:v>
                </c:pt>
                <c:pt idx="47">
                  <c:v>37956</c:v>
                </c:pt>
                <c:pt idx="48">
                  <c:v>37987</c:v>
                </c:pt>
                <c:pt idx="49">
                  <c:v>38018</c:v>
                </c:pt>
                <c:pt idx="50">
                  <c:v>38047</c:v>
                </c:pt>
                <c:pt idx="51">
                  <c:v>38078</c:v>
                </c:pt>
                <c:pt idx="52">
                  <c:v>38108</c:v>
                </c:pt>
                <c:pt idx="53">
                  <c:v>38139</c:v>
                </c:pt>
                <c:pt idx="54">
                  <c:v>38169</c:v>
                </c:pt>
                <c:pt idx="55">
                  <c:v>38200</c:v>
                </c:pt>
                <c:pt idx="56">
                  <c:v>38231</c:v>
                </c:pt>
                <c:pt idx="57">
                  <c:v>38261</c:v>
                </c:pt>
                <c:pt idx="58">
                  <c:v>38292</c:v>
                </c:pt>
                <c:pt idx="59">
                  <c:v>38322</c:v>
                </c:pt>
                <c:pt idx="60">
                  <c:v>38353</c:v>
                </c:pt>
                <c:pt idx="61">
                  <c:v>38384</c:v>
                </c:pt>
                <c:pt idx="62">
                  <c:v>38412</c:v>
                </c:pt>
                <c:pt idx="63">
                  <c:v>38443</c:v>
                </c:pt>
                <c:pt idx="64">
                  <c:v>38473</c:v>
                </c:pt>
                <c:pt idx="65">
                  <c:v>38504</c:v>
                </c:pt>
                <c:pt idx="66">
                  <c:v>38534</c:v>
                </c:pt>
                <c:pt idx="67">
                  <c:v>38565</c:v>
                </c:pt>
                <c:pt idx="68">
                  <c:v>38596</c:v>
                </c:pt>
                <c:pt idx="69">
                  <c:v>38626</c:v>
                </c:pt>
                <c:pt idx="70">
                  <c:v>38657</c:v>
                </c:pt>
                <c:pt idx="71">
                  <c:v>38687</c:v>
                </c:pt>
                <c:pt idx="72">
                  <c:v>38718</c:v>
                </c:pt>
                <c:pt idx="73">
                  <c:v>38749</c:v>
                </c:pt>
                <c:pt idx="74">
                  <c:v>38777</c:v>
                </c:pt>
                <c:pt idx="75">
                  <c:v>38808</c:v>
                </c:pt>
                <c:pt idx="76">
                  <c:v>38838</c:v>
                </c:pt>
                <c:pt idx="77">
                  <c:v>38869</c:v>
                </c:pt>
                <c:pt idx="78">
                  <c:v>38899</c:v>
                </c:pt>
                <c:pt idx="79">
                  <c:v>38930</c:v>
                </c:pt>
                <c:pt idx="80">
                  <c:v>38961</c:v>
                </c:pt>
                <c:pt idx="81">
                  <c:v>38991</c:v>
                </c:pt>
                <c:pt idx="82">
                  <c:v>39022</c:v>
                </c:pt>
                <c:pt idx="83">
                  <c:v>39052</c:v>
                </c:pt>
                <c:pt idx="84">
                  <c:v>39083</c:v>
                </c:pt>
                <c:pt idx="85">
                  <c:v>39114</c:v>
                </c:pt>
                <c:pt idx="86">
                  <c:v>39142</c:v>
                </c:pt>
                <c:pt idx="87">
                  <c:v>39173</c:v>
                </c:pt>
                <c:pt idx="88">
                  <c:v>39203</c:v>
                </c:pt>
                <c:pt idx="89">
                  <c:v>39234</c:v>
                </c:pt>
                <c:pt idx="90">
                  <c:v>39264</c:v>
                </c:pt>
                <c:pt idx="91">
                  <c:v>39295</c:v>
                </c:pt>
                <c:pt idx="92">
                  <c:v>39326</c:v>
                </c:pt>
                <c:pt idx="93">
                  <c:v>39356</c:v>
                </c:pt>
                <c:pt idx="94">
                  <c:v>39387</c:v>
                </c:pt>
                <c:pt idx="95">
                  <c:v>39417</c:v>
                </c:pt>
                <c:pt idx="96">
                  <c:v>39448</c:v>
                </c:pt>
                <c:pt idx="97">
                  <c:v>39479</c:v>
                </c:pt>
                <c:pt idx="98">
                  <c:v>39508</c:v>
                </c:pt>
                <c:pt idx="99">
                  <c:v>39539</c:v>
                </c:pt>
                <c:pt idx="100">
                  <c:v>39569</c:v>
                </c:pt>
                <c:pt idx="101">
                  <c:v>39600</c:v>
                </c:pt>
                <c:pt idx="102">
                  <c:v>39630</c:v>
                </c:pt>
                <c:pt idx="103">
                  <c:v>39661</c:v>
                </c:pt>
                <c:pt idx="104">
                  <c:v>39692</c:v>
                </c:pt>
                <c:pt idx="105">
                  <c:v>39722</c:v>
                </c:pt>
                <c:pt idx="106">
                  <c:v>39753</c:v>
                </c:pt>
                <c:pt idx="107">
                  <c:v>39783</c:v>
                </c:pt>
                <c:pt idx="108">
                  <c:v>39814</c:v>
                </c:pt>
                <c:pt idx="109">
                  <c:v>39845</c:v>
                </c:pt>
                <c:pt idx="110">
                  <c:v>39873</c:v>
                </c:pt>
                <c:pt idx="111">
                  <c:v>39904</c:v>
                </c:pt>
                <c:pt idx="112">
                  <c:v>39934</c:v>
                </c:pt>
                <c:pt idx="113">
                  <c:v>39965</c:v>
                </c:pt>
                <c:pt idx="114">
                  <c:v>39995</c:v>
                </c:pt>
                <c:pt idx="115">
                  <c:v>40026</c:v>
                </c:pt>
                <c:pt idx="116">
                  <c:v>40057</c:v>
                </c:pt>
                <c:pt idx="117">
                  <c:v>40087</c:v>
                </c:pt>
                <c:pt idx="118">
                  <c:v>40118</c:v>
                </c:pt>
                <c:pt idx="119">
                  <c:v>40148</c:v>
                </c:pt>
                <c:pt idx="120">
                  <c:v>40179</c:v>
                </c:pt>
                <c:pt idx="121">
                  <c:v>40210</c:v>
                </c:pt>
                <c:pt idx="122">
                  <c:v>40238</c:v>
                </c:pt>
                <c:pt idx="123">
                  <c:v>40269</c:v>
                </c:pt>
                <c:pt idx="124">
                  <c:v>40299</c:v>
                </c:pt>
                <c:pt idx="125">
                  <c:v>40330</c:v>
                </c:pt>
                <c:pt idx="126">
                  <c:v>40360</c:v>
                </c:pt>
                <c:pt idx="127">
                  <c:v>40391</c:v>
                </c:pt>
                <c:pt idx="128">
                  <c:v>40422</c:v>
                </c:pt>
                <c:pt idx="129">
                  <c:v>40452</c:v>
                </c:pt>
                <c:pt idx="130">
                  <c:v>40483</c:v>
                </c:pt>
                <c:pt idx="131">
                  <c:v>40513</c:v>
                </c:pt>
                <c:pt idx="132">
                  <c:v>40544</c:v>
                </c:pt>
                <c:pt idx="133">
                  <c:v>40575</c:v>
                </c:pt>
                <c:pt idx="134">
                  <c:v>40603</c:v>
                </c:pt>
                <c:pt idx="135">
                  <c:v>40634</c:v>
                </c:pt>
                <c:pt idx="136">
                  <c:v>40664</c:v>
                </c:pt>
                <c:pt idx="137">
                  <c:v>40695</c:v>
                </c:pt>
                <c:pt idx="138">
                  <c:v>40725</c:v>
                </c:pt>
                <c:pt idx="139">
                  <c:v>40756</c:v>
                </c:pt>
                <c:pt idx="140">
                  <c:v>40787</c:v>
                </c:pt>
                <c:pt idx="141">
                  <c:v>40817</c:v>
                </c:pt>
                <c:pt idx="142">
                  <c:v>40848</c:v>
                </c:pt>
                <c:pt idx="143">
                  <c:v>40878</c:v>
                </c:pt>
                <c:pt idx="144">
                  <c:v>40909</c:v>
                </c:pt>
                <c:pt idx="145">
                  <c:v>40940</c:v>
                </c:pt>
                <c:pt idx="146">
                  <c:v>40969</c:v>
                </c:pt>
                <c:pt idx="147">
                  <c:v>41000</c:v>
                </c:pt>
                <c:pt idx="148">
                  <c:v>41030</c:v>
                </c:pt>
                <c:pt idx="149">
                  <c:v>41061</c:v>
                </c:pt>
                <c:pt idx="150">
                  <c:v>41091</c:v>
                </c:pt>
                <c:pt idx="151">
                  <c:v>41122</c:v>
                </c:pt>
                <c:pt idx="152">
                  <c:v>41153</c:v>
                </c:pt>
                <c:pt idx="153">
                  <c:v>41183</c:v>
                </c:pt>
                <c:pt idx="154">
                  <c:v>41214</c:v>
                </c:pt>
                <c:pt idx="155">
                  <c:v>41244</c:v>
                </c:pt>
                <c:pt idx="156">
                  <c:v>41275</c:v>
                </c:pt>
                <c:pt idx="157">
                  <c:v>41306</c:v>
                </c:pt>
                <c:pt idx="158">
                  <c:v>41334</c:v>
                </c:pt>
                <c:pt idx="159">
                  <c:v>41365</c:v>
                </c:pt>
                <c:pt idx="160">
                  <c:v>41395</c:v>
                </c:pt>
                <c:pt idx="161">
                  <c:v>41426</c:v>
                </c:pt>
                <c:pt idx="162">
                  <c:v>41456</c:v>
                </c:pt>
                <c:pt idx="163">
                  <c:v>41487</c:v>
                </c:pt>
                <c:pt idx="164">
                  <c:v>41518</c:v>
                </c:pt>
                <c:pt idx="165">
                  <c:v>41548</c:v>
                </c:pt>
                <c:pt idx="166">
                  <c:v>41579</c:v>
                </c:pt>
                <c:pt idx="167">
                  <c:v>41609</c:v>
                </c:pt>
                <c:pt idx="168">
                  <c:v>41640</c:v>
                </c:pt>
                <c:pt idx="169">
                  <c:v>41671</c:v>
                </c:pt>
                <c:pt idx="170">
                  <c:v>41699</c:v>
                </c:pt>
                <c:pt idx="171">
                  <c:v>41730</c:v>
                </c:pt>
                <c:pt idx="172">
                  <c:v>41760</c:v>
                </c:pt>
                <c:pt idx="173">
                  <c:v>41791</c:v>
                </c:pt>
                <c:pt idx="174">
                  <c:v>41821</c:v>
                </c:pt>
                <c:pt idx="175">
                  <c:v>41852</c:v>
                </c:pt>
                <c:pt idx="176">
                  <c:v>41883</c:v>
                </c:pt>
                <c:pt idx="177">
                  <c:v>41913</c:v>
                </c:pt>
                <c:pt idx="178">
                  <c:v>41944</c:v>
                </c:pt>
                <c:pt idx="179">
                  <c:v>41974</c:v>
                </c:pt>
                <c:pt idx="180">
                  <c:v>42005</c:v>
                </c:pt>
                <c:pt idx="181">
                  <c:v>42036</c:v>
                </c:pt>
                <c:pt idx="182">
                  <c:v>42064</c:v>
                </c:pt>
                <c:pt idx="183">
                  <c:v>42095</c:v>
                </c:pt>
                <c:pt idx="184">
                  <c:v>42125</c:v>
                </c:pt>
                <c:pt idx="185">
                  <c:v>42156</c:v>
                </c:pt>
                <c:pt idx="186">
                  <c:v>42186</c:v>
                </c:pt>
                <c:pt idx="187">
                  <c:v>42217</c:v>
                </c:pt>
                <c:pt idx="188">
                  <c:v>42248</c:v>
                </c:pt>
                <c:pt idx="189">
                  <c:v>42278</c:v>
                </c:pt>
                <c:pt idx="190">
                  <c:v>42309</c:v>
                </c:pt>
                <c:pt idx="191">
                  <c:v>42339</c:v>
                </c:pt>
                <c:pt idx="192">
                  <c:v>42370</c:v>
                </c:pt>
                <c:pt idx="193">
                  <c:v>42401</c:v>
                </c:pt>
                <c:pt idx="194">
                  <c:v>42430</c:v>
                </c:pt>
                <c:pt idx="195">
                  <c:v>42461</c:v>
                </c:pt>
                <c:pt idx="196">
                  <c:v>42491</c:v>
                </c:pt>
                <c:pt idx="197">
                  <c:v>42522</c:v>
                </c:pt>
                <c:pt idx="198">
                  <c:v>42552</c:v>
                </c:pt>
                <c:pt idx="199">
                  <c:v>42583</c:v>
                </c:pt>
                <c:pt idx="200">
                  <c:v>42614</c:v>
                </c:pt>
                <c:pt idx="201">
                  <c:v>42644</c:v>
                </c:pt>
                <c:pt idx="202">
                  <c:v>42675</c:v>
                </c:pt>
                <c:pt idx="203">
                  <c:v>42705</c:v>
                </c:pt>
                <c:pt idx="204">
                  <c:v>42736</c:v>
                </c:pt>
                <c:pt idx="205">
                  <c:v>42767</c:v>
                </c:pt>
                <c:pt idx="206">
                  <c:v>42795</c:v>
                </c:pt>
                <c:pt idx="207">
                  <c:v>42826</c:v>
                </c:pt>
                <c:pt idx="208">
                  <c:v>42856</c:v>
                </c:pt>
                <c:pt idx="209">
                  <c:v>42887</c:v>
                </c:pt>
                <c:pt idx="210">
                  <c:v>42917</c:v>
                </c:pt>
                <c:pt idx="211">
                  <c:v>42948</c:v>
                </c:pt>
                <c:pt idx="212">
                  <c:v>42979</c:v>
                </c:pt>
                <c:pt idx="213">
                  <c:v>43009</c:v>
                </c:pt>
                <c:pt idx="214">
                  <c:v>43040</c:v>
                </c:pt>
                <c:pt idx="215">
                  <c:v>43070</c:v>
                </c:pt>
                <c:pt idx="216">
                  <c:v>43101</c:v>
                </c:pt>
                <c:pt idx="217">
                  <c:v>43132</c:v>
                </c:pt>
                <c:pt idx="218">
                  <c:v>43160</c:v>
                </c:pt>
                <c:pt idx="219">
                  <c:v>43191</c:v>
                </c:pt>
                <c:pt idx="220">
                  <c:v>43221</c:v>
                </c:pt>
                <c:pt idx="221">
                  <c:v>43252</c:v>
                </c:pt>
                <c:pt idx="222">
                  <c:v>43282</c:v>
                </c:pt>
                <c:pt idx="223">
                  <c:v>43313</c:v>
                </c:pt>
                <c:pt idx="224">
                  <c:v>43344</c:v>
                </c:pt>
                <c:pt idx="225">
                  <c:v>43374</c:v>
                </c:pt>
                <c:pt idx="226">
                  <c:v>43405</c:v>
                </c:pt>
                <c:pt idx="227">
                  <c:v>43435</c:v>
                </c:pt>
                <c:pt idx="228">
                  <c:v>43466</c:v>
                </c:pt>
                <c:pt idx="229">
                  <c:v>43497</c:v>
                </c:pt>
                <c:pt idx="230">
                  <c:v>43525</c:v>
                </c:pt>
                <c:pt idx="231">
                  <c:v>43556</c:v>
                </c:pt>
                <c:pt idx="232">
                  <c:v>43586</c:v>
                </c:pt>
                <c:pt idx="233">
                  <c:v>43617</c:v>
                </c:pt>
                <c:pt idx="234">
                  <c:v>43647</c:v>
                </c:pt>
                <c:pt idx="235">
                  <c:v>43678</c:v>
                </c:pt>
                <c:pt idx="236">
                  <c:v>43709</c:v>
                </c:pt>
                <c:pt idx="237">
                  <c:v>43739</c:v>
                </c:pt>
                <c:pt idx="238">
                  <c:v>43770</c:v>
                </c:pt>
                <c:pt idx="239">
                  <c:v>43800</c:v>
                </c:pt>
                <c:pt idx="240">
                  <c:v>43831</c:v>
                </c:pt>
                <c:pt idx="241">
                  <c:v>43862</c:v>
                </c:pt>
                <c:pt idx="242">
                  <c:v>43891</c:v>
                </c:pt>
                <c:pt idx="243">
                  <c:v>43922</c:v>
                </c:pt>
                <c:pt idx="244">
                  <c:v>43952</c:v>
                </c:pt>
                <c:pt idx="245">
                  <c:v>43983</c:v>
                </c:pt>
                <c:pt idx="246">
                  <c:v>44013</c:v>
                </c:pt>
                <c:pt idx="247">
                  <c:v>44044</c:v>
                </c:pt>
                <c:pt idx="248">
                  <c:v>44075</c:v>
                </c:pt>
                <c:pt idx="249">
                  <c:v>44105</c:v>
                </c:pt>
                <c:pt idx="250">
                  <c:v>44136</c:v>
                </c:pt>
                <c:pt idx="251">
                  <c:v>44166</c:v>
                </c:pt>
                <c:pt idx="252">
                  <c:v>44197</c:v>
                </c:pt>
                <c:pt idx="253">
                  <c:v>44228</c:v>
                </c:pt>
                <c:pt idx="254">
                  <c:v>44256</c:v>
                </c:pt>
                <c:pt idx="255">
                  <c:v>44287</c:v>
                </c:pt>
                <c:pt idx="256">
                  <c:v>44317</c:v>
                </c:pt>
                <c:pt idx="257">
                  <c:v>44348</c:v>
                </c:pt>
                <c:pt idx="258">
                  <c:v>44378</c:v>
                </c:pt>
                <c:pt idx="259">
                  <c:v>44409</c:v>
                </c:pt>
                <c:pt idx="260">
                  <c:v>44440</c:v>
                </c:pt>
                <c:pt idx="261">
                  <c:v>44470</c:v>
                </c:pt>
                <c:pt idx="262">
                  <c:v>44501</c:v>
                </c:pt>
                <c:pt idx="263">
                  <c:v>44531</c:v>
                </c:pt>
              </c:numCache>
            </c:numRef>
          </c:cat>
          <c:val>
            <c:numRef>
              <c:f>'palmer index'!$E$5:$E$268</c:f>
              <c:numCache>
                <c:formatCode>General</c:formatCode>
                <c:ptCount val="264"/>
                <c:pt idx="0">
                  <c:v>-3.04</c:v>
                </c:pt>
                <c:pt idx="1">
                  <c:v>-3.15</c:v>
                </c:pt>
                <c:pt idx="2">
                  <c:v>-3.28</c:v>
                </c:pt>
                <c:pt idx="3">
                  <c:v>-2.06</c:v>
                </c:pt>
                <c:pt idx="4">
                  <c:v>-1.92</c:v>
                </c:pt>
                <c:pt idx="5">
                  <c:v>-1.61</c:v>
                </c:pt>
                <c:pt idx="6">
                  <c:v>-1.92</c:v>
                </c:pt>
                <c:pt idx="7">
                  <c:v>-2.2599999999999998</c:v>
                </c:pt>
                <c:pt idx="8">
                  <c:v>-2.14</c:v>
                </c:pt>
                <c:pt idx="9">
                  <c:v>-3.09</c:v>
                </c:pt>
                <c:pt idx="10">
                  <c:v>-2.74</c:v>
                </c:pt>
                <c:pt idx="11">
                  <c:v>-2.76</c:v>
                </c:pt>
                <c:pt idx="12">
                  <c:v>-2.77</c:v>
                </c:pt>
                <c:pt idx="13">
                  <c:v>-1.87</c:v>
                </c:pt>
                <c:pt idx="14">
                  <c:v>-2.2400000000000002</c:v>
                </c:pt>
                <c:pt idx="15">
                  <c:v>-2.74</c:v>
                </c:pt>
                <c:pt idx="16">
                  <c:v>-0.02</c:v>
                </c:pt>
                <c:pt idx="17">
                  <c:v>0.28999999999999998</c:v>
                </c:pt>
                <c:pt idx="18">
                  <c:v>0.52</c:v>
                </c:pt>
                <c:pt idx="19">
                  <c:v>0.82</c:v>
                </c:pt>
                <c:pt idx="20">
                  <c:v>0.96</c:v>
                </c:pt>
                <c:pt idx="21">
                  <c:v>1.6</c:v>
                </c:pt>
                <c:pt idx="22">
                  <c:v>1.98</c:v>
                </c:pt>
                <c:pt idx="23">
                  <c:v>1.92</c:v>
                </c:pt>
                <c:pt idx="24">
                  <c:v>2.16</c:v>
                </c:pt>
                <c:pt idx="25">
                  <c:v>1.1399999999999999</c:v>
                </c:pt>
                <c:pt idx="26">
                  <c:v>2.2200000000000002</c:v>
                </c:pt>
                <c:pt idx="27">
                  <c:v>-0.89</c:v>
                </c:pt>
                <c:pt idx="28">
                  <c:v>-0.37</c:v>
                </c:pt>
                <c:pt idx="29">
                  <c:v>-0.91</c:v>
                </c:pt>
                <c:pt idx="30">
                  <c:v>-1.1399999999999999</c:v>
                </c:pt>
                <c:pt idx="31">
                  <c:v>-1.36</c:v>
                </c:pt>
                <c:pt idx="32">
                  <c:v>1.1399999999999999</c:v>
                </c:pt>
                <c:pt idx="33">
                  <c:v>1.88</c:v>
                </c:pt>
                <c:pt idx="34">
                  <c:v>1.97</c:v>
                </c:pt>
                <c:pt idx="35">
                  <c:v>2.3199999999999998</c:v>
                </c:pt>
                <c:pt idx="36">
                  <c:v>1.36</c:v>
                </c:pt>
                <c:pt idx="37">
                  <c:v>2.82</c:v>
                </c:pt>
                <c:pt idx="38">
                  <c:v>1.5</c:v>
                </c:pt>
                <c:pt idx="39">
                  <c:v>1.54</c:v>
                </c:pt>
                <c:pt idx="40">
                  <c:v>3.14</c:v>
                </c:pt>
                <c:pt idx="41">
                  <c:v>3.46</c:v>
                </c:pt>
                <c:pt idx="42">
                  <c:v>3.8</c:v>
                </c:pt>
                <c:pt idx="43">
                  <c:v>3.91</c:v>
                </c:pt>
                <c:pt idx="44">
                  <c:v>4.57</c:v>
                </c:pt>
                <c:pt idx="45">
                  <c:v>4.05</c:v>
                </c:pt>
                <c:pt idx="46">
                  <c:v>4.2</c:v>
                </c:pt>
                <c:pt idx="47">
                  <c:v>3.53</c:v>
                </c:pt>
                <c:pt idx="48">
                  <c:v>2.73</c:v>
                </c:pt>
                <c:pt idx="49">
                  <c:v>2.58</c:v>
                </c:pt>
                <c:pt idx="50">
                  <c:v>1.97</c:v>
                </c:pt>
                <c:pt idx="51">
                  <c:v>1.98</c:v>
                </c:pt>
                <c:pt idx="52">
                  <c:v>1.88</c:v>
                </c:pt>
                <c:pt idx="53">
                  <c:v>2.4300000000000002</c:v>
                </c:pt>
                <c:pt idx="54">
                  <c:v>2.54</c:v>
                </c:pt>
                <c:pt idx="55">
                  <c:v>2.85</c:v>
                </c:pt>
                <c:pt idx="56">
                  <c:v>3.09</c:v>
                </c:pt>
                <c:pt idx="57">
                  <c:v>3.67</c:v>
                </c:pt>
                <c:pt idx="58">
                  <c:v>4.18</c:v>
                </c:pt>
                <c:pt idx="59">
                  <c:v>4.32</c:v>
                </c:pt>
                <c:pt idx="60">
                  <c:v>-0.26</c:v>
                </c:pt>
                <c:pt idx="61">
                  <c:v>-0.48</c:v>
                </c:pt>
                <c:pt idx="62">
                  <c:v>-1.06</c:v>
                </c:pt>
                <c:pt idx="63">
                  <c:v>-0.35</c:v>
                </c:pt>
                <c:pt idx="64">
                  <c:v>-1.0900000000000001</c:v>
                </c:pt>
                <c:pt idx="65">
                  <c:v>0.02</c:v>
                </c:pt>
                <c:pt idx="66">
                  <c:v>0.25</c:v>
                </c:pt>
                <c:pt idx="67">
                  <c:v>0.91</c:v>
                </c:pt>
                <c:pt idx="68">
                  <c:v>-0.36</c:v>
                </c:pt>
                <c:pt idx="69">
                  <c:v>-1.22</c:v>
                </c:pt>
                <c:pt idx="70">
                  <c:v>-1.53</c:v>
                </c:pt>
                <c:pt idx="71">
                  <c:v>-1.96</c:v>
                </c:pt>
                <c:pt idx="72">
                  <c:v>-1.48</c:v>
                </c:pt>
                <c:pt idx="73">
                  <c:v>-1.85</c:v>
                </c:pt>
                <c:pt idx="74">
                  <c:v>-2.42</c:v>
                </c:pt>
                <c:pt idx="75">
                  <c:v>-2.0499999999999998</c:v>
                </c:pt>
                <c:pt idx="76">
                  <c:v>-1.86</c:v>
                </c:pt>
                <c:pt idx="77">
                  <c:v>-1.82</c:v>
                </c:pt>
                <c:pt idx="78">
                  <c:v>-1.97</c:v>
                </c:pt>
                <c:pt idx="79">
                  <c:v>-1.82</c:v>
                </c:pt>
                <c:pt idx="80">
                  <c:v>-1.1299999999999999</c:v>
                </c:pt>
                <c:pt idx="81">
                  <c:v>-0.62</c:v>
                </c:pt>
                <c:pt idx="82">
                  <c:v>-0.56999999999999995</c:v>
                </c:pt>
                <c:pt idx="83">
                  <c:v>-0.95</c:v>
                </c:pt>
                <c:pt idx="84">
                  <c:v>-1.1200000000000001</c:v>
                </c:pt>
                <c:pt idx="85">
                  <c:v>-1.74</c:v>
                </c:pt>
                <c:pt idx="86">
                  <c:v>-2.89</c:v>
                </c:pt>
                <c:pt idx="87">
                  <c:v>-2.71</c:v>
                </c:pt>
                <c:pt idx="88">
                  <c:v>-3.42</c:v>
                </c:pt>
                <c:pt idx="89">
                  <c:v>-3.7</c:v>
                </c:pt>
                <c:pt idx="90">
                  <c:v>-3.8</c:v>
                </c:pt>
                <c:pt idx="91">
                  <c:v>-4.96</c:v>
                </c:pt>
                <c:pt idx="92">
                  <c:v>-4.96</c:v>
                </c:pt>
                <c:pt idx="93">
                  <c:v>-4.24</c:v>
                </c:pt>
                <c:pt idx="94">
                  <c:v>-4.18</c:v>
                </c:pt>
                <c:pt idx="95">
                  <c:v>-4.01</c:v>
                </c:pt>
                <c:pt idx="96">
                  <c:v>-3.99</c:v>
                </c:pt>
                <c:pt idx="97">
                  <c:v>-3.84</c:v>
                </c:pt>
                <c:pt idx="98">
                  <c:v>-3.11</c:v>
                </c:pt>
                <c:pt idx="99">
                  <c:v>-2.2599999999999998</c:v>
                </c:pt>
                <c:pt idx="100">
                  <c:v>-1.75</c:v>
                </c:pt>
                <c:pt idx="101">
                  <c:v>-2.17</c:v>
                </c:pt>
                <c:pt idx="102">
                  <c:v>-2.23</c:v>
                </c:pt>
                <c:pt idx="103">
                  <c:v>-2.2000000000000002</c:v>
                </c:pt>
                <c:pt idx="104">
                  <c:v>-2.91</c:v>
                </c:pt>
                <c:pt idx="105">
                  <c:v>-2.63</c:v>
                </c:pt>
                <c:pt idx="106">
                  <c:v>-2.94</c:v>
                </c:pt>
                <c:pt idx="107">
                  <c:v>-1.8</c:v>
                </c:pt>
                <c:pt idx="108">
                  <c:v>-1.68</c:v>
                </c:pt>
                <c:pt idx="109">
                  <c:v>-2.19</c:v>
                </c:pt>
                <c:pt idx="110">
                  <c:v>-2.3199999999999998</c:v>
                </c:pt>
                <c:pt idx="111">
                  <c:v>0</c:v>
                </c:pt>
                <c:pt idx="112">
                  <c:v>1.31</c:v>
                </c:pt>
                <c:pt idx="113">
                  <c:v>1.01</c:v>
                </c:pt>
                <c:pt idx="114">
                  <c:v>2.09</c:v>
                </c:pt>
                <c:pt idx="115">
                  <c:v>2.04</c:v>
                </c:pt>
                <c:pt idx="116">
                  <c:v>3.28</c:v>
                </c:pt>
                <c:pt idx="117">
                  <c:v>4.71</c:v>
                </c:pt>
                <c:pt idx="118">
                  <c:v>-0.55000000000000004</c:v>
                </c:pt>
                <c:pt idx="119">
                  <c:v>0.38</c:v>
                </c:pt>
                <c:pt idx="120">
                  <c:v>0.49</c:v>
                </c:pt>
                <c:pt idx="121">
                  <c:v>-0.41</c:v>
                </c:pt>
                <c:pt idx="122">
                  <c:v>-0.83</c:v>
                </c:pt>
                <c:pt idx="123">
                  <c:v>-1.39</c:v>
                </c:pt>
                <c:pt idx="124">
                  <c:v>1.39</c:v>
                </c:pt>
                <c:pt idx="125">
                  <c:v>-0.43</c:v>
                </c:pt>
                <c:pt idx="126">
                  <c:v>-0.67</c:v>
                </c:pt>
                <c:pt idx="127">
                  <c:v>-0.63</c:v>
                </c:pt>
                <c:pt idx="128">
                  <c:v>-1.23</c:v>
                </c:pt>
                <c:pt idx="129">
                  <c:v>-1.34</c:v>
                </c:pt>
                <c:pt idx="130">
                  <c:v>-1</c:v>
                </c:pt>
                <c:pt idx="131">
                  <c:v>-1.36</c:v>
                </c:pt>
                <c:pt idx="132">
                  <c:v>-1.66</c:v>
                </c:pt>
                <c:pt idx="133">
                  <c:v>-1.7</c:v>
                </c:pt>
                <c:pt idx="134">
                  <c:v>0.42</c:v>
                </c:pt>
                <c:pt idx="135">
                  <c:v>2.23</c:v>
                </c:pt>
                <c:pt idx="136">
                  <c:v>2.23</c:v>
                </c:pt>
                <c:pt idx="137">
                  <c:v>2.5499999999999998</c:v>
                </c:pt>
                <c:pt idx="138">
                  <c:v>1.71</c:v>
                </c:pt>
                <c:pt idx="139">
                  <c:v>0.6</c:v>
                </c:pt>
                <c:pt idx="140">
                  <c:v>1.61</c:v>
                </c:pt>
                <c:pt idx="141">
                  <c:v>1.47</c:v>
                </c:pt>
                <c:pt idx="142">
                  <c:v>2.36</c:v>
                </c:pt>
                <c:pt idx="143">
                  <c:v>2.5299999999999998</c:v>
                </c:pt>
                <c:pt idx="144">
                  <c:v>-0.09</c:v>
                </c:pt>
                <c:pt idx="145">
                  <c:v>-0.74</c:v>
                </c:pt>
                <c:pt idx="146">
                  <c:v>-1.28</c:v>
                </c:pt>
                <c:pt idx="147">
                  <c:v>-2.15</c:v>
                </c:pt>
                <c:pt idx="148">
                  <c:v>-2.65</c:v>
                </c:pt>
                <c:pt idx="149">
                  <c:v>-3.12</c:v>
                </c:pt>
                <c:pt idx="150">
                  <c:v>-2.82</c:v>
                </c:pt>
                <c:pt idx="151">
                  <c:v>-2.7</c:v>
                </c:pt>
                <c:pt idx="152">
                  <c:v>0.79</c:v>
                </c:pt>
                <c:pt idx="153">
                  <c:v>1.25</c:v>
                </c:pt>
                <c:pt idx="154">
                  <c:v>0.53</c:v>
                </c:pt>
                <c:pt idx="155">
                  <c:v>0.73</c:v>
                </c:pt>
                <c:pt idx="156">
                  <c:v>1.62</c:v>
                </c:pt>
                <c:pt idx="157">
                  <c:v>0.91</c:v>
                </c:pt>
                <c:pt idx="158">
                  <c:v>0.83</c:v>
                </c:pt>
                <c:pt idx="159">
                  <c:v>2.08</c:v>
                </c:pt>
                <c:pt idx="160">
                  <c:v>2.35</c:v>
                </c:pt>
                <c:pt idx="161">
                  <c:v>2.83</c:v>
                </c:pt>
                <c:pt idx="162">
                  <c:v>3.77</c:v>
                </c:pt>
                <c:pt idx="163">
                  <c:v>3.92</c:v>
                </c:pt>
                <c:pt idx="164">
                  <c:v>3.8</c:v>
                </c:pt>
                <c:pt idx="165">
                  <c:v>3.17</c:v>
                </c:pt>
                <c:pt idx="166">
                  <c:v>2.85</c:v>
                </c:pt>
                <c:pt idx="167">
                  <c:v>3.16</c:v>
                </c:pt>
                <c:pt idx="168">
                  <c:v>2.27</c:v>
                </c:pt>
                <c:pt idx="169">
                  <c:v>2.2200000000000002</c:v>
                </c:pt>
                <c:pt idx="170">
                  <c:v>1.61</c:v>
                </c:pt>
                <c:pt idx="171">
                  <c:v>1.92</c:v>
                </c:pt>
                <c:pt idx="172">
                  <c:v>1.18</c:v>
                </c:pt>
                <c:pt idx="173">
                  <c:v>2.06</c:v>
                </c:pt>
                <c:pt idx="174">
                  <c:v>2.0499999999999998</c:v>
                </c:pt>
                <c:pt idx="175">
                  <c:v>2.58</c:v>
                </c:pt>
                <c:pt idx="176">
                  <c:v>2.0299999999999998</c:v>
                </c:pt>
                <c:pt idx="177">
                  <c:v>3.28</c:v>
                </c:pt>
                <c:pt idx="178">
                  <c:v>2.97</c:v>
                </c:pt>
                <c:pt idx="179">
                  <c:v>2.59</c:v>
                </c:pt>
                <c:pt idx="180">
                  <c:v>1.76</c:v>
                </c:pt>
                <c:pt idx="181">
                  <c:v>1.63</c:v>
                </c:pt>
                <c:pt idx="182">
                  <c:v>1.43</c:v>
                </c:pt>
                <c:pt idx="183">
                  <c:v>1.75</c:v>
                </c:pt>
                <c:pt idx="184">
                  <c:v>1.24</c:v>
                </c:pt>
                <c:pt idx="185">
                  <c:v>1.33</c:v>
                </c:pt>
                <c:pt idx="186">
                  <c:v>1.98</c:v>
                </c:pt>
                <c:pt idx="187">
                  <c:v>2.4</c:v>
                </c:pt>
                <c:pt idx="188">
                  <c:v>2.0299999999999998</c:v>
                </c:pt>
                <c:pt idx="189">
                  <c:v>2.23</c:v>
                </c:pt>
                <c:pt idx="190">
                  <c:v>2.68</c:v>
                </c:pt>
                <c:pt idx="191">
                  <c:v>3.09</c:v>
                </c:pt>
                <c:pt idx="192">
                  <c:v>-0.56000000000000005</c:v>
                </c:pt>
                <c:pt idx="193">
                  <c:v>-0.21</c:v>
                </c:pt>
                <c:pt idx="194">
                  <c:v>-0.47</c:v>
                </c:pt>
                <c:pt idx="195">
                  <c:v>-0.95</c:v>
                </c:pt>
                <c:pt idx="196">
                  <c:v>-1</c:v>
                </c:pt>
                <c:pt idx="197">
                  <c:v>-0.99</c:v>
                </c:pt>
                <c:pt idx="198">
                  <c:v>-0.86</c:v>
                </c:pt>
                <c:pt idx="199">
                  <c:v>-0.36</c:v>
                </c:pt>
                <c:pt idx="200">
                  <c:v>-1.08</c:v>
                </c:pt>
                <c:pt idx="201">
                  <c:v>-2.13</c:v>
                </c:pt>
                <c:pt idx="202">
                  <c:v>-2.67</c:v>
                </c:pt>
                <c:pt idx="203">
                  <c:v>-2.0299999999999998</c:v>
                </c:pt>
                <c:pt idx="204">
                  <c:v>-2.13</c:v>
                </c:pt>
                <c:pt idx="205">
                  <c:v>-2.84</c:v>
                </c:pt>
                <c:pt idx="206">
                  <c:v>0.02</c:v>
                </c:pt>
                <c:pt idx="207">
                  <c:v>0.56000000000000005</c:v>
                </c:pt>
                <c:pt idx="208">
                  <c:v>1</c:v>
                </c:pt>
                <c:pt idx="209">
                  <c:v>1.1299999999999999</c:v>
                </c:pt>
                <c:pt idx="210">
                  <c:v>1.42</c:v>
                </c:pt>
                <c:pt idx="211">
                  <c:v>2.0099999999999998</c:v>
                </c:pt>
                <c:pt idx="212">
                  <c:v>2.31</c:v>
                </c:pt>
                <c:pt idx="213">
                  <c:v>2.9</c:v>
                </c:pt>
                <c:pt idx="214">
                  <c:v>2.31</c:v>
                </c:pt>
                <c:pt idx="215">
                  <c:v>2.06</c:v>
                </c:pt>
                <c:pt idx="216">
                  <c:v>1.24</c:v>
                </c:pt>
                <c:pt idx="217">
                  <c:v>2.84</c:v>
                </c:pt>
                <c:pt idx="218">
                  <c:v>2.63</c:v>
                </c:pt>
                <c:pt idx="219">
                  <c:v>3.17</c:v>
                </c:pt>
                <c:pt idx="220">
                  <c:v>2.73</c:v>
                </c:pt>
                <c:pt idx="221">
                  <c:v>3.01</c:v>
                </c:pt>
                <c:pt idx="222">
                  <c:v>2.41</c:v>
                </c:pt>
                <c:pt idx="223">
                  <c:v>2.44</c:v>
                </c:pt>
                <c:pt idx="224">
                  <c:v>3.4</c:v>
                </c:pt>
                <c:pt idx="225">
                  <c:v>3.42</c:v>
                </c:pt>
                <c:pt idx="226">
                  <c:v>3.78</c:v>
                </c:pt>
                <c:pt idx="227">
                  <c:v>4.1100000000000003</c:v>
                </c:pt>
                <c:pt idx="228">
                  <c:v>3.9</c:v>
                </c:pt>
                <c:pt idx="229">
                  <c:v>5.7</c:v>
                </c:pt>
                <c:pt idx="230">
                  <c:v>4.78</c:v>
                </c:pt>
                <c:pt idx="231">
                  <c:v>4.75</c:v>
                </c:pt>
                <c:pt idx="232">
                  <c:v>3.83</c:v>
                </c:pt>
                <c:pt idx="233">
                  <c:v>4.4000000000000004</c:v>
                </c:pt>
                <c:pt idx="234">
                  <c:v>4.6900000000000004</c:v>
                </c:pt>
                <c:pt idx="235">
                  <c:v>4.54</c:v>
                </c:pt>
                <c:pt idx="236">
                  <c:v>2.92</c:v>
                </c:pt>
                <c:pt idx="237">
                  <c:v>3.94</c:v>
                </c:pt>
                <c:pt idx="238">
                  <c:v>4</c:v>
                </c:pt>
                <c:pt idx="239">
                  <c:v>3.92</c:v>
                </c:pt>
                <c:pt idx="240">
                  <c:v>3.93</c:v>
                </c:pt>
                <c:pt idx="241">
                  <c:v>4.88</c:v>
                </c:pt>
                <c:pt idx="242">
                  <c:v>5.03</c:v>
                </c:pt>
                <c:pt idx="243">
                  <c:v>5.43</c:v>
                </c:pt>
                <c:pt idx="244">
                  <c:v>5.03</c:v>
                </c:pt>
                <c:pt idx="245">
                  <c:v>4.54</c:v>
                </c:pt>
                <c:pt idx="246">
                  <c:v>4.1500000000000004</c:v>
                </c:pt>
                <c:pt idx="247">
                  <c:v>4.6399999999999997</c:v>
                </c:pt>
                <c:pt idx="248">
                  <c:v>4.62</c:v>
                </c:pt>
                <c:pt idx="249">
                  <c:v>4.96</c:v>
                </c:pt>
                <c:pt idx="250">
                  <c:v>3.85</c:v>
                </c:pt>
                <c:pt idx="251">
                  <c:v>3.45</c:v>
                </c:pt>
                <c:pt idx="252">
                  <c:v>2.62</c:v>
                </c:pt>
                <c:pt idx="253">
                  <c:v>2.52</c:v>
                </c:pt>
                <c:pt idx="254">
                  <c:v>3.61</c:v>
                </c:pt>
                <c:pt idx="255">
                  <c:v>2.72</c:v>
                </c:pt>
                <c:pt idx="256">
                  <c:v>2.5099999999999998</c:v>
                </c:pt>
                <c:pt idx="257">
                  <c:v>2.4900000000000002</c:v>
                </c:pt>
                <c:pt idx="258">
                  <c:v>2.58</c:v>
                </c:pt>
                <c:pt idx="259">
                  <c:v>3.81</c:v>
                </c:pt>
                <c:pt idx="260">
                  <c:v>4.21</c:v>
                </c:pt>
                <c:pt idx="261">
                  <c:v>4.71</c:v>
                </c:pt>
                <c:pt idx="262">
                  <c:v>3.7</c:v>
                </c:pt>
                <c:pt idx="263">
                  <c:v>3.05</c:v>
                </c:pt>
              </c:numCache>
            </c:numRef>
          </c:val>
          <c:extLst>
            <c:ext xmlns:c16="http://schemas.microsoft.com/office/drawing/2014/chart" uri="{C3380CC4-5D6E-409C-BE32-E72D297353CC}">
              <c16:uniqueId val="{00000000-E674-45F4-9808-CE5847B428E5}"/>
            </c:ext>
          </c:extLst>
        </c:ser>
        <c:dLbls>
          <c:showLegendKey val="0"/>
          <c:showVal val="0"/>
          <c:showCatName val="0"/>
          <c:showSerName val="0"/>
          <c:showPercent val="0"/>
          <c:showBubbleSize val="0"/>
        </c:dLbls>
        <c:axId val="82984207"/>
        <c:axId val="82981711"/>
      </c:areaChart>
      <c:dateAx>
        <c:axId val="8298420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2981711"/>
        <c:crosses val="autoZero"/>
        <c:auto val="1"/>
        <c:lblOffset val="100"/>
        <c:baseTimeUnit val="months"/>
      </c:dateAx>
      <c:valAx>
        <c:axId val="82981711"/>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Palmer Drought Severity Index</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2984207"/>
        <c:crosses val="autoZero"/>
        <c:crossBetween val="midCat"/>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Sheet1!$D$2</c:f>
              <c:strCache>
                <c:ptCount val="1"/>
                <c:pt idx="0">
                  <c:v>2000-2021 Average</c:v>
                </c:pt>
              </c:strCache>
            </c:strRef>
          </c:tx>
          <c:spPr>
            <a:solidFill>
              <a:schemeClr val="accent1"/>
            </a:solidFill>
            <a:ln>
              <a:noFill/>
            </a:ln>
            <a:effectLst/>
          </c:spPr>
          <c:invertIfNegative val="0"/>
          <c:cat>
            <c:strRef>
              <c:f>Sheet1!$C$3:$C$6</c:f>
              <c:strCache>
                <c:ptCount val="4"/>
                <c:pt idx="0">
                  <c:v>May</c:v>
                </c:pt>
                <c:pt idx="1">
                  <c:v>June</c:v>
                </c:pt>
                <c:pt idx="2">
                  <c:v>July</c:v>
                </c:pt>
                <c:pt idx="3">
                  <c:v>August</c:v>
                </c:pt>
              </c:strCache>
            </c:strRef>
          </c:cat>
          <c:val>
            <c:numRef>
              <c:f>Sheet1!$D$3:$D$6</c:f>
              <c:numCache>
                <c:formatCode>0.000</c:formatCode>
                <c:ptCount val="4"/>
                <c:pt idx="0">
                  <c:v>0.71545454545454545</c:v>
                </c:pt>
                <c:pt idx="1">
                  <c:v>0.76363636363636356</c:v>
                </c:pt>
                <c:pt idx="2">
                  <c:v>0.84318181818181825</c:v>
                </c:pt>
                <c:pt idx="3">
                  <c:v>0.96272727272727276</c:v>
                </c:pt>
              </c:numCache>
            </c:numRef>
          </c:val>
          <c:extLst>
            <c:ext xmlns:c16="http://schemas.microsoft.com/office/drawing/2014/chart" uri="{C3380CC4-5D6E-409C-BE32-E72D297353CC}">
              <c16:uniqueId val="{00000000-C4BC-4852-9F45-81337D4538F3}"/>
            </c:ext>
          </c:extLst>
        </c:ser>
        <c:ser>
          <c:idx val="1"/>
          <c:order val="1"/>
          <c:tx>
            <c:strRef>
              <c:f>Sheet1!$E$2</c:f>
              <c:strCache>
                <c:ptCount val="1"/>
                <c:pt idx="0">
                  <c:v>2017</c:v>
                </c:pt>
              </c:strCache>
            </c:strRef>
          </c:tx>
          <c:spPr>
            <a:solidFill>
              <a:schemeClr val="accent2"/>
            </a:solidFill>
            <a:ln>
              <a:noFill/>
            </a:ln>
            <a:effectLst/>
          </c:spPr>
          <c:invertIfNegative val="0"/>
          <c:cat>
            <c:strRef>
              <c:f>Sheet1!$C$3:$C$6</c:f>
              <c:strCache>
                <c:ptCount val="4"/>
                <c:pt idx="0">
                  <c:v>May</c:v>
                </c:pt>
                <c:pt idx="1">
                  <c:v>June</c:v>
                </c:pt>
                <c:pt idx="2">
                  <c:v>July</c:v>
                </c:pt>
                <c:pt idx="3">
                  <c:v>August</c:v>
                </c:pt>
              </c:strCache>
            </c:strRef>
          </c:cat>
          <c:val>
            <c:numRef>
              <c:f>Sheet1!$E$3:$E$6</c:f>
              <c:numCache>
                <c:formatCode>General</c:formatCode>
                <c:ptCount val="4"/>
                <c:pt idx="0">
                  <c:v>1</c:v>
                </c:pt>
                <c:pt idx="1">
                  <c:v>1.1299999999999999</c:v>
                </c:pt>
                <c:pt idx="2">
                  <c:v>1.42</c:v>
                </c:pt>
                <c:pt idx="3">
                  <c:v>2.0099999999999998</c:v>
                </c:pt>
              </c:numCache>
            </c:numRef>
          </c:val>
          <c:extLst>
            <c:ext xmlns:c16="http://schemas.microsoft.com/office/drawing/2014/chart" uri="{C3380CC4-5D6E-409C-BE32-E72D297353CC}">
              <c16:uniqueId val="{00000001-C4BC-4852-9F45-81337D4538F3}"/>
            </c:ext>
          </c:extLst>
        </c:ser>
        <c:dLbls>
          <c:showLegendKey val="0"/>
          <c:showVal val="0"/>
          <c:showCatName val="0"/>
          <c:showSerName val="0"/>
          <c:showPercent val="0"/>
          <c:showBubbleSize val="0"/>
        </c:dLbls>
        <c:gapWidth val="219"/>
        <c:overlap val="-27"/>
        <c:axId val="1570342287"/>
        <c:axId val="1570348527"/>
      </c:barChart>
      <c:catAx>
        <c:axId val="1570342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70348527"/>
        <c:crosses val="autoZero"/>
        <c:auto val="1"/>
        <c:lblAlgn val="ctr"/>
        <c:lblOffset val="100"/>
        <c:noMultiLvlLbl val="0"/>
      </c:catAx>
      <c:valAx>
        <c:axId val="15703485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Palmer 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70342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Chris</dc:creator>
  <cp:keywords/>
  <dc:description/>
  <cp:lastModifiedBy>Boyer, Chris</cp:lastModifiedBy>
  <cp:revision>3</cp:revision>
  <dcterms:created xsi:type="dcterms:W3CDTF">2022-02-23T14:04:00Z</dcterms:created>
  <dcterms:modified xsi:type="dcterms:W3CDTF">2022-03-22T16:46:00Z</dcterms:modified>
</cp:coreProperties>
</file>