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B3B7C" w14:textId="77777777" w:rsidR="004C69FD" w:rsidRPr="00D23537" w:rsidRDefault="004C69FD">
      <w:pPr>
        <w:rPr>
          <w:rFonts w:ascii="Times New Roman" w:hAnsi="Times New Roman" w:cs="Times New Roman"/>
          <w:b/>
          <w:bCs/>
          <w:i/>
          <w:iCs/>
        </w:rPr>
      </w:pPr>
      <w:r w:rsidRPr="00D23537">
        <w:rPr>
          <w:rFonts w:ascii="Times New Roman" w:hAnsi="Times New Roman" w:cs="Times New Roman"/>
          <w:b/>
          <w:bCs/>
          <w:i/>
          <w:iCs/>
        </w:rPr>
        <w:t>Technical Appendix</w:t>
      </w:r>
      <w:r w:rsidR="00B178C3" w:rsidRPr="00D23537">
        <w:rPr>
          <w:rFonts w:ascii="Times New Roman" w:hAnsi="Times New Roman" w:cs="Times New Roman"/>
          <w:b/>
          <w:bCs/>
          <w:i/>
          <w:iCs/>
        </w:rPr>
        <w:t xml:space="preserve">: </w:t>
      </w:r>
      <w:r w:rsidRPr="00D23537">
        <w:rPr>
          <w:rFonts w:ascii="Times New Roman" w:hAnsi="Times New Roman" w:cs="Times New Roman"/>
          <w:b/>
          <w:bCs/>
          <w:i/>
          <w:iCs/>
        </w:rPr>
        <w:t>Van Slyke Cheese Yield Formula</w:t>
      </w:r>
    </w:p>
    <w:p w14:paraId="7BBFE258" w14:textId="1473439F" w:rsidR="00B178C3" w:rsidRPr="00D23537" w:rsidRDefault="004C69FD">
      <w:pPr>
        <w:rPr>
          <w:rFonts w:ascii="Times New Roman" w:hAnsi="Times New Roman" w:cs="Times New Roman"/>
        </w:rPr>
      </w:pPr>
      <w:r w:rsidRPr="00D23537">
        <w:rPr>
          <w:rFonts w:ascii="Times New Roman" w:hAnsi="Times New Roman" w:cs="Times New Roman"/>
        </w:rPr>
        <w:t>This technical appendix details the d</w:t>
      </w:r>
      <w:r w:rsidR="00B178C3" w:rsidRPr="00D23537">
        <w:rPr>
          <w:rFonts w:ascii="Times New Roman" w:hAnsi="Times New Roman" w:cs="Times New Roman"/>
        </w:rPr>
        <w:t xml:space="preserve">erivation of the Van Slyke </w:t>
      </w:r>
      <w:r w:rsidR="004C116A" w:rsidRPr="00D23537">
        <w:rPr>
          <w:rFonts w:ascii="Times New Roman" w:hAnsi="Times New Roman" w:cs="Times New Roman"/>
        </w:rPr>
        <w:t>c</w:t>
      </w:r>
      <w:r w:rsidR="00B178C3" w:rsidRPr="00D23537">
        <w:rPr>
          <w:rFonts w:ascii="Times New Roman" w:hAnsi="Times New Roman" w:cs="Times New Roman"/>
        </w:rPr>
        <w:t xml:space="preserve">heese </w:t>
      </w:r>
      <w:r w:rsidR="004C116A" w:rsidRPr="00D23537">
        <w:rPr>
          <w:rFonts w:ascii="Times New Roman" w:hAnsi="Times New Roman" w:cs="Times New Roman"/>
        </w:rPr>
        <w:t>y</w:t>
      </w:r>
      <w:r w:rsidR="00B178C3" w:rsidRPr="00D23537">
        <w:rPr>
          <w:rFonts w:ascii="Times New Roman" w:hAnsi="Times New Roman" w:cs="Times New Roman"/>
        </w:rPr>
        <w:t xml:space="preserve">ield formula </w:t>
      </w:r>
      <w:r w:rsidR="00FD3994" w:rsidRPr="00D23537">
        <w:rPr>
          <w:rFonts w:ascii="Times New Roman" w:hAnsi="Times New Roman" w:cs="Times New Roman"/>
        </w:rPr>
        <w:t xml:space="preserve">and how it is used to define </w:t>
      </w:r>
      <w:r w:rsidR="00F11B79" w:rsidRPr="00D23537">
        <w:rPr>
          <w:rFonts w:ascii="Times New Roman" w:hAnsi="Times New Roman" w:cs="Times New Roman"/>
        </w:rPr>
        <w:t xml:space="preserve">the </w:t>
      </w:r>
      <w:r w:rsidR="00B178C3" w:rsidRPr="00D23537">
        <w:rPr>
          <w:rFonts w:ascii="Times New Roman" w:hAnsi="Times New Roman" w:cs="Times New Roman"/>
        </w:rPr>
        <w:t>F</w:t>
      </w:r>
      <w:r w:rsidR="00443C4F">
        <w:rPr>
          <w:rFonts w:ascii="Times New Roman" w:hAnsi="Times New Roman" w:cs="Times New Roman"/>
        </w:rPr>
        <w:t>ederal Milk Marketing Order (FMMO)</w:t>
      </w:r>
      <w:r w:rsidR="00B178C3" w:rsidRPr="00D23537">
        <w:rPr>
          <w:rFonts w:ascii="Times New Roman" w:hAnsi="Times New Roman" w:cs="Times New Roman"/>
        </w:rPr>
        <w:t xml:space="preserve"> protein pric</w:t>
      </w:r>
      <w:r w:rsidR="00F11B79" w:rsidRPr="00D23537">
        <w:rPr>
          <w:rFonts w:ascii="Times New Roman" w:hAnsi="Times New Roman" w:cs="Times New Roman"/>
        </w:rPr>
        <w:t>e</w:t>
      </w:r>
      <w:r w:rsidR="00B178C3" w:rsidRPr="00D23537">
        <w:rPr>
          <w:rFonts w:ascii="Times New Roman" w:hAnsi="Times New Roman" w:cs="Times New Roman"/>
        </w:rPr>
        <w:t xml:space="preserve"> for Class III</w:t>
      </w:r>
      <w:r w:rsidR="004C116A" w:rsidRPr="00D23537">
        <w:rPr>
          <w:rFonts w:ascii="Times New Roman" w:hAnsi="Times New Roman" w:cs="Times New Roman"/>
        </w:rPr>
        <w:t>.  The assumptions used here are implicit in the technical appendix detailing the derivation of opportunity cost pricing methods</w:t>
      </w:r>
      <w:r w:rsidR="00F82827" w:rsidRPr="00D23537">
        <w:rPr>
          <w:rFonts w:ascii="Times New Roman" w:hAnsi="Times New Roman" w:cs="Times New Roman"/>
        </w:rPr>
        <w:t xml:space="preserve">, </w:t>
      </w:r>
      <w:r w:rsidR="00F82827" w:rsidRPr="00D23537">
        <w:rPr>
          <w:rFonts w:ascii="Times New Roman" w:hAnsi="Times New Roman" w:cs="Times New Roman"/>
          <w:i/>
          <w:iCs/>
        </w:rPr>
        <w:t>Technical Appendix: Opportunity Cost Pricing</w:t>
      </w:r>
      <w:r w:rsidR="00B178C3" w:rsidRPr="00D23537">
        <w:rPr>
          <w:rFonts w:ascii="Times New Roman" w:hAnsi="Times New Roman" w:cs="Times New Roman"/>
        </w:rPr>
        <w:t>.</w:t>
      </w:r>
    </w:p>
    <w:p w14:paraId="4A99D193" w14:textId="77777777" w:rsidR="00854587" w:rsidRPr="00D23537" w:rsidRDefault="00854587" w:rsidP="00854587">
      <w:pPr>
        <w:pBdr>
          <w:bottom w:val="single" w:sz="4" w:space="1" w:color="auto"/>
        </w:pBdr>
        <w:rPr>
          <w:rFonts w:ascii="Times New Roman" w:hAnsi="Times New Roman" w:cs="Times New Roman"/>
        </w:rPr>
      </w:pPr>
    </w:p>
    <w:p w14:paraId="4DF5CC60" w14:textId="22D93EE3" w:rsidR="00B178C3" w:rsidRPr="00D23537" w:rsidRDefault="00B178C3" w:rsidP="0023047A">
      <w:pPr>
        <w:ind w:firstLine="720"/>
        <w:rPr>
          <w:rFonts w:ascii="Times New Roman" w:hAnsi="Times New Roman" w:cs="Times New Roman"/>
        </w:rPr>
      </w:pPr>
      <w:r w:rsidRPr="00D23537">
        <w:rPr>
          <w:rFonts w:ascii="Times New Roman" w:hAnsi="Times New Roman" w:cs="Times New Roman"/>
        </w:rPr>
        <w:t>The Van Slyke cheese yield formula currently used by FMMOs is:</w:t>
      </w:r>
    </w:p>
    <w:p w14:paraId="6CAC0C86" w14:textId="0021E62D" w:rsidR="00854587" w:rsidRPr="00D23537" w:rsidRDefault="004F4A73" w:rsidP="00854587">
      <w:pPr>
        <w:tabs>
          <w:tab w:val="right" w:pos="9360"/>
        </w:tabs>
        <w:spacing w:line="480" w:lineRule="auto"/>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Y</m:t>
            </m:r>
          </m:sub>
        </m:sSub>
        <m:r>
          <w:rPr>
            <w:rFonts w:ascii="Cambria Math" w:hAnsi="Cambria Math" w:cs="Times New Roman"/>
          </w:rPr>
          <m:t>=</m:t>
        </m:r>
        <m:d>
          <m:dPr>
            <m:begChr m:val="["/>
            <m:endChr m:val="]"/>
            <m:ctrlPr>
              <w:rPr>
                <w:rFonts w:ascii="Cambria Math" w:hAnsi="Cambria Math" w:cs="Times New Roman"/>
                <w:i/>
              </w:rPr>
            </m:ctrlPr>
          </m:dPr>
          <m:e>
            <m:d>
              <m:dPr>
                <m:ctrlPr>
                  <w:rPr>
                    <w:rFonts w:ascii="Cambria Math" w:hAnsi="Cambria Math" w:cs="Times New Roman"/>
                    <w:i/>
                  </w:rPr>
                </m:ctrlPr>
              </m:dPr>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r</m:t>
                        </m:r>
                      </m:sub>
                    </m:sSub>
                    <m:r>
                      <w:rPr>
                        <w:rFonts w:ascii="Cambria Math" w:hAnsi="Cambria Math" w:cs="Times New Roman"/>
                      </w:rPr>
                      <m:t>×</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L</m:t>
                            </m:r>
                          </m:sub>
                        </m:sSub>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l</m:t>
                        </m:r>
                      </m:sub>
                    </m:sSub>
                  </m:e>
                </m:d>
                <m:r>
                  <w:rPr>
                    <w:rFonts w:ascii="Cambria Math" w:hAnsi="Cambria Math" w:cs="Times New Roman"/>
                  </w:rPr>
                  <m:t>×y</m:t>
                </m:r>
              </m:e>
            </m:d>
            <m:r>
              <w:rPr>
                <w:rFonts w:ascii="Cambria Math" w:hAnsi="Cambria Math" w:cs="Times New Roman"/>
              </w:rPr>
              <m:t>/</m:t>
            </m:r>
            <m:d>
              <m:dPr>
                <m:ctrlPr>
                  <w:rPr>
                    <w:rFonts w:ascii="Cambria Math" w:hAnsi="Cambria Math" w:cs="Times New Roman"/>
                    <w:i/>
                  </w:rPr>
                </m:ctrlPr>
              </m:dPr>
              <m:e>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m:t>
                    </m:r>
                  </m:sub>
                </m:sSub>
              </m:e>
            </m:d>
          </m:e>
        </m:d>
        <m:r>
          <w:rPr>
            <w:rFonts w:ascii="Cambria Math" w:hAnsi="Cambria Math" w:cs="Times New Roman"/>
          </w:rPr>
          <m:t xml:space="preserve"> × </m:t>
        </m:r>
        <m:d>
          <m:dPr>
            <m:ctrlPr>
              <w:rPr>
                <w:rFonts w:ascii="Cambria Math" w:hAnsi="Cambria Math" w:cs="Times New Roman"/>
                <w:i/>
              </w:rPr>
            </m:ctrlPr>
          </m:dPr>
          <m:e>
            <m:r>
              <w:rPr>
                <w:rFonts w:ascii="Cambria Math" w:hAnsi="Cambria Math" w:cs="Times New Roman"/>
              </w:rPr>
              <m:t>1-L</m:t>
            </m:r>
          </m:e>
        </m:d>
      </m:oMath>
      <w:r w:rsidR="00854587" w:rsidRPr="00D23537">
        <w:rPr>
          <w:rFonts w:ascii="Times New Roman" w:hAnsi="Times New Roman" w:cs="Times New Roman"/>
        </w:rPr>
        <w:tab/>
        <w:t>(1)</w:t>
      </w:r>
    </w:p>
    <w:p w14:paraId="00116E37" w14:textId="01DC3FDB" w:rsidR="00B178C3" w:rsidRDefault="00B178C3" w:rsidP="00B178C3">
      <w:pPr>
        <w:spacing w:line="480" w:lineRule="auto"/>
        <w:jc w:val="both"/>
        <w:rPr>
          <w:rFonts w:ascii="Times New Roman" w:hAnsi="Times New Roman" w:cs="Times New Roman"/>
        </w:rPr>
      </w:pPr>
      <w:r w:rsidRPr="00D23537">
        <w:rPr>
          <w:rFonts w:ascii="Times New Roman" w:hAnsi="Times New Roman" w:cs="Times New Roman"/>
        </w:rPr>
        <w:t xml:space="preserve">where </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Y</m:t>
            </m:r>
          </m:sub>
        </m:sSub>
      </m:oMath>
      <w:r w:rsidRPr="00D23537">
        <w:rPr>
          <w:rFonts w:ascii="Times New Roman" w:hAnsi="Times New Roman" w:cs="Times New Roman"/>
        </w:rPr>
        <w:t xml:space="preserve"> is cheese yield per hundredweight of milk,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t</m:t>
            </m:r>
          </m:sub>
        </m:sSub>
      </m:oMath>
      <w:r w:rsidRPr="00D23537">
        <w:rPr>
          <w:rFonts w:ascii="Times New Roman" w:hAnsi="Times New Roman" w:cs="Times New Roman"/>
        </w:rPr>
        <w:t xml:space="preserve"> is a farmgate milkfat test per hundredweight of milk, in lb/cwt,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t</m:t>
            </m:r>
          </m:sub>
        </m:sSub>
      </m:oMath>
      <w:r w:rsidRPr="00D23537">
        <w:rPr>
          <w:rFonts w:ascii="Times New Roman" w:hAnsi="Times New Roman" w:cs="Times New Roman"/>
        </w:rPr>
        <w:t xml:space="preserve"> is a farmgate true protein test per hundredweight of milk, in lb/cwt; </w:t>
      </w:r>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m:t>
            </m:r>
          </m:sub>
        </m:sSub>
      </m:oMath>
      <w:r w:rsidRPr="00D23537">
        <w:rPr>
          <w:rFonts w:ascii="Times New Roman" w:hAnsi="Times New Roman" w:cs="Times New Roman"/>
        </w:rPr>
        <w:t xml:space="preserve"> is a moisture percentage, </w:t>
      </w:r>
      <m:oMath>
        <m:r>
          <w:rPr>
            <w:rFonts w:ascii="Cambria Math" w:hAnsi="Cambria Math" w:cs="Times New Roman"/>
          </w:rPr>
          <m:t>L</m:t>
        </m:r>
      </m:oMath>
      <w:r w:rsidRPr="00D23537">
        <w:rPr>
          <w:rFonts w:ascii="Times New Roman" w:hAnsi="Times New Roman" w:cs="Times New Roman"/>
        </w:rPr>
        <w:t xml:space="preserve"> denotes farm-to-plant milk losses, and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L</m:t>
            </m:r>
          </m:sub>
        </m:sSub>
      </m:oMath>
      <w:r w:rsidRPr="00D23537">
        <w:rPr>
          <w:rFonts w:ascii="Times New Roman" w:hAnsi="Times New Roman" w:cs="Times New Roman"/>
        </w:rPr>
        <w:t xml:space="preserve"> captures farm-to-plant milkfat losses beyond </w:t>
      </w:r>
      <m:oMath>
        <m:r>
          <w:rPr>
            <w:rFonts w:ascii="Cambria Math" w:hAnsi="Cambria Math" w:cs="Times New Roman"/>
          </w:rPr>
          <m:t>L</m:t>
        </m:r>
      </m:oMath>
      <w:r w:rsidRPr="00D23537">
        <w:rPr>
          <w:rFonts w:ascii="Times New Roman" w:hAnsi="Times New Roman" w:cs="Times New Roman"/>
        </w:rPr>
        <w:t xml:space="preserve">.  In particular, under the FMMO system, the milkfat test in standard milk,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t</m:t>
            </m:r>
          </m:sub>
        </m:sSub>
      </m:oMath>
      <w:r w:rsidRPr="00D23537">
        <w:rPr>
          <w:rFonts w:ascii="Times New Roman" w:hAnsi="Times New Roman" w:cs="Times New Roman"/>
        </w:rPr>
        <w:t xml:space="preserve">, is set to 3.5, and the true protein test,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t</m:t>
            </m:r>
          </m:sub>
        </m:sSub>
      </m:oMath>
      <w:r w:rsidRPr="00D23537">
        <w:rPr>
          <w:rFonts w:ascii="Times New Roman" w:hAnsi="Times New Roman" w:cs="Times New Roman"/>
        </w:rPr>
        <w:t xml:space="preserve">, is assumed to be 2.9915.  Following the parametrization currently used by FMMO regulations, butterfat recovery in cheese,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r</m:t>
            </m:r>
          </m:sub>
        </m:sSub>
      </m:oMath>
      <w:r w:rsidRPr="00D23537">
        <w:rPr>
          <w:rFonts w:ascii="Times New Roman" w:hAnsi="Times New Roman" w:cs="Times New Roman"/>
        </w:rPr>
        <w:t>, is set at 0.90; casein percent of true protein,</w:t>
      </w:r>
      <w:r w:rsidR="004F4A73">
        <w:rPr>
          <w:rFonts w:ascii="Times New Roman" w:hAnsi="Times New Roman" w:cs="Times New Roman"/>
        </w:rPr>
        <w:t xml:space="preserve"> and</w:t>
      </w:r>
      <w:r w:rsidRPr="00D23537">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m:t>
            </m:r>
          </m:sub>
        </m:sSub>
        <m:r>
          <w:rPr>
            <w:rFonts w:ascii="Cambria Math" w:hAnsi="Cambria Math" w:cs="Times New Roman"/>
          </w:rPr>
          <m:t>,</m:t>
        </m:r>
      </m:oMath>
      <w:r w:rsidRPr="00D23537">
        <w:rPr>
          <w:rFonts w:ascii="Times New Roman" w:hAnsi="Times New Roman" w:cs="Times New Roman"/>
        </w:rPr>
        <w:t xml:space="preserve"> is assumed to be 0.822.  Casein loss to whey, </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l</m:t>
            </m:r>
          </m:sub>
        </m:sSub>
      </m:oMath>
      <w:r w:rsidRPr="00D23537">
        <w:rPr>
          <w:rFonts w:ascii="Times New Roman" w:hAnsi="Times New Roman" w:cs="Times New Roman"/>
        </w:rPr>
        <w:t xml:space="preserve">, is 0.1.  Yield factor, </w:t>
      </w:r>
      <m:oMath>
        <m:r>
          <w:rPr>
            <w:rFonts w:ascii="Cambria Math" w:hAnsi="Cambria Math" w:cs="Times New Roman"/>
          </w:rPr>
          <m:t>y,</m:t>
        </m:r>
      </m:oMath>
      <w:r w:rsidRPr="00D23537">
        <w:rPr>
          <w:rFonts w:ascii="Times New Roman" w:hAnsi="Times New Roman" w:cs="Times New Roman"/>
        </w:rPr>
        <w:t xml:space="preserve"> reflects the amount of salt, retained whey proteins, milk minerals, etc., and is assumed to be 1.09.  A moisture level, </w:t>
      </w:r>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m:t>
            </m:r>
          </m:sub>
        </m:sSub>
      </m:oMath>
      <w:r w:rsidRPr="00D23537">
        <w:rPr>
          <w:rFonts w:ascii="Times New Roman" w:hAnsi="Times New Roman" w:cs="Times New Roman"/>
        </w:rPr>
        <w:t xml:space="preserve">, of 38% is likewise used based on current formulas and USDA’s Agricultural Marketing Service (AMS) Dairy Product Mandatory Reporting Program survey definitions.  Farm-to-plant milk losses, </w:t>
      </w:r>
      <m:oMath>
        <m:r>
          <w:rPr>
            <w:rFonts w:ascii="Cambria Math" w:hAnsi="Cambria Math" w:cs="Times New Roman"/>
          </w:rPr>
          <m:t>L</m:t>
        </m:r>
      </m:oMath>
      <w:r w:rsidRPr="00D23537">
        <w:rPr>
          <w:rFonts w:ascii="Times New Roman" w:hAnsi="Times New Roman" w:cs="Times New Roman"/>
        </w:rPr>
        <w:t xml:space="preserve">, are 0.0025 lb/cwt, and milkfat losses,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L</m:t>
            </m:r>
          </m:sub>
        </m:sSub>
      </m:oMath>
      <w:r w:rsidRPr="00D23537">
        <w:rPr>
          <w:rFonts w:ascii="Times New Roman" w:hAnsi="Times New Roman" w:cs="Times New Roman"/>
        </w:rPr>
        <w:t>, are an additional 0.015 lb/cwt.</w:t>
      </w:r>
    </w:p>
    <w:p w14:paraId="72A6EFFF" w14:textId="1470F6C7" w:rsidR="00443C4F" w:rsidRDefault="00443C4F" w:rsidP="00B178C3">
      <w:pPr>
        <w:spacing w:line="480" w:lineRule="auto"/>
        <w:jc w:val="both"/>
        <w:rPr>
          <w:rFonts w:ascii="Times New Roman" w:hAnsi="Times New Roman" w:cs="Times New Roman"/>
        </w:rPr>
      </w:pPr>
      <w:r>
        <w:rPr>
          <w:rFonts w:ascii="Times New Roman" w:hAnsi="Times New Roman" w:cs="Times New Roman"/>
        </w:rPr>
        <w:tab/>
        <w:t>Rewritten, the Van Slyke Cheese yield formula used by FMMOs is:</w:t>
      </w:r>
    </w:p>
    <w:p w14:paraId="785AC143" w14:textId="242A9BE3" w:rsidR="00443C4F" w:rsidRPr="00D23537" w:rsidRDefault="004F4A73" w:rsidP="00443C4F">
      <w:pPr>
        <w:tabs>
          <w:tab w:val="right" w:pos="9360"/>
        </w:tabs>
        <w:spacing w:line="48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Y</m:t>
            </m:r>
          </m:sub>
        </m:sSub>
        <m:r>
          <w:rPr>
            <w:rFonts w:ascii="Cambria Math" w:hAnsi="Cambria Math" w:cs="Times New Roman"/>
          </w:rPr>
          <m:t>=</m:t>
        </m:r>
        <m:d>
          <m:dPr>
            <m:begChr m:val="["/>
            <m:endChr m:val="]"/>
            <m:ctrlPr>
              <w:rPr>
                <w:rFonts w:ascii="Cambria Math" w:hAnsi="Cambria Math" w:cs="Times New Roman"/>
                <w:i/>
              </w:rPr>
            </m:ctrlPr>
          </m:dPr>
          <m:e>
            <m:d>
              <m:dPr>
                <m:ctrlPr>
                  <w:rPr>
                    <w:rFonts w:ascii="Cambria Math" w:hAnsi="Cambria Math" w:cs="Times New Roman"/>
                    <w:i/>
                  </w:rPr>
                </m:ctrlPr>
              </m:dPr>
              <m:e>
                <m:d>
                  <m:dPr>
                    <m:ctrlPr>
                      <w:rPr>
                        <w:rFonts w:ascii="Cambria Math" w:hAnsi="Cambria Math" w:cs="Times New Roman"/>
                        <w:i/>
                      </w:rPr>
                    </m:ctrlPr>
                  </m:dPr>
                  <m:e>
                    <m:r>
                      <w:rPr>
                        <w:rFonts w:ascii="Cambria Math" w:hAnsi="Cambria Math" w:cs="Times New Roman"/>
                      </w:rPr>
                      <m:t>0.90×</m:t>
                    </m:r>
                    <m:d>
                      <m:dPr>
                        <m:ctrlPr>
                          <w:rPr>
                            <w:rFonts w:ascii="Cambria Math" w:hAnsi="Cambria Math" w:cs="Times New Roman"/>
                            <w:i/>
                          </w:rPr>
                        </m:ctrlPr>
                      </m:dPr>
                      <m:e>
                        <m:r>
                          <w:rPr>
                            <w:rFonts w:ascii="Cambria Math" w:hAnsi="Cambria Math" w:cs="Times New Roman"/>
                          </w:rPr>
                          <m:t>3.5-0.015</m:t>
                        </m:r>
                      </m:e>
                    </m:d>
                    <m:r>
                      <w:rPr>
                        <w:rFonts w:ascii="Cambria Math" w:hAnsi="Cambria Math" w:cs="Times New Roman"/>
                      </w:rPr>
                      <m:t>+0.822×2.9915-0.1</m:t>
                    </m:r>
                  </m:e>
                </m:d>
                <m:r>
                  <w:rPr>
                    <w:rFonts w:ascii="Cambria Math" w:hAnsi="Cambria Math" w:cs="Times New Roman"/>
                  </w:rPr>
                  <m:t>×1.09</m:t>
                </m:r>
              </m:e>
            </m:d>
            <m:r>
              <w:rPr>
                <w:rFonts w:ascii="Cambria Math" w:hAnsi="Cambria Math" w:cs="Times New Roman"/>
              </w:rPr>
              <m:t>/</m:t>
            </m:r>
            <m:d>
              <m:dPr>
                <m:ctrlPr>
                  <w:rPr>
                    <w:rFonts w:ascii="Cambria Math" w:hAnsi="Cambria Math" w:cs="Times New Roman"/>
                    <w:i/>
                  </w:rPr>
                </m:ctrlPr>
              </m:dPr>
              <m:e>
                <m:r>
                  <w:rPr>
                    <w:rFonts w:ascii="Cambria Math" w:hAnsi="Cambria Math" w:cs="Times New Roman"/>
                  </w:rPr>
                  <m:t>1-0.38</m:t>
                </m:r>
              </m:e>
            </m:d>
          </m:e>
        </m:d>
        <m:r>
          <w:rPr>
            <w:rFonts w:ascii="Cambria Math" w:hAnsi="Cambria Math" w:cs="Times New Roman"/>
          </w:rPr>
          <m:t xml:space="preserve"> × </m:t>
        </m:r>
        <m:d>
          <m:dPr>
            <m:ctrlPr>
              <w:rPr>
                <w:rFonts w:ascii="Cambria Math" w:hAnsi="Cambria Math" w:cs="Times New Roman"/>
                <w:i/>
              </w:rPr>
            </m:ctrlPr>
          </m:dPr>
          <m:e>
            <m:r>
              <w:rPr>
                <w:rFonts w:ascii="Cambria Math" w:hAnsi="Cambria Math" w:cs="Times New Roman"/>
              </w:rPr>
              <m:t>1-0.0025</m:t>
            </m:r>
          </m:e>
        </m:d>
      </m:oMath>
      <w:r w:rsidR="00443C4F">
        <w:rPr>
          <w:rFonts w:ascii="Times New Roman" w:eastAsiaTheme="minorEastAsia" w:hAnsi="Times New Roman" w:cs="Times New Roman"/>
        </w:rPr>
        <w:tab/>
        <w:t>(2)</w:t>
      </w:r>
    </w:p>
    <w:p w14:paraId="37BDEEE0" w14:textId="1CF38F7B" w:rsidR="00B178C3" w:rsidRPr="00D23537" w:rsidRDefault="00B178C3" w:rsidP="00B178C3">
      <w:pPr>
        <w:spacing w:line="480" w:lineRule="auto"/>
        <w:ind w:firstLine="708"/>
        <w:jc w:val="both"/>
        <w:rPr>
          <w:rFonts w:ascii="Times New Roman" w:hAnsi="Times New Roman" w:cs="Times New Roman"/>
        </w:rPr>
      </w:pPr>
      <w:r w:rsidRPr="00D23537">
        <w:rPr>
          <w:rFonts w:ascii="Times New Roman" w:hAnsi="Times New Roman" w:cs="Times New Roman"/>
        </w:rPr>
        <w:t xml:space="preserve">The Van Slyke </w:t>
      </w:r>
      <w:r w:rsidR="004F4A73">
        <w:rPr>
          <w:rFonts w:ascii="Times New Roman" w:hAnsi="Times New Roman" w:cs="Times New Roman"/>
        </w:rPr>
        <w:t xml:space="preserve">cheese </w:t>
      </w:r>
      <w:r w:rsidRPr="00D23537">
        <w:rPr>
          <w:rFonts w:ascii="Times New Roman" w:hAnsi="Times New Roman" w:cs="Times New Roman"/>
        </w:rPr>
        <w:t xml:space="preserve">yield formula and the FMMO assumptions, excluding farm-to-plant losses, result in a theoretical cheese yield of 9.6852 pounds of cheese.  Adjusting for farm-to-plant milk and component losses, the theoretical yield is reduced to 9.6373 (USDA 2002).  The yield formula can be rewritten as a sum of marginal contributions by butterfat and protein.  By setting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t</m:t>
            </m:r>
          </m:sub>
        </m:sSub>
      </m:oMath>
      <w:r w:rsidRPr="00D23537">
        <w:rPr>
          <w:rFonts w:ascii="Times New Roman"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L</m:t>
            </m:r>
          </m:sub>
        </m:sSub>
      </m:oMath>
      <w:r w:rsidRPr="00D23537">
        <w:rPr>
          <w:rFonts w:ascii="Times New Roman" w:hAnsi="Times New Roman" w:cs="Times New Roman"/>
        </w:rPr>
        <w:t xml:space="preserve"> to zero, we calculate the protein contribution to cheese yield to be 4.1369.  Similarly, by setting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t</m:t>
            </m:r>
          </m:sub>
        </m:sSub>
      </m:oMath>
      <w:r w:rsidRPr="00D23537">
        <w:rPr>
          <w:rFonts w:ascii="Times New Roman"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l</m:t>
            </m:r>
          </m:sub>
        </m:sSub>
      </m:oMath>
      <w:r w:rsidRPr="00D23537">
        <w:rPr>
          <w:rFonts w:ascii="Times New Roman" w:hAnsi="Times New Roman" w:cs="Times New Roman"/>
        </w:rPr>
        <w:t xml:space="preserve"> to zero, we </w:t>
      </w:r>
      <w:r w:rsidRPr="00D23537">
        <w:rPr>
          <w:rFonts w:ascii="Times New Roman" w:hAnsi="Times New Roman" w:cs="Times New Roman"/>
        </w:rPr>
        <w:lastRenderedPageBreak/>
        <w:t xml:space="preserve">calculate the butterfat contribution to cheese yield to be 5.5004.  By dividing the butterfat contribution to cheese yield by the standard butterfat test, we obtain the marginal contribution to cheese yield per 1 lb of butterfat, 5.5004 / 3.5 = 1.572.  Likewise, by dividing the protein contribution to cheese yield by the standard protein test, we obtain the marginal contribution to cheese yield per 1 lb of protein, 4.1369 / 2.9915 = 1.383.  </w:t>
      </w:r>
      <w:r w:rsidR="00170B6D" w:rsidRPr="00D23537">
        <w:rPr>
          <w:rFonts w:ascii="Times New Roman" w:hAnsi="Times New Roman" w:cs="Times New Roman"/>
        </w:rPr>
        <w:t>Table</w:t>
      </w:r>
      <w:r w:rsidR="00170B6D">
        <w:rPr>
          <w:rFonts w:ascii="Times New Roman" w:hAnsi="Times New Roman" w:cs="Times New Roman"/>
        </w:rPr>
        <w:t> </w:t>
      </w:r>
      <w:r w:rsidR="0019370A" w:rsidRPr="00D23537">
        <w:rPr>
          <w:rFonts w:ascii="Times New Roman" w:hAnsi="Times New Roman" w:cs="Times New Roman"/>
        </w:rPr>
        <w:t>1</w:t>
      </w:r>
      <w:r w:rsidR="00170B6D">
        <w:rPr>
          <w:rFonts w:ascii="Times New Roman" w:hAnsi="Times New Roman" w:cs="Times New Roman"/>
        </w:rPr>
        <w:t xml:space="preserve"> </w:t>
      </w:r>
      <w:r w:rsidRPr="00D23537">
        <w:rPr>
          <w:rFonts w:ascii="Times New Roman" w:hAnsi="Times New Roman" w:cs="Times New Roman"/>
        </w:rPr>
        <w:t>provides the decomposition of the Van Slyke cheese yield formula into protein and butterfat yield contributions and the derivation of coefficients used in the current FMMO protein price formula.</w:t>
      </w:r>
    </w:p>
    <w:p w14:paraId="232FFAC5" w14:textId="236DE2C3" w:rsidR="0019370A" w:rsidRPr="00D23537" w:rsidRDefault="0019370A" w:rsidP="0019370A">
      <w:pPr>
        <w:spacing w:line="480" w:lineRule="auto"/>
        <w:rPr>
          <w:rFonts w:ascii="Times New Roman" w:hAnsi="Times New Roman" w:cs="Times New Roman"/>
        </w:rPr>
      </w:pPr>
      <w:r w:rsidRPr="00D23537">
        <w:rPr>
          <w:rFonts w:ascii="Times New Roman" w:hAnsi="Times New Roman" w:cs="Times New Roman"/>
        </w:rPr>
        <w:t xml:space="preserve">Table 1: </w:t>
      </w:r>
      <w:r w:rsidR="00C5492A" w:rsidRPr="00D23537">
        <w:rPr>
          <w:rFonts w:ascii="Times New Roman" w:hAnsi="Times New Roman" w:cs="Times New Roman"/>
        </w:rPr>
        <w:t xml:space="preserve">Van Slyke </w:t>
      </w:r>
      <w:r w:rsidRPr="00D23537">
        <w:rPr>
          <w:rFonts w:ascii="Times New Roman" w:hAnsi="Times New Roman" w:cs="Times New Roman"/>
        </w:rPr>
        <w:t xml:space="preserve">Cheese Yield Formula </w:t>
      </w:r>
      <w:r w:rsidR="00C5492A" w:rsidRPr="00D23537">
        <w:rPr>
          <w:rFonts w:ascii="Times New Roman" w:hAnsi="Times New Roman" w:cs="Times New Roman"/>
        </w:rPr>
        <w:t>Factors</w:t>
      </w:r>
      <w:r w:rsidRPr="00D23537">
        <w:rPr>
          <w:rFonts w:ascii="Times New Roman" w:hAnsi="Times New Roman" w:cs="Times New Roman"/>
        </w:rPr>
        <w:t xml:space="preserve"> and Yield Assumptions</w:t>
      </w:r>
    </w:p>
    <w:tbl>
      <w:tblPr>
        <w:tblStyle w:val="TableGrid"/>
        <w:tblW w:w="0" w:type="auto"/>
        <w:tblLook w:val="04A0" w:firstRow="1" w:lastRow="0" w:firstColumn="1" w:lastColumn="0" w:noHBand="0" w:noVBand="1"/>
      </w:tblPr>
      <w:tblGrid>
        <w:gridCol w:w="901"/>
        <w:gridCol w:w="3869"/>
        <w:gridCol w:w="1526"/>
        <w:gridCol w:w="1527"/>
        <w:gridCol w:w="1527"/>
      </w:tblGrid>
      <w:tr w:rsidR="0019370A" w:rsidRPr="00D23537" w14:paraId="0A4B7FBC" w14:textId="77777777" w:rsidTr="00710E7E">
        <w:tc>
          <w:tcPr>
            <w:tcW w:w="901" w:type="dxa"/>
            <w:tcBorders>
              <w:left w:val="nil"/>
              <w:bottom w:val="single" w:sz="4" w:space="0" w:color="auto"/>
              <w:right w:val="nil"/>
            </w:tcBorders>
            <w:shd w:val="clear" w:color="auto" w:fill="D9D9D9" w:themeFill="background1" w:themeFillShade="D9"/>
            <w:vAlign w:val="bottom"/>
          </w:tcPr>
          <w:p w14:paraId="4F4A2A2E" w14:textId="77777777" w:rsidR="0019370A" w:rsidRPr="00D23537" w:rsidRDefault="0019370A" w:rsidP="00710E7E">
            <w:pPr>
              <w:rPr>
                <w:sz w:val="22"/>
                <w:szCs w:val="22"/>
              </w:rPr>
            </w:pPr>
            <w:r w:rsidRPr="00D23537">
              <w:rPr>
                <w:sz w:val="22"/>
                <w:szCs w:val="22"/>
              </w:rPr>
              <w:t>Symbol</w:t>
            </w:r>
          </w:p>
        </w:tc>
        <w:tc>
          <w:tcPr>
            <w:tcW w:w="3869" w:type="dxa"/>
            <w:tcBorders>
              <w:left w:val="nil"/>
              <w:bottom w:val="single" w:sz="4" w:space="0" w:color="auto"/>
              <w:right w:val="nil"/>
            </w:tcBorders>
            <w:shd w:val="clear" w:color="auto" w:fill="D9D9D9" w:themeFill="background1" w:themeFillShade="D9"/>
            <w:vAlign w:val="bottom"/>
          </w:tcPr>
          <w:p w14:paraId="6B4102F2" w14:textId="77777777" w:rsidR="0019370A" w:rsidRPr="00D23537" w:rsidRDefault="0019370A" w:rsidP="00710E7E">
            <w:pPr>
              <w:rPr>
                <w:sz w:val="22"/>
                <w:szCs w:val="22"/>
              </w:rPr>
            </w:pPr>
            <w:r w:rsidRPr="00D23537">
              <w:rPr>
                <w:sz w:val="22"/>
                <w:szCs w:val="22"/>
              </w:rPr>
              <w:t>Description</w:t>
            </w:r>
          </w:p>
        </w:tc>
        <w:tc>
          <w:tcPr>
            <w:tcW w:w="1526" w:type="dxa"/>
            <w:tcBorders>
              <w:left w:val="nil"/>
              <w:bottom w:val="single" w:sz="4" w:space="0" w:color="auto"/>
              <w:right w:val="nil"/>
            </w:tcBorders>
            <w:shd w:val="clear" w:color="auto" w:fill="D9D9D9" w:themeFill="background1" w:themeFillShade="D9"/>
          </w:tcPr>
          <w:p w14:paraId="381AEEC2" w14:textId="77777777" w:rsidR="0019370A" w:rsidRPr="00D23537" w:rsidRDefault="0019370A" w:rsidP="00710E7E">
            <w:pPr>
              <w:jc w:val="center"/>
              <w:rPr>
                <w:sz w:val="22"/>
                <w:szCs w:val="22"/>
              </w:rPr>
            </w:pPr>
            <w:r w:rsidRPr="00D23537">
              <w:rPr>
                <w:sz w:val="22"/>
                <w:szCs w:val="22"/>
              </w:rPr>
              <w:t>Van Slyke</w:t>
            </w:r>
          </w:p>
          <w:p w14:paraId="7C46513B" w14:textId="77777777" w:rsidR="0019370A" w:rsidRPr="00D23537" w:rsidRDefault="0019370A" w:rsidP="00710E7E">
            <w:pPr>
              <w:jc w:val="center"/>
              <w:rPr>
                <w:sz w:val="22"/>
                <w:szCs w:val="22"/>
              </w:rPr>
            </w:pPr>
            <w:r w:rsidRPr="00D23537">
              <w:rPr>
                <w:sz w:val="22"/>
                <w:szCs w:val="22"/>
              </w:rPr>
              <w:t>Factors</w:t>
            </w:r>
          </w:p>
        </w:tc>
        <w:tc>
          <w:tcPr>
            <w:tcW w:w="1527" w:type="dxa"/>
            <w:tcBorders>
              <w:left w:val="nil"/>
              <w:bottom w:val="single" w:sz="4" w:space="0" w:color="auto"/>
              <w:right w:val="nil"/>
            </w:tcBorders>
            <w:shd w:val="clear" w:color="auto" w:fill="D9D9D9" w:themeFill="background1" w:themeFillShade="D9"/>
          </w:tcPr>
          <w:p w14:paraId="30A72C96" w14:textId="77777777" w:rsidR="0019370A" w:rsidRPr="00D23537" w:rsidRDefault="0019370A" w:rsidP="00710E7E">
            <w:pPr>
              <w:jc w:val="center"/>
              <w:rPr>
                <w:sz w:val="22"/>
                <w:szCs w:val="22"/>
              </w:rPr>
            </w:pPr>
            <w:r w:rsidRPr="00D23537">
              <w:rPr>
                <w:sz w:val="22"/>
                <w:szCs w:val="22"/>
              </w:rPr>
              <w:t>Butterfat</w:t>
            </w:r>
          </w:p>
          <w:p w14:paraId="18663C8E" w14:textId="77777777" w:rsidR="0019370A" w:rsidRPr="00D23537" w:rsidRDefault="0019370A" w:rsidP="00710E7E">
            <w:pPr>
              <w:jc w:val="center"/>
              <w:rPr>
                <w:sz w:val="22"/>
                <w:szCs w:val="22"/>
              </w:rPr>
            </w:pPr>
            <w:r w:rsidRPr="00D23537">
              <w:rPr>
                <w:sz w:val="22"/>
                <w:szCs w:val="22"/>
              </w:rPr>
              <w:t>Portion</w:t>
            </w:r>
          </w:p>
        </w:tc>
        <w:tc>
          <w:tcPr>
            <w:tcW w:w="1527" w:type="dxa"/>
            <w:tcBorders>
              <w:left w:val="nil"/>
              <w:bottom w:val="single" w:sz="4" w:space="0" w:color="auto"/>
              <w:right w:val="nil"/>
            </w:tcBorders>
            <w:shd w:val="clear" w:color="auto" w:fill="D9D9D9" w:themeFill="background1" w:themeFillShade="D9"/>
          </w:tcPr>
          <w:p w14:paraId="252DC0B2" w14:textId="77777777" w:rsidR="0019370A" w:rsidRPr="00D23537" w:rsidRDefault="0019370A" w:rsidP="00710E7E">
            <w:pPr>
              <w:jc w:val="center"/>
              <w:rPr>
                <w:sz w:val="22"/>
                <w:szCs w:val="22"/>
              </w:rPr>
            </w:pPr>
            <w:r w:rsidRPr="00D23537">
              <w:rPr>
                <w:sz w:val="22"/>
                <w:szCs w:val="22"/>
              </w:rPr>
              <w:t>Protein</w:t>
            </w:r>
          </w:p>
          <w:p w14:paraId="67462D7A" w14:textId="77777777" w:rsidR="0019370A" w:rsidRPr="00D23537" w:rsidRDefault="0019370A" w:rsidP="00710E7E">
            <w:pPr>
              <w:jc w:val="center"/>
              <w:rPr>
                <w:sz w:val="22"/>
                <w:szCs w:val="22"/>
              </w:rPr>
            </w:pPr>
            <w:r w:rsidRPr="00D23537">
              <w:rPr>
                <w:sz w:val="22"/>
                <w:szCs w:val="22"/>
              </w:rPr>
              <w:t>Portion</w:t>
            </w:r>
          </w:p>
        </w:tc>
      </w:tr>
      <w:tr w:rsidR="0019370A" w:rsidRPr="00D23537" w14:paraId="7D8228AB" w14:textId="77777777" w:rsidTr="00710E7E">
        <w:trPr>
          <w:trHeight w:val="288"/>
        </w:trPr>
        <w:tc>
          <w:tcPr>
            <w:tcW w:w="901" w:type="dxa"/>
            <w:tcBorders>
              <w:left w:val="nil"/>
              <w:bottom w:val="nil"/>
              <w:right w:val="nil"/>
            </w:tcBorders>
            <w:shd w:val="clear" w:color="auto" w:fill="F2F2F2" w:themeFill="background1" w:themeFillShade="F2"/>
            <w:vAlign w:val="center"/>
          </w:tcPr>
          <w:p w14:paraId="0D6FFDAE" w14:textId="77777777" w:rsidR="0019370A" w:rsidRPr="00D23537" w:rsidRDefault="0019370A" w:rsidP="00710E7E">
            <w:pPr>
              <w:rPr>
                <w:sz w:val="22"/>
                <w:szCs w:val="22"/>
              </w:rPr>
            </w:pPr>
            <w:r w:rsidRPr="00D23537">
              <w:rPr>
                <w:rFonts w:asciiTheme="minorHAnsi" w:eastAsiaTheme="minorHAnsi" w:hAnsiTheme="minorHAnsi" w:cstheme="minorBidi"/>
                <w:position w:val="-12"/>
                <w:sz w:val="22"/>
                <w:szCs w:val="22"/>
              </w:rPr>
              <w:object w:dxaOrig="260" w:dyaOrig="360" w14:anchorId="5C2F3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18.1pt" o:ole="">
                  <v:imagedata r:id="rId4" o:title=""/>
                </v:shape>
                <o:OLEObject Type="Embed" ProgID="Equation.DSMT4" ShapeID="_x0000_i1025" DrawAspect="Content" ObjectID="_1717940016" r:id="rId5"/>
              </w:object>
            </w:r>
          </w:p>
        </w:tc>
        <w:tc>
          <w:tcPr>
            <w:tcW w:w="3869" w:type="dxa"/>
            <w:tcBorders>
              <w:left w:val="nil"/>
              <w:bottom w:val="nil"/>
              <w:right w:val="nil"/>
            </w:tcBorders>
            <w:shd w:val="clear" w:color="auto" w:fill="F2F2F2" w:themeFill="background1" w:themeFillShade="F2"/>
            <w:vAlign w:val="center"/>
          </w:tcPr>
          <w:p w14:paraId="1C63C066" w14:textId="77777777" w:rsidR="0019370A" w:rsidRPr="00D23537" w:rsidRDefault="0019370A" w:rsidP="00710E7E">
            <w:pPr>
              <w:rPr>
                <w:sz w:val="22"/>
                <w:szCs w:val="22"/>
              </w:rPr>
            </w:pPr>
            <w:r w:rsidRPr="00D23537">
              <w:rPr>
                <w:sz w:val="22"/>
                <w:szCs w:val="22"/>
              </w:rPr>
              <w:t>Butterfat recovery in cheese</w:t>
            </w:r>
          </w:p>
        </w:tc>
        <w:tc>
          <w:tcPr>
            <w:tcW w:w="1526" w:type="dxa"/>
            <w:tcBorders>
              <w:left w:val="nil"/>
              <w:bottom w:val="nil"/>
              <w:right w:val="nil"/>
            </w:tcBorders>
            <w:shd w:val="clear" w:color="auto" w:fill="F2F2F2" w:themeFill="background1" w:themeFillShade="F2"/>
            <w:vAlign w:val="center"/>
          </w:tcPr>
          <w:p w14:paraId="39D8C7C5" w14:textId="77777777" w:rsidR="0019370A" w:rsidRPr="00D23537" w:rsidRDefault="0019370A" w:rsidP="00710E7E">
            <w:pPr>
              <w:jc w:val="center"/>
              <w:rPr>
                <w:sz w:val="22"/>
                <w:szCs w:val="22"/>
              </w:rPr>
            </w:pPr>
            <w:r w:rsidRPr="00D23537">
              <w:rPr>
                <w:sz w:val="22"/>
                <w:szCs w:val="22"/>
              </w:rPr>
              <w:t>0.90</w:t>
            </w:r>
          </w:p>
        </w:tc>
        <w:tc>
          <w:tcPr>
            <w:tcW w:w="1527" w:type="dxa"/>
            <w:tcBorders>
              <w:left w:val="nil"/>
              <w:bottom w:val="nil"/>
              <w:right w:val="nil"/>
            </w:tcBorders>
            <w:shd w:val="clear" w:color="auto" w:fill="F2F2F2" w:themeFill="background1" w:themeFillShade="F2"/>
            <w:vAlign w:val="center"/>
          </w:tcPr>
          <w:p w14:paraId="4C74ABAE" w14:textId="77777777" w:rsidR="0019370A" w:rsidRPr="00D23537" w:rsidRDefault="0019370A" w:rsidP="00710E7E">
            <w:pPr>
              <w:jc w:val="center"/>
              <w:rPr>
                <w:sz w:val="22"/>
                <w:szCs w:val="22"/>
              </w:rPr>
            </w:pPr>
            <w:r w:rsidRPr="00D23537">
              <w:rPr>
                <w:sz w:val="22"/>
                <w:szCs w:val="22"/>
              </w:rPr>
              <w:t>0.90</w:t>
            </w:r>
          </w:p>
        </w:tc>
        <w:tc>
          <w:tcPr>
            <w:tcW w:w="1527" w:type="dxa"/>
            <w:tcBorders>
              <w:left w:val="nil"/>
              <w:bottom w:val="nil"/>
              <w:right w:val="nil"/>
            </w:tcBorders>
            <w:shd w:val="clear" w:color="auto" w:fill="F2F2F2" w:themeFill="background1" w:themeFillShade="F2"/>
            <w:vAlign w:val="center"/>
          </w:tcPr>
          <w:p w14:paraId="32EB0741" w14:textId="77777777" w:rsidR="0019370A" w:rsidRPr="00D23537" w:rsidRDefault="0019370A" w:rsidP="00710E7E">
            <w:pPr>
              <w:jc w:val="center"/>
              <w:rPr>
                <w:sz w:val="22"/>
                <w:szCs w:val="22"/>
              </w:rPr>
            </w:pPr>
          </w:p>
        </w:tc>
      </w:tr>
      <w:tr w:rsidR="0019370A" w:rsidRPr="00D23537" w14:paraId="6E25C9E9" w14:textId="77777777" w:rsidTr="00710E7E">
        <w:trPr>
          <w:trHeight w:val="288"/>
        </w:trPr>
        <w:tc>
          <w:tcPr>
            <w:tcW w:w="901" w:type="dxa"/>
            <w:tcBorders>
              <w:top w:val="nil"/>
              <w:left w:val="nil"/>
              <w:bottom w:val="nil"/>
              <w:right w:val="nil"/>
            </w:tcBorders>
            <w:shd w:val="clear" w:color="auto" w:fill="F2F2F2" w:themeFill="background1" w:themeFillShade="F2"/>
            <w:vAlign w:val="center"/>
          </w:tcPr>
          <w:p w14:paraId="055F2315" w14:textId="5B440B7B" w:rsidR="0019370A" w:rsidRPr="0023047A" w:rsidRDefault="0023047A" w:rsidP="00923CD8">
            <w:pPr>
              <w:rPr>
                <w:i/>
                <w:iCs/>
                <w:sz w:val="22"/>
                <w:szCs w:val="22"/>
              </w:rPr>
            </w:pPr>
            <w:r w:rsidRPr="0023047A">
              <w:rPr>
                <w:rFonts w:eastAsiaTheme="minorEastAsia"/>
                <w:i/>
                <w:iCs/>
                <w:sz w:val="22"/>
                <w:szCs w:val="22"/>
              </w:rPr>
              <w:t>F</w:t>
            </w:r>
            <w:r w:rsidRPr="0023047A">
              <w:rPr>
                <w:rFonts w:eastAsiaTheme="minorEastAsia"/>
                <w:i/>
                <w:iCs/>
                <w:vertAlign w:val="subscript"/>
              </w:rPr>
              <w:t>t</w:t>
            </w:r>
          </w:p>
        </w:tc>
        <w:tc>
          <w:tcPr>
            <w:tcW w:w="3869" w:type="dxa"/>
            <w:tcBorders>
              <w:top w:val="nil"/>
              <w:left w:val="nil"/>
              <w:bottom w:val="nil"/>
              <w:right w:val="nil"/>
            </w:tcBorders>
            <w:shd w:val="clear" w:color="auto" w:fill="F2F2F2" w:themeFill="background1" w:themeFillShade="F2"/>
            <w:vAlign w:val="center"/>
          </w:tcPr>
          <w:p w14:paraId="2DD192F4" w14:textId="77777777" w:rsidR="0019370A" w:rsidRPr="00D23537" w:rsidRDefault="0019370A" w:rsidP="00710E7E">
            <w:pPr>
              <w:rPr>
                <w:sz w:val="22"/>
                <w:szCs w:val="22"/>
              </w:rPr>
            </w:pPr>
            <w:r w:rsidRPr="00D23537">
              <w:rPr>
                <w:sz w:val="22"/>
                <w:szCs w:val="22"/>
              </w:rPr>
              <w:t xml:space="preserve">Standard milkfat test </w:t>
            </w:r>
          </w:p>
        </w:tc>
        <w:tc>
          <w:tcPr>
            <w:tcW w:w="1526" w:type="dxa"/>
            <w:tcBorders>
              <w:top w:val="nil"/>
              <w:left w:val="nil"/>
              <w:bottom w:val="nil"/>
              <w:right w:val="nil"/>
            </w:tcBorders>
            <w:shd w:val="clear" w:color="auto" w:fill="F2F2F2" w:themeFill="background1" w:themeFillShade="F2"/>
            <w:vAlign w:val="center"/>
          </w:tcPr>
          <w:p w14:paraId="5BFF6891" w14:textId="77777777" w:rsidR="0019370A" w:rsidRPr="00D23537" w:rsidRDefault="0019370A" w:rsidP="00710E7E">
            <w:pPr>
              <w:jc w:val="center"/>
              <w:rPr>
                <w:sz w:val="22"/>
                <w:szCs w:val="22"/>
              </w:rPr>
            </w:pPr>
            <w:r w:rsidRPr="00D23537">
              <w:rPr>
                <w:sz w:val="22"/>
                <w:szCs w:val="22"/>
              </w:rPr>
              <w:t>3.50</w:t>
            </w:r>
          </w:p>
        </w:tc>
        <w:tc>
          <w:tcPr>
            <w:tcW w:w="1527" w:type="dxa"/>
            <w:tcBorders>
              <w:top w:val="nil"/>
              <w:left w:val="nil"/>
              <w:bottom w:val="nil"/>
              <w:right w:val="nil"/>
            </w:tcBorders>
            <w:shd w:val="clear" w:color="auto" w:fill="F2F2F2" w:themeFill="background1" w:themeFillShade="F2"/>
            <w:vAlign w:val="center"/>
          </w:tcPr>
          <w:p w14:paraId="705B58EA" w14:textId="77777777" w:rsidR="0019370A" w:rsidRPr="00D23537" w:rsidRDefault="0019370A" w:rsidP="00710E7E">
            <w:pPr>
              <w:jc w:val="center"/>
              <w:rPr>
                <w:sz w:val="22"/>
                <w:szCs w:val="22"/>
              </w:rPr>
            </w:pPr>
            <w:r w:rsidRPr="00D23537">
              <w:rPr>
                <w:sz w:val="22"/>
                <w:szCs w:val="22"/>
              </w:rPr>
              <w:t>3.50</w:t>
            </w:r>
          </w:p>
        </w:tc>
        <w:tc>
          <w:tcPr>
            <w:tcW w:w="1527" w:type="dxa"/>
            <w:tcBorders>
              <w:top w:val="nil"/>
              <w:left w:val="nil"/>
              <w:bottom w:val="nil"/>
              <w:right w:val="nil"/>
            </w:tcBorders>
            <w:shd w:val="clear" w:color="auto" w:fill="F2F2F2" w:themeFill="background1" w:themeFillShade="F2"/>
            <w:vAlign w:val="center"/>
          </w:tcPr>
          <w:p w14:paraId="7B6F0BD4" w14:textId="77777777" w:rsidR="0019370A" w:rsidRPr="00D23537" w:rsidRDefault="0019370A" w:rsidP="00710E7E">
            <w:pPr>
              <w:jc w:val="center"/>
              <w:rPr>
                <w:sz w:val="22"/>
                <w:szCs w:val="22"/>
              </w:rPr>
            </w:pPr>
          </w:p>
        </w:tc>
      </w:tr>
      <w:tr w:rsidR="0019370A" w:rsidRPr="00D23537" w14:paraId="63C5AB82" w14:textId="77777777" w:rsidTr="00710E7E">
        <w:trPr>
          <w:trHeight w:val="288"/>
        </w:trPr>
        <w:tc>
          <w:tcPr>
            <w:tcW w:w="901" w:type="dxa"/>
            <w:tcBorders>
              <w:top w:val="nil"/>
              <w:left w:val="nil"/>
              <w:bottom w:val="nil"/>
              <w:right w:val="nil"/>
            </w:tcBorders>
            <w:shd w:val="clear" w:color="auto" w:fill="F2F2F2" w:themeFill="background1" w:themeFillShade="F2"/>
            <w:vAlign w:val="center"/>
          </w:tcPr>
          <w:p w14:paraId="3ABFE043" w14:textId="77777777" w:rsidR="0019370A" w:rsidRPr="00D23537" w:rsidRDefault="0019370A" w:rsidP="00710E7E">
            <w:pPr>
              <w:rPr>
                <w:sz w:val="22"/>
                <w:szCs w:val="22"/>
              </w:rPr>
            </w:pPr>
            <w:r w:rsidRPr="00D23537">
              <w:rPr>
                <w:rFonts w:asciiTheme="minorHAnsi" w:eastAsiaTheme="minorHAnsi" w:hAnsiTheme="minorHAnsi" w:cstheme="minorBidi"/>
                <w:position w:val="-12"/>
                <w:sz w:val="22"/>
                <w:szCs w:val="22"/>
              </w:rPr>
              <w:object w:dxaOrig="300" w:dyaOrig="360" w14:anchorId="268C3955">
                <v:shape id="_x0000_i1026" type="#_x0000_t75" style="width:14.95pt;height:18.1pt" o:ole="">
                  <v:imagedata r:id="rId6" o:title=""/>
                </v:shape>
                <o:OLEObject Type="Embed" ProgID="Equation.DSMT4" ShapeID="_x0000_i1026" DrawAspect="Content" ObjectID="_1717940017" r:id="rId7"/>
              </w:object>
            </w:r>
          </w:p>
        </w:tc>
        <w:tc>
          <w:tcPr>
            <w:tcW w:w="3869" w:type="dxa"/>
            <w:tcBorders>
              <w:top w:val="nil"/>
              <w:left w:val="nil"/>
              <w:bottom w:val="nil"/>
              <w:right w:val="nil"/>
            </w:tcBorders>
            <w:shd w:val="clear" w:color="auto" w:fill="F2F2F2" w:themeFill="background1" w:themeFillShade="F2"/>
            <w:vAlign w:val="center"/>
          </w:tcPr>
          <w:p w14:paraId="6E0B447A" w14:textId="77777777" w:rsidR="0019370A" w:rsidRPr="00D23537" w:rsidRDefault="0019370A" w:rsidP="00710E7E">
            <w:pPr>
              <w:rPr>
                <w:sz w:val="22"/>
                <w:szCs w:val="22"/>
              </w:rPr>
            </w:pPr>
            <w:r w:rsidRPr="00D23537">
              <w:rPr>
                <w:sz w:val="22"/>
                <w:szCs w:val="22"/>
              </w:rPr>
              <w:t>Farm-to-plant (additional) milkfat losses</w:t>
            </w:r>
          </w:p>
        </w:tc>
        <w:tc>
          <w:tcPr>
            <w:tcW w:w="1526" w:type="dxa"/>
            <w:tcBorders>
              <w:top w:val="nil"/>
              <w:left w:val="nil"/>
              <w:bottom w:val="nil"/>
              <w:right w:val="nil"/>
            </w:tcBorders>
            <w:shd w:val="clear" w:color="auto" w:fill="F2F2F2" w:themeFill="background1" w:themeFillShade="F2"/>
            <w:vAlign w:val="center"/>
          </w:tcPr>
          <w:p w14:paraId="414EE9DE" w14:textId="77777777" w:rsidR="0019370A" w:rsidRPr="00D23537" w:rsidRDefault="0019370A" w:rsidP="00710E7E">
            <w:pPr>
              <w:jc w:val="center"/>
              <w:rPr>
                <w:sz w:val="22"/>
                <w:szCs w:val="22"/>
              </w:rPr>
            </w:pPr>
            <w:r w:rsidRPr="00D23537">
              <w:rPr>
                <w:sz w:val="22"/>
                <w:szCs w:val="22"/>
              </w:rPr>
              <w:t>0.015</w:t>
            </w:r>
          </w:p>
        </w:tc>
        <w:tc>
          <w:tcPr>
            <w:tcW w:w="1527" w:type="dxa"/>
            <w:tcBorders>
              <w:top w:val="nil"/>
              <w:left w:val="nil"/>
              <w:bottom w:val="nil"/>
              <w:right w:val="nil"/>
            </w:tcBorders>
            <w:shd w:val="clear" w:color="auto" w:fill="F2F2F2" w:themeFill="background1" w:themeFillShade="F2"/>
            <w:vAlign w:val="center"/>
          </w:tcPr>
          <w:p w14:paraId="0B6EB2B5" w14:textId="77777777" w:rsidR="0019370A" w:rsidRPr="00D23537" w:rsidRDefault="0019370A" w:rsidP="00710E7E">
            <w:pPr>
              <w:jc w:val="center"/>
              <w:rPr>
                <w:sz w:val="22"/>
                <w:szCs w:val="22"/>
              </w:rPr>
            </w:pPr>
            <w:r w:rsidRPr="00D23537">
              <w:rPr>
                <w:sz w:val="22"/>
                <w:szCs w:val="22"/>
              </w:rPr>
              <w:t>0.015</w:t>
            </w:r>
          </w:p>
        </w:tc>
        <w:tc>
          <w:tcPr>
            <w:tcW w:w="1527" w:type="dxa"/>
            <w:tcBorders>
              <w:top w:val="nil"/>
              <w:left w:val="nil"/>
              <w:bottom w:val="nil"/>
              <w:right w:val="nil"/>
            </w:tcBorders>
            <w:shd w:val="clear" w:color="auto" w:fill="F2F2F2" w:themeFill="background1" w:themeFillShade="F2"/>
            <w:vAlign w:val="center"/>
          </w:tcPr>
          <w:p w14:paraId="30CA810D" w14:textId="77777777" w:rsidR="0019370A" w:rsidRPr="00D23537" w:rsidRDefault="0019370A" w:rsidP="00710E7E">
            <w:pPr>
              <w:jc w:val="center"/>
              <w:rPr>
                <w:sz w:val="22"/>
                <w:szCs w:val="22"/>
              </w:rPr>
            </w:pPr>
          </w:p>
        </w:tc>
      </w:tr>
      <w:tr w:rsidR="0019370A" w:rsidRPr="00D23537" w14:paraId="5BD11B53" w14:textId="77777777" w:rsidTr="00710E7E">
        <w:trPr>
          <w:trHeight w:val="288"/>
        </w:trPr>
        <w:tc>
          <w:tcPr>
            <w:tcW w:w="901" w:type="dxa"/>
            <w:tcBorders>
              <w:top w:val="nil"/>
              <w:left w:val="nil"/>
              <w:bottom w:val="nil"/>
              <w:right w:val="nil"/>
            </w:tcBorders>
            <w:shd w:val="clear" w:color="auto" w:fill="F2F2F2" w:themeFill="background1" w:themeFillShade="F2"/>
            <w:vAlign w:val="center"/>
          </w:tcPr>
          <w:p w14:paraId="315187A0" w14:textId="77777777" w:rsidR="0019370A" w:rsidRPr="00D23537" w:rsidRDefault="0019370A" w:rsidP="00710E7E">
            <w:pPr>
              <w:rPr>
                <w:sz w:val="22"/>
                <w:szCs w:val="22"/>
              </w:rPr>
            </w:pPr>
            <w:r w:rsidRPr="00D23537">
              <w:rPr>
                <w:rFonts w:asciiTheme="minorHAnsi" w:eastAsiaTheme="minorHAnsi" w:hAnsiTheme="minorHAnsi" w:cstheme="minorBidi"/>
                <w:position w:val="-12"/>
                <w:sz w:val="22"/>
                <w:szCs w:val="22"/>
              </w:rPr>
              <w:object w:dxaOrig="300" w:dyaOrig="360" w14:anchorId="6C802B32">
                <v:shape id="_x0000_i1027" type="#_x0000_t75" style="width:14.95pt;height:18.1pt" o:ole="">
                  <v:imagedata r:id="rId8" o:title=""/>
                </v:shape>
                <o:OLEObject Type="Embed" ProgID="Equation.DSMT4" ShapeID="_x0000_i1027" DrawAspect="Content" ObjectID="_1717940018" r:id="rId9"/>
              </w:object>
            </w:r>
          </w:p>
        </w:tc>
        <w:tc>
          <w:tcPr>
            <w:tcW w:w="3869" w:type="dxa"/>
            <w:tcBorders>
              <w:top w:val="nil"/>
              <w:left w:val="nil"/>
              <w:bottom w:val="nil"/>
              <w:right w:val="nil"/>
            </w:tcBorders>
            <w:shd w:val="clear" w:color="auto" w:fill="F2F2F2" w:themeFill="background1" w:themeFillShade="F2"/>
            <w:vAlign w:val="center"/>
          </w:tcPr>
          <w:p w14:paraId="1FCCC019" w14:textId="77777777" w:rsidR="0019370A" w:rsidRPr="00D23537" w:rsidRDefault="0019370A" w:rsidP="00710E7E">
            <w:pPr>
              <w:rPr>
                <w:sz w:val="22"/>
                <w:szCs w:val="22"/>
              </w:rPr>
            </w:pPr>
            <w:r w:rsidRPr="00D23537">
              <w:rPr>
                <w:sz w:val="22"/>
                <w:szCs w:val="22"/>
              </w:rPr>
              <w:t>Casein percent of true protein</w:t>
            </w:r>
          </w:p>
        </w:tc>
        <w:tc>
          <w:tcPr>
            <w:tcW w:w="1526" w:type="dxa"/>
            <w:tcBorders>
              <w:top w:val="nil"/>
              <w:left w:val="nil"/>
              <w:bottom w:val="nil"/>
              <w:right w:val="nil"/>
            </w:tcBorders>
            <w:shd w:val="clear" w:color="auto" w:fill="F2F2F2" w:themeFill="background1" w:themeFillShade="F2"/>
            <w:vAlign w:val="center"/>
          </w:tcPr>
          <w:p w14:paraId="0CF230B0" w14:textId="77777777" w:rsidR="0019370A" w:rsidRPr="00D23537" w:rsidRDefault="0019370A" w:rsidP="00710E7E">
            <w:pPr>
              <w:jc w:val="center"/>
              <w:rPr>
                <w:sz w:val="22"/>
                <w:szCs w:val="22"/>
              </w:rPr>
            </w:pPr>
            <w:r w:rsidRPr="00D23537">
              <w:rPr>
                <w:sz w:val="22"/>
                <w:szCs w:val="22"/>
              </w:rPr>
              <w:t>0.822</w:t>
            </w:r>
          </w:p>
        </w:tc>
        <w:tc>
          <w:tcPr>
            <w:tcW w:w="1527" w:type="dxa"/>
            <w:tcBorders>
              <w:top w:val="nil"/>
              <w:left w:val="nil"/>
              <w:bottom w:val="nil"/>
              <w:right w:val="nil"/>
            </w:tcBorders>
            <w:shd w:val="clear" w:color="auto" w:fill="F2F2F2" w:themeFill="background1" w:themeFillShade="F2"/>
            <w:vAlign w:val="center"/>
          </w:tcPr>
          <w:p w14:paraId="42428CDB" w14:textId="77777777" w:rsidR="0019370A" w:rsidRPr="00D23537" w:rsidRDefault="0019370A" w:rsidP="00710E7E">
            <w:pPr>
              <w:jc w:val="center"/>
              <w:rPr>
                <w:sz w:val="22"/>
                <w:szCs w:val="22"/>
              </w:rPr>
            </w:pPr>
          </w:p>
        </w:tc>
        <w:tc>
          <w:tcPr>
            <w:tcW w:w="1527" w:type="dxa"/>
            <w:tcBorders>
              <w:top w:val="nil"/>
              <w:left w:val="nil"/>
              <w:bottom w:val="nil"/>
              <w:right w:val="nil"/>
            </w:tcBorders>
            <w:shd w:val="clear" w:color="auto" w:fill="F2F2F2" w:themeFill="background1" w:themeFillShade="F2"/>
            <w:vAlign w:val="center"/>
          </w:tcPr>
          <w:p w14:paraId="0E227AE3" w14:textId="77777777" w:rsidR="0019370A" w:rsidRPr="00D23537" w:rsidRDefault="0019370A" w:rsidP="00710E7E">
            <w:pPr>
              <w:jc w:val="center"/>
              <w:rPr>
                <w:sz w:val="22"/>
                <w:szCs w:val="22"/>
              </w:rPr>
            </w:pPr>
            <w:r w:rsidRPr="00D23537">
              <w:rPr>
                <w:sz w:val="22"/>
                <w:szCs w:val="22"/>
              </w:rPr>
              <w:t>0.822</w:t>
            </w:r>
          </w:p>
        </w:tc>
      </w:tr>
      <w:tr w:rsidR="0019370A" w:rsidRPr="00D23537" w14:paraId="22661C97" w14:textId="77777777" w:rsidTr="00710E7E">
        <w:trPr>
          <w:trHeight w:val="288"/>
        </w:trPr>
        <w:tc>
          <w:tcPr>
            <w:tcW w:w="901" w:type="dxa"/>
            <w:tcBorders>
              <w:top w:val="nil"/>
              <w:left w:val="nil"/>
              <w:bottom w:val="nil"/>
              <w:right w:val="nil"/>
            </w:tcBorders>
            <w:shd w:val="clear" w:color="auto" w:fill="F2F2F2" w:themeFill="background1" w:themeFillShade="F2"/>
            <w:vAlign w:val="center"/>
          </w:tcPr>
          <w:p w14:paraId="00121639" w14:textId="77777777" w:rsidR="0019370A" w:rsidRPr="00D23537" w:rsidRDefault="0019370A" w:rsidP="00710E7E">
            <w:pPr>
              <w:rPr>
                <w:sz w:val="22"/>
                <w:szCs w:val="22"/>
              </w:rPr>
            </w:pPr>
            <w:r w:rsidRPr="00D23537">
              <w:rPr>
                <w:rFonts w:asciiTheme="minorHAnsi" w:eastAsiaTheme="minorHAnsi" w:hAnsiTheme="minorHAnsi" w:cstheme="minorBidi"/>
                <w:position w:val="-12"/>
                <w:sz w:val="22"/>
                <w:szCs w:val="22"/>
              </w:rPr>
              <w:object w:dxaOrig="220" w:dyaOrig="360" w14:anchorId="0C061BA6">
                <v:shape id="_x0000_i1028" type="#_x0000_t75" style="width:10.85pt;height:18.1pt" o:ole="">
                  <v:imagedata r:id="rId10" o:title=""/>
                </v:shape>
                <o:OLEObject Type="Embed" ProgID="Equation.DSMT4" ShapeID="_x0000_i1028" DrawAspect="Content" ObjectID="_1717940019" r:id="rId11"/>
              </w:object>
            </w:r>
          </w:p>
        </w:tc>
        <w:tc>
          <w:tcPr>
            <w:tcW w:w="3869" w:type="dxa"/>
            <w:tcBorders>
              <w:top w:val="nil"/>
              <w:left w:val="nil"/>
              <w:bottom w:val="nil"/>
              <w:right w:val="nil"/>
            </w:tcBorders>
            <w:shd w:val="clear" w:color="auto" w:fill="F2F2F2" w:themeFill="background1" w:themeFillShade="F2"/>
            <w:vAlign w:val="center"/>
          </w:tcPr>
          <w:p w14:paraId="50EB3EBB" w14:textId="77777777" w:rsidR="0019370A" w:rsidRPr="00D23537" w:rsidRDefault="0019370A" w:rsidP="00710E7E">
            <w:pPr>
              <w:rPr>
                <w:sz w:val="22"/>
                <w:szCs w:val="22"/>
              </w:rPr>
            </w:pPr>
            <w:r w:rsidRPr="00D23537">
              <w:rPr>
                <w:sz w:val="22"/>
                <w:szCs w:val="22"/>
              </w:rPr>
              <w:t>Casein loss to whey</w:t>
            </w:r>
          </w:p>
        </w:tc>
        <w:tc>
          <w:tcPr>
            <w:tcW w:w="1526" w:type="dxa"/>
            <w:tcBorders>
              <w:top w:val="nil"/>
              <w:left w:val="nil"/>
              <w:bottom w:val="nil"/>
              <w:right w:val="nil"/>
            </w:tcBorders>
            <w:shd w:val="clear" w:color="auto" w:fill="F2F2F2" w:themeFill="background1" w:themeFillShade="F2"/>
            <w:vAlign w:val="center"/>
          </w:tcPr>
          <w:p w14:paraId="6BD26459" w14:textId="77777777" w:rsidR="0019370A" w:rsidRPr="00D23537" w:rsidRDefault="0019370A" w:rsidP="00710E7E">
            <w:pPr>
              <w:jc w:val="center"/>
              <w:rPr>
                <w:sz w:val="22"/>
                <w:szCs w:val="22"/>
              </w:rPr>
            </w:pPr>
            <w:r w:rsidRPr="00D23537">
              <w:rPr>
                <w:sz w:val="22"/>
                <w:szCs w:val="22"/>
              </w:rPr>
              <w:t>0.1</w:t>
            </w:r>
          </w:p>
        </w:tc>
        <w:tc>
          <w:tcPr>
            <w:tcW w:w="1527" w:type="dxa"/>
            <w:tcBorders>
              <w:top w:val="nil"/>
              <w:left w:val="nil"/>
              <w:bottom w:val="nil"/>
              <w:right w:val="nil"/>
            </w:tcBorders>
            <w:shd w:val="clear" w:color="auto" w:fill="F2F2F2" w:themeFill="background1" w:themeFillShade="F2"/>
            <w:vAlign w:val="center"/>
          </w:tcPr>
          <w:p w14:paraId="01609EB3" w14:textId="77777777" w:rsidR="0019370A" w:rsidRPr="00D23537" w:rsidRDefault="0019370A" w:rsidP="00710E7E">
            <w:pPr>
              <w:jc w:val="center"/>
              <w:rPr>
                <w:sz w:val="22"/>
                <w:szCs w:val="22"/>
              </w:rPr>
            </w:pPr>
          </w:p>
        </w:tc>
        <w:tc>
          <w:tcPr>
            <w:tcW w:w="1527" w:type="dxa"/>
            <w:tcBorders>
              <w:top w:val="nil"/>
              <w:left w:val="nil"/>
              <w:bottom w:val="nil"/>
              <w:right w:val="nil"/>
            </w:tcBorders>
            <w:shd w:val="clear" w:color="auto" w:fill="F2F2F2" w:themeFill="background1" w:themeFillShade="F2"/>
            <w:vAlign w:val="center"/>
          </w:tcPr>
          <w:p w14:paraId="72B4EFF2" w14:textId="77777777" w:rsidR="0019370A" w:rsidRPr="00D23537" w:rsidRDefault="0019370A" w:rsidP="00710E7E">
            <w:pPr>
              <w:jc w:val="center"/>
              <w:rPr>
                <w:sz w:val="22"/>
                <w:szCs w:val="22"/>
              </w:rPr>
            </w:pPr>
            <w:r w:rsidRPr="00D23537">
              <w:rPr>
                <w:sz w:val="22"/>
                <w:szCs w:val="22"/>
              </w:rPr>
              <w:t>0.1</w:t>
            </w:r>
          </w:p>
        </w:tc>
      </w:tr>
      <w:tr w:rsidR="0019370A" w:rsidRPr="00D23537" w14:paraId="0DC01DD0" w14:textId="77777777" w:rsidTr="00710E7E">
        <w:trPr>
          <w:trHeight w:val="288"/>
        </w:trPr>
        <w:tc>
          <w:tcPr>
            <w:tcW w:w="901" w:type="dxa"/>
            <w:tcBorders>
              <w:top w:val="nil"/>
              <w:left w:val="nil"/>
              <w:bottom w:val="nil"/>
              <w:right w:val="nil"/>
            </w:tcBorders>
            <w:shd w:val="clear" w:color="auto" w:fill="F2F2F2" w:themeFill="background1" w:themeFillShade="F2"/>
            <w:vAlign w:val="center"/>
          </w:tcPr>
          <w:p w14:paraId="42638DAB" w14:textId="77777777" w:rsidR="0019370A" w:rsidRPr="00D23537" w:rsidRDefault="0019370A" w:rsidP="00710E7E">
            <w:pPr>
              <w:rPr>
                <w:sz w:val="22"/>
                <w:szCs w:val="22"/>
              </w:rPr>
            </w:pPr>
            <w:r w:rsidRPr="00D23537">
              <w:rPr>
                <w:rFonts w:asciiTheme="minorHAnsi" w:eastAsiaTheme="minorHAnsi" w:hAnsiTheme="minorHAnsi" w:cstheme="minorBidi"/>
                <w:position w:val="-10"/>
                <w:sz w:val="22"/>
                <w:szCs w:val="22"/>
              </w:rPr>
              <w:object w:dxaOrig="220" w:dyaOrig="260" w14:anchorId="615F53CB">
                <v:shape id="_x0000_i1029" type="#_x0000_t75" style="width:10.85pt;height:13.15pt" o:ole="">
                  <v:imagedata r:id="rId12" o:title=""/>
                </v:shape>
                <o:OLEObject Type="Embed" ProgID="Equation.DSMT4" ShapeID="_x0000_i1029" DrawAspect="Content" ObjectID="_1717940020" r:id="rId13"/>
              </w:object>
            </w:r>
          </w:p>
        </w:tc>
        <w:tc>
          <w:tcPr>
            <w:tcW w:w="3869" w:type="dxa"/>
            <w:tcBorders>
              <w:top w:val="nil"/>
              <w:left w:val="nil"/>
              <w:bottom w:val="nil"/>
              <w:right w:val="nil"/>
            </w:tcBorders>
            <w:shd w:val="clear" w:color="auto" w:fill="F2F2F2" w:themeFill="background1" w:themeFillShade="F2"/>
            <w:vAlign w:val="center"/>
          </w:tcPr>
          <w:p w14:paraId="003EB789" w14:textId="77777777" w:rsidR="0019370A" w:rsidRPr="00D23537" w:rsidRDefault="0019370A" w:rsidP="00710E7E">
            <w:pPr>
              <w:rPr>
                <w:sz w:val="22"/>
                <w:szCs w:val="22"/>
              </w:rPr>
            </w:pPr>
            <w:r w:rsidRPr="00D23537">
              <w:rPr>
                <w:sz w:val="22"/>
                <w:szCs w:val="22"/>
              </w:rPr>
              <w:t>Theoretical yield formula</w:t>
            </w:r>
          </w:p>
        </w:tc>
        <w:tc>
          <w:tcPr>
            <w:tcW w:w="1526" w:type="dxa"/>
            <w:tcBorders>
              <w:top w:val="nil"/>
              <w:left w:val="nil"/>
              <w:bottom w:val="nil"/>
              <w:right w:val="nil"/>
            </w:tcBorders>
            <w:shd w:val="clear" w:color="auto" w:fill="F2F2F2" w:themeFill="background1" w:themeFillShade="F2"/>
            <w:vAlign w:val="center"/>
          </w:tcPr>
          <w:p w14:paraId="0113B128" w14:textId="77777777" w:rsidR="0019370A" w:rsidRPr="00D23537" w:rsidRDefault="0019370A" w:rsidP="00710E7E">
            <w:pPr>
              <w:jc w:val="center"/>
              <w:rPr>
                <w:sz w:val="22"/>
                <w:szCs w:val="22"/>
              </w:rPr>
            </w:pPr>
            <w:r w:rsidRPr="00D23537">
              <w:rPr>
                <w:sz w:val="22"/>
                <w:szCs w:val="22"/>
              </w:rPr>
              <w:t>1.09</w:t>
            </w:r>
          </w:p>
        </w:tc>
        <w:tc>
          <w:tcPr>
            <w:tcW w:w="1527" w:type="dxa"/>
            <w:tcBorders>
              <w:top w:val="nil"/>
              <w:left w:val="nil"/>
              <w:bottom w:val="nil"/>
              <w:right w:val="nil"/>
            </w:tcBorders>
            <w:shd w:val="clear" w:color="auto" w:fill="F2F2F2" w:themeFill="background1" w:themeFillShade="F2"/>
            <w:vAlign w:val="center"/>
          </w:tcPr>
          <w:p w14:paraId="6B7FE95A" w14:textId="77777777" w:rsidR="0019370A" w:rsidRPr="00D23537" w:rsidRDefault="0019370A" w:rsidP="00710E7E">
            <w:pPr>
              <w:jc w:val="center"/>
              <w:rPr>
                <w:sz w:val="22"/>
                <w:szCs w:val="22"/>
              </w:rPr>
            </w:pPr>
            <w:r w:rsidRPr="00D23537">
              <w:rPr>
                <w:sz w:val="22"/>
                <w:szCs w:val="22"/>
              </w:rPr>
              <w:t>1.09</w:t>
            </w:r>
          </w:p>
        </w:tc>
        <w:tc>
          <w:tcPr>
            <w:tcW w:w="1527" w:type="dxa"/>
            <w:tcBorders>
              <w:top w:val="nil"/>
              <w:left w:val="nil"/>
              <w:bottom w:val="nil"/>
              <w:right w:val="nil"/>
            </w:tcBorders>
            <w:shd w:val="clear" w:color="auto" w:fill="F2F2F2" w:themeFill="background1" w:themeFillShade="F2"/>
            <w:vAlign w:val="center"/>
          </w:tcPr>
          <w:p w14:paraId="25281526" w14:textId="77777777" w:rsidR="0019370A" w:rsidRPr="00D23537" w:rsidRDefault="0019370A" w:rsidP="00710E7E">
            <w:pPr>
              <w:jc w:val="center"/>
              <w:rPr>
                <w:sz w:val="22"/>
                <w:szCs w:val="22"/>
              </w:rPr>
            </w:pPr>
            <w:r w:rsidRPr="00D23537">
              <w:rPr>
                <w:sz w:val="22"/>
                <w:szCs w:val="22"/>
              </w:rPr>
              <w:t>1.09</w:t>
            </w:r>
          </w:p>
        </w:tc>
      </w:tr>
      <w:tr w:rsidR="0019370A" w:rsidRPr="00D23537" w14:paraId="2389D5C7" w14:textId="77777777" w:rsidTr="00710E7E">
        <w:trPr>
          <w:trHeight w:val="288"/>
        </w:trPr>
        <w:tc>
          <w:tcPr>
            <w:tcW w:w="901" w:type="dxa"/>
            <w:tcBorders>
              <w:top w:val="nil"/>
              <w:left w:val="nil"/>
              <w:bottom w:val="nil"/>
              <w:right w:val="nil"/>
            </w:tcBorders>
            <w:shd w:val="clear" w:color="auto" w:fill="F2F2F2" w:themeFill="background1" w:themeFillShade="F2"/>
            <w:vAlign w:val="center"/>
          </w:tcPr>
          <w:p w14:paraId="1E446139" w14:textId="0CE26E19" w:rsidR="0019370A" w:rsidRPr="00C87F5A" w:rsidRDefault="0023047A" w:rsidP="00923CD8">
            <w:pPr>
              <w:rPr>
                <w:i/>
                <w:iCs/>
                <w:sz w:val="22"/>
                <w:szCs w:val="22"/>
              </w:rPr>
            </w:pPr>
            <w:r w:rsidRPr="00C87F5A">
              <w:rPr>
                <w:rFonts w:eastAsiaTheme="minorEastAsia"/>
                <w:i/>
                <w:iCs/>
                <w:sz w:val="22"/>
                <w:szCs w:val="22"/>
              </w:rPr>
              <w:t>P</w:t>
            </w:r>
            <w:r w:rsidRPr="00C87F5A">
              <w:rPr>
                <w:rFonts w:eastAsiaTheme="minorEastAsia"/>
                <w:i/>
                <w:iCs/>
                <w:sz w:val="22"/>
                <w:szCs w:val="22"/>
                <w:vertAlign w:val="subscript"/>
              </w:rPr>
              <w:t>t</w:t>
            </w:r>
          </w:p>
        </w:tc>
        <w:tc>
          <w:tcPr>
            <w:tcW w:w="3869" w:type="dxa"/>
            <w:tcBorders>
              <w:top w:val="nil"/>
              <w:left w:val="nil"/>
              <w:bottom w:val="nil"/>
              <w:right w:val="nil"/>
            </w:tcBorders>
            <w:shd w:val="clear" w:color="auto" w:fill="F2F2F2" w:themeFill="background1" w:themeFillShade="F2"/>
            <w:vAlign w:val="center"/>
          </w:tcPr>
          <w:p w14:paraId="40528513" w14:textId="74055F5B" w:rsidR="0019370A" w:rsidRPr="00D23537" w:rsidRDefault="0019370A" w:rsidP="00710E7E">
            <w:r w:rsidRPr="00D23537">
              <w:rPr>
                <w:sz w:val="22"/>
                <w:szCs w:val="22"/>
              </w:rPr>
              <w:t>True protein test</w:t>
            </w:r>
            <w:r w:rsidR="00C5492A" w:rsidRPr="00D23537">
              <w:rPr>
                <w:sz w:val="22"/>
                <w:szCs w:val="22"/>
              </w:rPr>
              <w:t xml:space="preserve"> *</w:t>
            </w:r>
          </w:p>
        </w:tc>
        <w:tc>
          <w:tcPr>
            <w:tcW w:w="1526" w:type="dxa"/>
            <w:tcBorders>
              <w:top w:val="nil"/>
              <w:left w:val="nil"/>
              <w:bottom w:val="nil"/>
              <w:right w:val="nil"/>
            </w:tcBorders>
            <w:shd w:val="clear" w:color="auto" w:fill="F2F2F2" w:themeFill="background1" w:themeFillShade="F2"/>
            <w:vAlign w:val="center"/>
          </w:tcPr>
          <w:p w14:paraId="38C7FAAD" w14:textId="77777777" w:rsidR="0019370A" w:rsidRPr="00D23537" w:rsidRDefault="0019370A" w:rsidP="00710E7E">
            <w:pPr>
              <w:jc w:val="center"/>
              <w:rPr>
                <w:sz w:val="22"/>
                <w:szCs w:val="22"/>
              </w:rPr>
            </w:pPr>
            <w:r w:rsidRPr="00D23537">
              <w:rPr>
                <w:sz w:val="22"/>
                <w:szCs w:val="22"/>
              </w:rPr>
              <w:t>2.9915</w:t>
            </w:r>
          </w:p>
        </w:tc>
        <w:tc>
          <w:tcPr>
            <w:tcW w:w="1527" w:type="dxa"/>
            <w:tcBorders>
              <w:top w:val="nil"/>
              <w:left w:val="nil"/>
              <w:bottom w:val="nil"/>
              <w:right w:val="nil"/>
            </w:tcBorders>
            <w:shd w:val="clear" w:color="auto" w:fill="F2F2F2" w:themeFill="background1" w:themeFillShade="F2"/>
            <w:vAlign w:val="center"/>
          </w:tcPr>
          <w:p w14:paraId="6AE89157" w14:textId="77777777" w:rsidR="0019370A" w:rsidRPr="00D23537" w:rsidRDefault="0019370A" w:rsidP="00710E7E">
            <w:pPr>
              <w:jc w:val="center"/>
              <w:rPr>
                <w:sz w:val="22"/>
                <w:szCs w:val="22"/>
              </w:rPr>
            </w:pPr>
          </w:p>
        </w:tc>
        <w:tc>
          <w:tcPr>
            <w:tcW w:w="1527" w:type="dxa"/>
            <w:tcBorders>
              <w:top w:val="nil"/>
              <w:left w:val="nil"/>
              <w:bottom w:val="nil"/>
              <w:right w:val="nil"/>
            </w:tcBorders>
            <w:shd w:val="clear" w:color="auto" w:fill="F2F2F2" w:themeFill="background1" w:themeFillShade="F2"/>
            <w:vAlign w:val="center"/>
          </w:tcPr>
          <w:p w14:paraId="771CB648" w14:textId="77777777" w:rsidR="0019370A" w:rsidRPr="00D23537" w:rsidRDefault="0019370A" w:rsidP="00710E7E">
            <w:pPr>
              <w:jc w:val="center"/>
              <w:rPr>
                <w:sz w:val="22"/>
                <w:szCs w:val="22"/>
              </w:rPr>
            </w:pPr>
            <w:r w:rsidRPr="00D23537">
              <w:rPr>
                <w:sz w:val="22"/>
                <w:szCs w:val="22"/>
              </w:rPr>
              <w:t>2.9915</w:t>
            </w:r>
          </w:p>
        </w:tc>
      </w:tr>
      <w:tr w:rsidR="0019370A" w:rsidRPr="00D23537" w14:paraId="4BC6363C" w14:textId="77777777" w:rsidTr="00710E7E">
        <w:trPr>
          <w:trHeight w:val="288"/>
        </w:trPr>
        <w:tc>
          <w:tcPr>
            <w:tcW w:w="901" w:type="dxa"/>
            <w:tcBorders>
              <w:top w:val="nil"/>
              <w:left w:val="nil"/>
              <w:bottom w:val="nil"/>
              <w:right w:val="nil"/>
            </w:tcBorders>
            <w:shd w:val="clear" w:color="auto" w:fill="F2F2F2" w:themeFill="background1" w:themeFillShade="F2"/>
            <w:vAlign w:val="center"/>
          </w:tcPr>
          <w:p w14:paraId="79DB033D" w14:textId="77777777" w:rsidR="0019370A" w:rsidRPr="00D23537" w:rsidRDefault="0019370A" w:rsidP="00710E7E">
            <w:pPr>
              <w:rPr>
                <w:sz w:val="22"/>
                <w:szCs w:val="22"/>
              </w:rPr>
            </w:pPr>
            <w:r w:rsidRPr="00D23537">
              <w:rPr>
                <w:rFonts w:asciiTheme="minorHAnsi" w:eastAsiaTheme="minorHAnsi" w:hAnsiTheme="minorHAnsi" w:cstheme="minorBidi"/>
                <w:position w:val="-12"/>
                <w:sz w:val="22"/>
                <w:szCs w:val="22"/>
              </w:rPr>
              <w:object w:dxaOrig="360" w:dyaOrig="360" w14:anchorId="29DC09C6">
                <v:shape id="_x0000_i1030" type="#_x0000_t75" style="width:18.1pt;height:18.1pt" o:ole="">
                  <v:imagedata r:id="rId14" o:title=""/>
                </v:shape>
                <o:OLEObject Type="Embed" ProgID="Equation.DSMT4" ShapeID="_x0000_i1030" DrawAspect="Content" ObjectID="_1717940021" r:id="rId15"/>
              </w:object>
            </w:r>
          </w:p>
        </w:tc>
        <w:tc>
          <w:tcPr>
            <w:tcW w:w="3869" w:type="dxa"/>
            <w:tcBorders>
              <w:top w:val="nil"/>
              <w:left w:val="nil"/>
              <w:bottom w:val="nil"/>
              <w:right w:val="nil"/>
            </w:tcBorders>
            <w:shd w:val="clear" w:color="auto" w:fill="F2F2F2" w:themeFill="background1" w:themeFillShade="F2"/>
            <w:vAlign w:val="center"/>
          </w:tcPr>
          <w:p w14:paraId="62183418" w14:textId="77777777" w:rsidR="0019370A" w:rsidRPr="00D23537" w:rsidRDefault="0019370A" w:rsidP="00710E7E">
            <w:pPr>
              <w:rPr>
                <w:sz w:val="22"/>
                <w:szCs w:val="22"/>
              </w:rPr>
            </w:pPr>
            <w:r w:rsidRPr="00D23537">
              <w:rPr>
                <w:sz w:val="22"/>
                <w:szCs w:val="22"/>
              </w:rPr>
              <w:t>Moisture level</w:t>
            </w:r>
          </w:p>
        </w:tc>
        <w:tc>
          <w:tcPr>
            <w:tcW w:w="1526" w:type="dxa"/>
            <w:tcBorders>
              <w:top w:val="nil"/>
              <w:left w:val="nil"/>
              <w:bottom w:val="nil"/>
              <w:right w:val="nil"/>
            </w:tcBorders>
            <w:shd w:val="clear" w:color="auto" w:fill="F2F2F2" w:themeFill="background1" w:themeFillShade="F2"/>
            <w:vAlign w:val="center"/>
          </w:tcPr>
          <w:p w14:paraId="55935D27" w14:textId="77777777" w:rsidR="0019370A" w:rsidRPr="00D23537" w:rsidRDefault="0019370A" w:rsidP="00710E7E">
            <w:pPr>
              <w:jc w:val="center"/>
              <w:rPr>
                <w:sz w:val="22"/>
                <w:szCs w:val="22"/>
              </w:rPr>
            </w:pPr>
            <w:r w:rsidRPr="00D23537">
              <w:rPr>
                <w:sz w:val="22"/>
                <w:szCs w:val="22"/>
              </w:rPr>
              <w:t>38%</w:t>
            </w:r>
          </w:p>
        </w:tc>
        <w:tc>
          <w:tcPr>
            <w:tcW w:w="1527" w:type="dxa"/>
            <w:tcBorders>
              <w:top w:val="nil"/>
              <w:left w:val="nil"/>
              <w:bottom w:val="nil"/>
              <w:right w:val="nil"/>
            </w:tcBorders>
            <w:shd w:val="clear" w:color="auto" w:fill="F2F2F2" w:themeFill="background1" w:themeFillShade="F2"/>
            <w:vAlign w:val="center"/>
          </w:tcPr>
          <w:p w14:paraId="1169723E" w14:textId="77777777" w:rsidR="0019370A" w:rsidRPr="00D23537" w:rsidRDefault="0019370A" w:rsidP="00710E7E">
            <w:pPr>
              <w:jc w:val="center"/>
              <w:rPr>
                <w:sz w:val="22"/>
                <w:szCs w:val="22"/>
              </w:rPr>
            </w:pPr>
            <w:r w:rsidRPr="00D23537">
              <w:rPr>
                <w:sz w:val="22"/>
                <w:szCs w:val="22"/>
              </w:rPr>
              <w:t>38%</w:t>
            </w:r>
          </w:p>
        </w:tc>
        <w:tc>
          <w:tcPr>
            <w:tcW w:w="1527" w:type="dxa"/>
            <w:tcBorders>
              <w:top w:val="nil"/>
              <w:left w:val="nil"/>
              <w:bottom w:val="nil"/>
              <w:right w:val="nil"/>
            </w:tcBorders>
            <w:shd w:val="clear" w:color="auto" w:fill="F2F2F2" w:themeFill="background1" w:themeFillShade="F2"/>
            <w:vAlign w:val="center"/>
          </w:tcPr>
          <w:p w14:paraId="15507C88" w14:textId="77777777" w:rsidR="0019370A" w:rsidRPr="00D23537" w:rsidRDefault="0019370A" w:rsidP="00710E7E">
            <w:pPr>
              <w:jc w:val="center"/>
              <w:rPr>
                <w:sz w:val="22"/>
                <w:szCs w:val="22"/>
              </w:rPr>
            </w:pPr>
            <w:r w:rsidRPr="00D23537">
              <w:rPr>
                <w:sz w:val="22"/>
                <w:szCs w:val="22"/>
              </w:rPr>
              <w:t>38%</w:t>
            </w:r>
          </w:p>
        </w:tc>
      </w:tr>
      <w:tr w:rsidR="0019370A" w:rsidRPr="00D23537" w14:paraId="4067CA56" w14:textId="77777777" w:rsidTr="00710E7E">
        <w:trPr>
          <w:trHeight w:val="288"/>
        </w:trPr>
        <w:tc>
          <w:tcPr>
            <w:tcW w:w="901" w:type="dxa"/>
            <w:tcBorders>
              <w:top w:val="nil"/>
              <w:left w:val="nil"/>
              <w:bottom w:val="single" w:sz="4" w:space="0" w:color="auto"/>
              <w:right w:val="nil"/>
            </w:tcBorders>
            <w:shd w:val="clear" w:color="auto" w:fill="F2F2F2" w:themeFill="background1" w:themeFillShade="F2"/>
            <w:vAlign w:val="center"/>
          </w:tcPr>
          <w:p w14:paraId="0E1B8AEB" w14:textId="77777777" w:rsidR="0019370A" w:rsidRPr="00D23537" w:rsidRDefault="0019370A" w:rsidP="00710E7E">
            <w:pPr>
              <w:rPr>
                <w:sz w:val="22"/>
                <w:szCs w:val="22"/>
              </w:rPr>
            </w:pPr>
            <w:r w:rsidRPr="00D23537">
              <w:rPr>
                <w:sz w:val="22"/>
                <w:szCs w:val="22"/>
              </w:rPr>
              <w:t>L</w:t>
            </w:r>
          </w:p>
        </w:tc>
        <w:tc>
          <w:tcPr>
            <w:tcW w:w="3869" w:type="dxa"/>
            <w:tcBorders>
              <w:top w:val="nil"/>
              <w:left w:val="nil"/>
              <w:bottom w:val="single" w:sz="4" w:space="0" w:color="auto"/>
              <w:right w:val="nil"/>
            </w:tcBorders>
            <w:shd w:val="clear" w:color="auto" w:fill="F2F2F2" w:themeFill="background1" w:themeFillShade="F2"/>
            <w:vAlign w:val="center"/>
          </w:tcPr>
          <w:p w14:paraId="51AD1B28" w14:textId="77777777" w:rsidR="0019370A" w:rsidRPr="00D23537" w:rsidRDefault="0019370A" w:rsidP="00710E7E">
            <w:pPr>
              <w:rPr>
                <w:sz w:val="22"/>
                <w:szCs w:val="22"/>
              </w:rPr>
            </w:pPr>
            <w:r w:rsidRPr="00D23537">
              <w:rPr>
                <w:sz w:val="22"/>
                <w:szCs w:val="22"/>
              </w:rPr>
              <w:t>Farm-to-plant milk losses</w:t>
            </w:r>
          </w:p>
        </w:tc>
        <w:tc>
          <w:tcPr>
            <w:tcW w:w="1526" w:type="dxa"/>
            <w:tcBorders>
              <w:top w:val="nil"/>
              <w:left w:val="nil"/>
              <w:bottom w:val="single" w:sz="4" w:space="0" w:color="auto"/>
              <w:right w:val="nil"/>
            </w:tcBorders>
            <w:shd w:val="clear" w:color="auto" w:fill="F2F2F2" w:themeFill="background1" w:themeFillShade="F2"/>
            <w:vAlign w:val="center"/>
          </w:tcPr>
          <w:p w14:paraId="78F7B9CD" w14:textId="77777777" w:rsidR="0019370A" w:rsidRPr="00D23537" w:rsidRDefault="0019370A" w:rsidP="00710E7E">
            <w:pPr>
              <w:jc w:val="center"/>
              <w:rPr>
                <w:sz w:val="22"/>
                <w:szCs w:val="22"/>
              </w:rPr>
            </w:pPr>
            <w:r w:rsidRPr="00D23537">
              <w:rPr>
                <w:sz w:val="22"/>
                <w:szCs w:val="22"/>
              </w:rPr>
              <w:t>0.0025</w:t>
            </w:r>
          </w:p>
        </w:tc>
        <w:tc>
          <w:tcPr>
            <w:tcW w:w="1527" w:type="dxa"/>
            <w:tcBorders>
              <w:top w:val="nil"/>
              <w:left w:val="nil"/>
              <w:bottom w:val="single" w:sz="4" w:space="0" w:color="auto"/>
              <w:right w:val="nil"/>
            </w:tcBorders>
            <w:shd w:val="clear" w:color="auto" w:fill="F2F2F2" w:themeFill="background1" w:themeFillShade="F2"/>
            <w:vAlign w:val="center"/>
          </w:tcPr>
          <w:p w14:paraId="529FD95E" w14:textId="77777777" w:rsidR="0019370A" w:rsidRPr="00D23537" w:rsidRDefault="0019370A" w:rsidP="00710E7E">
            <w:pPr>
              <w:jc w:val="center"/>
              <w:rPr>
                <w:sz w:val="22"/>
                <w:szCs w:val="22"/>
              </w:rPr>
            </w:pPr>
            <w:r w:rsidRPr="00D23537">
              <w:rPr>
                <w:sz w:val="22"/>
                <w:szCs w:val="22"/>
              </w:rPr>
              <w:t>0.0025</w:t>
            </w:r>
          </w:p>
        </w:tc>
        <w:tc>
          <w:tcPr>
            <w:tcW w:w="1527" w:type="dxa"/>
            <w:tcBorders>
              <w:top w:val="nil"/>
              <w:left w:val="nil"/>
              <w:bottom w:val="single" w:sz="4" w:space="0" w:color="auto"/>
              <w:right w:val="nil"/>
            </w:tcBorders>
            <w:shd w:val="clear" w:color="auto" w:fill="F2F2F2" w:themeFill="background1" w:themeFillShade="F2"/>
            <w:vAlign w:val="center"/>
          </w:tcPr>
          <w:p w14:paraId="5962DA91" w14:textId="77777777" w:rsidR="0019370A" w:rsidRPr="00D23537" w:rsidRDefault="0019370A" w:rsidP="00710E7E">
            <w:pPr>
              <w:jc w:val="center"/>
              <w:rPr>
                <w:sz w:val="22"/>
                <w:szCs w:val="22"/>
              </w:rPr>
            </w:pPr>
            <w:r w:rsidRPr="00D23537">
              <w:rPr>
                <w:sz w:val="22"/>
                <w:szCs w:val="22"/>
              </w:rPr>
              <w:t>0.0025</w:t>
            </w:r>
          </w:p>
        </w:tc>
      </w:tr>
      <w:tr w:rsidR="0019370A" w:rsidRPr="00D23537" w14:paraId="1EF6F304" w14:textId="77777777" w:rsidTr="00710E7E">
        <w:trPr>
          <w:trHeight w:val="288"/>
        </w:trPr>
        <w:tc>
          <w:tcPr>
            <w:tcW w:w="901" w:type="dxa"/>
            <w:tcBorders>
              <w:left w:val="nil"/>
              <w:bottom w:val="single" w:sz="4" w:space="0" w:color="auto"/>
              <w:right w:val="nil"/>
            </w:tcBorders>
            <w:shd w:val="clear" w:color="auto" w:fill="F2F2F2" w:themeFill="background1" w:themeFillShade="F2"/>
            <w:vAlign w:val="center"/>
          </w:tcPr>
          <w:p w14:paraId="68CA2107" w14:textId="77777777" w:rsidR="0019370A" w:rsidRPr="00D23537" w:rsidRDefault="0019370A" w:rsidP="00710E7E">
            <w:pPr>
              <w:rPr>
                <w:sz w:val="22"/>
                <w:szCs w:val="22"/>
              </w:rPr>
            </w:pPr>
            <w:r w:rsidRPr="00D23537">
              <w:rPr>
                <w:rFonts w:asciiTheme="minorHAnsi" w:eastAsiaTheme="minorHAnsi" w:hAnsiTheme="minorHAnsi" w:cstheme="minorBidi"/>
                <w:position w:val="-12"/>
                <w:sz w:val="22"/>
                <w:szCs w:val="22"/>
              </w:rPr>
              <w:object w:dxaOrig="320" w:dyaOrig="360" w14:anchorId="796FC0F3">
                <v:shape id="_x0000_i1031" type="#_x0000_t75" style="width:16.75pt;height:18.1pt" o:ole="">
                  <v:imagedata r:id="rId16" o:title=""/>
                </v:shape>
                <o:OLEObject Type="Embed" ProgID="Equation.DSMT4" ShapeID="_x0000_i1031" DrawAspect="Content" ObjectID="_1717940022" r:id="rId17"/>
              </w:object>
            </w:r>
          </w:p>
        </w:tc>
        <w:tc>
          <w:tcPr>
            <w:tcW w:w="3869" w:type="dxa"/>
            <w:tcBorders>
              <w:left w:val="nil"/>
              <w:bottom w:val="single" w:sz="4" w:space="0" w:color="auto"/>
              <w:right w:val="nil"/>
            </w:tcBorders>
            <w:shd w:val="clear" w:color="auto" w:fill="F2F2F2" w:themeFill="background1" w:themeFillShade="F2"/>
            <w:vAlign w:val="center"/>
          </w:tcPr>
          <w:p w14:paraId="2D61F6F1" w14:textId="77777777" w:rsidR="0019370A" w:rsidRPr="00D23537" w:rsidRDefault="0019370A" w:rsidP="00710E7E">
            <w:pPr>
              <w:rPr>
                <w:sz w:val="22"/>
                <w:szCs w:val="22"/>
              </w:rPr>
            </w:pPr>
            <w:r w:rsidRPr="00D23537">
              <w:rPr>
                <w:sz w:val="22"/>
                <w:szCs w:val="22"/>
              </w:rPr>
              <w:t>Cheese yield</w:t>
            </w:r>
          </w:p>
        </w:tc>
        <w:tc>
          <w:tcPr>
            <w:tcW w:w="1526" w:type="dxa"/>
            <w:tcBorders>
              <w:left w:val="nil"/>
              <w:bottom w:val="single" w:sz="4" w:space="0" w:color="auto"/>
              <w:right w:val="nil"/>
            </w:tcBorders>
            <w:shd w:val="clear" w:color="auto" w:fill="F2F2F2" w:themeFill="background1" w:themeFillShade="F2"/>
            <w:vAlign w:val="center"/>
          </w:tcPr>
          <w:p w14:paraId="224B3686" w14:textId="77777777" w:rsidR="0019370A" w:rsidRPr="00D23537" w:rsidRDefault="0019370A" w:rsidP="00710E7E">
            <w:pPr>
              <w:jc w:val="center"/>
              <w:rPr>
                <w:sz w:val="22"/>
                <w:szCs w:val="22"/>
              </w:rPr>
            </w:pPr>
            <w:r w:rsidRPr="00D23537">
              <w:rPr>
                <w:sz w:val="22"/>
                <w:szCs w:val="22"/>
              </w:rPr>
              <w:t>9.6373</w:t>
            </w:r>
          </w:p>
        </w:tc>
        <w:tc>
          <w:tcPr>
            <w:tcW w:w="1527" w:type="dxa"/>
            <w:tcBorders>
              <w:left w:val="nil"/>
              <w:bottom w:val="single" w:sz="4" w:space="0" w:color="auto"/>
              <w:right w:val="nil"/>
            </w:tcBorders>
            <w:shd w:val="clear" w:color="auto" w:fill="F2F2F2" w:themeFill="background1" w:themeFillShade="F2"/>
            <w:vAlign w:val="center"/>
          </w:tcPr>
          <w:p w14:paraId="3A776448" w14:textId="77777777" w:rsidR="0019370A" w:rsidRPr="00D23537" w:rsidRDefault="0019370A" w:rsidP="00710E7E">
            <w:pPr>
              <w:jc w:val="center"/>
              <w:rPr>
                <w:sz w:val="22"/>
                <w:szCs w:val="22"/>
              </w:rPr>
            </w:pPr>
            <w:r w:rsidRPr="00D23537">
              <w:rPr>
                <w:sz w:val="22"/>
                <w:szCs w:val="22"/>
              </w:rPr>
              <w:t>5.5004</w:t>
            </w:r>
          </w:p>
        </w:tc>
        <w:tc>
          <w:tcPr>
            <w:tcW w:w="1527" w:type="dxa"/>
            <w:tcBorders>
              <w:left w:val="nil"/>
              <w:bottom w:val="single" w:sz="4" w:space="0" w:color="auto"/>
              <w:right w:val="nil"/>
            </w:tcBorders>
            <w:shd w:val="clear" w:color="auto" w:fill="F2F2F2" w:themeFill="background1" w:themeFillShade="F2"/>
            <w:vAlign w:val="center"/>
          </w:tcPr>
          <w:p w14:paraId="114F0170" w14:textId="77777777" w:rsidR="0019370A" w:rsidRPr="00D23537" w:rsidRDefault="0019370A" w:rsidP="00710E7E">
            <w:pPr>
              <w:jc w:val="center"/>
              <w:rPr>
                <w:sz w:val="22"/>
                <w:szCs w:val="22"/>
              </w:rPr>
            </w:pPr>
            <w:r w:rsidRPr="00D23537">
              <w:rPr>
                <w:sz w:val="22"/>
                <w:szCs w:val="22"/>
              </w:rPr>
              <w:t>4.1369</w:t>
            </w:r>
          </w:p>
        </w:tc>
      </w:tr>
      <w:tr w:rsidR="0019370A" w:rsidRPr="00D23537" w14:paraId="2A9A4F12" w14:textId="77777777" w:rsidTr="00710E7E">
        <w:trPr>
          <w:trHeight w:val="288"/>
        </w:trPr>
        <w:tc>
          <w:tcPr>
            <w:tcW w:w="901" w:type="dxa"/>
            <w:tcBorders>
              <w:left w:val="nil"/>
              <w:right w:val="nil"/>
            </w:tcBorders>
            <w:shd w:val="clear" w:color="auto" w:fill="F2F2F2" w:themeFill="background1" w:themeFillShade="F2"/>
            <w:vAlign w:val="center"/>
          </w:tcPr>
          <w:p w14:paraId="02D5A551" w14:textId="77777777" w:rsidR="0019370A" w:rsidRPr="00D23537" w:rsidRDefault="0019370A" w:rsidP="00710E7E"/>
        </w:tc>
        <w:tc>
          <w:tcPr>
            <w:tcW w:w="3869" w:type="dxa"/>
            <w:tcBorders>
              <w:left w:val="nil"/>
              <w:right w:val="nil"/>
            </w:tcBorders>
            <w:shd w:val="clear" w:color="auto" w:fill="F2F2F2" w:themeFill="background1" w:themeFillShade="F2"/>
            <w:vAlign w:val="center"/>
          </w:tcPr>
          <w:p w14:paraId="5933C521" w14:textId="77777777" w:rsidR="0019370A" w:rsidRPr="00D23537" w:rsidRDefault="0019370A" w:rsidP="00710E7E">
            <w:pPr>
              <w:rPr>
                <w:sz w:val="22"/>
                <w:szCs w:val="22"/>
              </w:rPr>
            </w:pPr>
            <w:r w:rsidRPr="00D23537">
              <w:rPr>
                <w:sz w:val="22"/>
                <w:szCs w:val="22"/>
              </w:rPr>
              <w:t>Cheese yield per 1 lb of component</w:t>
            </w:r>
          </w:p>
        </w:tc>
        <w:tc>
          <w:tcPr>
            <w:tcW w:w="1526" w:type="dxa"/>
            <w:tcBorders>
              <w:left w:val="nil"/>
              <w:right w:val="nil"/>
            </w:tcBorders>
            <w:shd w:val="clear" w:color="auto" w:fill="F2F2F2" w:themeFill="background1" w:themeFillShade="F2"/>
            <w:vAlign w:val="center"/>
          </w:tcPr>
          <w:p w14:paraId="321E5F61" w14:textId="77777777" w:rsidR="0019370A" w:rsidRPr="00D23537" w:rsidRDefault="0019370A" w:rsidP="00710E7E">
            <w:pPr>
              <w:jc w:val="center"/>
              <w:rPr>
                <w:sz w:val="22"/>
                <w:szCs w:val="22"/>
              </w:rPr>
            </w:pPr>
          </w:p>
        </w:tc>
        <w:tc>
          <w:tcPr>
            <w:tcW w:w="1527" w:type="dxa"/>
            <w:tcBorders>
              <w:left w:val="nil"/>
              <w:right w:val="nil"/>
            </w:tcBorders>
            <w:shd w:val="clear" w:color="auto" w:fill="F2F2F2" w:themeFill="background1" w:themeFillShade="F2"/>
            <w:vAlign w:val="center"/>
          </w:tcPr>
          <w:p w14:paraId="523DD54B" w14:textId="77777777" w:rsidR="0019370A" w:rsidRPr="00D23537" w:rsidRDefault="0019370A" w:rsidP="00710E7E">
            <w:pPr>
              <w:jc w:val="center"/>
              <w:rPr>
                <w:sz w:val="22"/>
                <w:szCs w:val="22"/>
              </w:rPr>
            </w:pPr>
            <w:r w:rsidRPr="00D23537">
              <w:rPr>
                <w:sz w:val="22"/>
                <w:szCs w:val="22"/>
              </w:rPr>
              <w:t>1.572</w:t>
            </w:r>
          </w:p>
        </w:tc>
        <w:tc>
          <w:tcPr>
            <w:tcW w:w="1527" w:type="dxa"/>
            <w:tcBorders>
              <w:left w:val="nil"/>
              <w:right w:val="nil"/>
            </w:tcBorders>
            <w:shd w:val="clear" w:color="auto" w:fill="F2F2F2" w:themeFill="background1" w:themeFillShade="F2"/>
            <w:vAlign w:val="center"/>
          </w:tcPr>
          <w:p w14:paraId="292C7BE8" w14:textId="77777777" w:rsidR="0019370A" w:rsidRPr="00D23537" w:rsidRDefault="0019370A" w:rsidP="00710E7E">
            <w:pPr>
              <w:jc w:val="center"/>
              <w:rPr>
                <w:sz w:val="22"/>
                <w:szCs w:val="22"/>
              </w:rPr>
            </w:pPr>
            <w:r w:rsidRPr="00D23537">
              <w:rPr>
                <w:sz w:val="22"/>
                <w:szCs w:val="22"/>
              </w:rPr>
              <w:t>1.383</w:t>
            </w:r>
          </w:p>
        </w:tc>
      </w:tr>
    </w:tbl>
    <w:p w14:paraId="776A2422" w14:textId="6E9ED825" w:rsidR="0019370A" w:rsidRPr="00D23537" w:rsidRDefault="00C5492A" w:rsidP="00C5492A">
      <w:pPr>
        <w:spacing w:line="240" w:lineRule="auto"/>
        <w:jc w:val="both"/>
        <w:rPr>
          <w:rFonts w:ascii="Times New Roman" w:hAnsi="Times New Roman" w:cs="Times New Roman"/>
        </w:rPr>
      </w:pPr>
      <w:r w:rsidRPr="00D23537">
        <w:rPr>
          <w:rFonts w:ascii="Times New Roman" w:hAnsi="Times New Roman" w:cs="Times New Roman"/>
        </w:rPr>
        <w:t>* The 2.9915 factor reflects the assumption that standard skim milk tests 3.1 percent true protein.  Not shown in this table is the assumption of the FMMO other solids price that standard skim milk tests 5.9 other solids.  The sum of 3.1 plus 5.9 equals 9, the assumption of the Class IV nonfat solids price calculation..</w:t>
      </w:r>
    </w:p>
    <w:p w14:paraId="0C81D861" w14:textId="528C8E77" w:rsidR="00B178C3" w:rsidRPr="00D23537" w:rsidRDefault="00B178C3" w:rsidP="00B178C3">
      <w:pPr>
        <w:spacing w:line="480" w:lineRule="auto"/>
        <w:ind w:firstLine="708"/>
        <w:jc w:val="both"/>
        <w:rPr>
          <w:rFonts w:ascii="Times New Roman" w:hAnsi="Times New Roman" w:cs="Times New Roman"/>
        </w:rPr>
      </w:pPr>
      <w:r w:rsidRPr="00D23537">
        <w:rPr>
          <w:rFonts w:ascii="Times New Roman" w:hAnsi="Times New Roman" w:cs="Times New Roman"/>
        </w:rPr>
        <w:t xml:space="preserve">Under the current FMMO pricing system, the </w:t>
      </w:r>
      <w:r w:rsidR="004F4A73">
        <w:rPr>
          <w:rFonts w:ascii="Times New Roman" w:hAnsi="Times New Roman" w:cs="Times New Roman"/>
        </w:rPr>
        <w:t xml:space="preserve">Class III </w:t>
      </w:r>
      <w:r w:rsidRPr="00D23537">
        <w:rPr>
          <w:rFonts w:ascii="Times New Roman" w:hAnsi="Times New Roman" w:cs="Times New Roman"/>
        </w:rPr>
        <w:t>protein price is obtained by summing the protein value in cheese and the butterfat adjustment which captures the difference between the butterfat value in cheese versus the opportunity cost of using that butterfat in butter as shown in equation (</w:t>
      </w:r>
      <w:r w:rsidR="00D310A6">
        <w:rPr>
          <w:rFonts w:ascii="Times New Roman" w:hAnsi="Times New Roman" w:cs="Times New Roman"/>
        </w:rPr>
        <w:t>3</w:t>
      </w:r>
      <w:r w:rsidRPr="00D23537">
        <w:rPr>
          <w:rFonts w:ascii="Times New Roman" w:hAnsi="Times New Roman" w:cs="Times New Roman"/>
        </w:rPr>
        <w:t>).</w:t>
      </w:r>
    </w:p>
    <w:p w14:paraId="63BB3C83" w14:textId="63B001DF" w:rsidR="00B178C3" w:rsidRPr="00D23537" w:rsidRDefault="004F4A73" w:rsidP="00B3401D">
      <w:pPr>
        <w:tabs>
          <w:tab w:val="right" w:pos="9360"/>
        </w:tabs>
        <w:spacing w:line="480" w:lineRule="auto"/>
        <w:rPr>
          <w:rFonts w:ascii="Times New Roman" w:hAnsi="Times New Roman" w:cs="Times New Roman"/>
        </w:rPr>
      </w:pPr>
      <m:oMath>
        <m:sSubSup>
          <m:sSubSupPr>
            <m:ctrlPr>
              <w:rPr>
                <w:rFonts w:ascii="Cambria Math" w:eastAsiaTheme="minorEastAsia" w:hAnsi="Cambria Math" w:cs="Times New Roman"/>
                <w:i/>
              </w:rPr>
            </m:ctrlPr>
          </m:sSubSupPr>
          <m:e>
            <m:r>
              <w:rPr>
                <w:rFonts w:ascii="Cambria Math" w:eastAsiaTheme="minorEastAsia" w:hAnsi="Cambria Math" w:cs="Times New Roman"/>
              </w:rPr>
              <m:t>P</m:t>
            </m:r>
          </m:e>
          <m:sub>
            <m:r>
              <w:rPr>
                <w:rFonts w:ascii="Cambria Math" w:eastAsiaTheme="minorEastAsia" w:hAnsi="Cambria Math" w:cs="Times New Roman"/>
              </w:rPr>
              <m:t>Pro</m:t>
            </m:r>
          </m:sub>
          <m:sup>
            <m:r>
              <w:rPr>
                <w:rFonts w:ascii="Cambria Math" w:eastAsiaTheme="minorEastAsia" w:hAnsi="Cambria Math" w:cs="Times New Roman"/>
              </w:rPr>
              <m:t>III</m:t>
            </m:r>
          </m:sup>
        </m:sSubSup>
        <m:r>
          <w:rPr>
            <w:rFonts w:ascii="Cambria Math" w:hAnsi="Cambria Math" w:cs="Times New Roman"/>
          </w:rPr>
          <m:t>=</m:t>
        </m:r>
        <m:limLow>
          <m:limLowPr>
            <m:ctrlPr>
              <w:rPr>
                <w:rFonts w:ascii="Cambria Math" w:hAnsi="Cambria Math" w:cs="Times New Roman"/>
                <w:i/>
              </w:rPr>
            </m:ctrlPr>
          </m:limLowPr>
          <m:e>
            <m:groupChr>
              <m:groupChrPr>
                <m:ctrlPr>
                  <w:rPr>
                    <w:rFonts w:ascii="Cambria Math" w:hAnsi="Cambria Math" w:cs="Times New Roman"/>
                    <w:i/>
                  </w:rPr>
                </m:ctrlPr>
              </m:groupChrPr>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Ch</m:t>
                        </m:r>
                      </m:sub>
                    </m:sSub>
                    <m:r>
                      <w:rPr>
                        <w:rFonts w:ascii="Cambria Math" w:hAnsi="Cambria Math" w:cs="Times New Roman"/>
                      </w:rPr>
                      <m:t>-0.2003</m:t>
                    </m:r>
                  </m:e>
                </m:d>
                <m:r>
                  <w:rPr>
                    <w:rFonts w:ascii="Cambria Math" w:hAnsi="Cambria Math" w:cs="Times New Roman"/>
                  </w:rPr>
                  <m:t>×1.383</m:t>
                </m:r>
              </m:e>
            </m:groupChr>
            <m:ctrlPr>
              <w:rPr>
                <w:rFonts w:ascii="Cambria Math" w:hAnsi="Cambria Math" w:cs="Times New Roman"/>
              </w:rPr>
            </m:ctrlPr>
          </m:e>
          <m:lim>
            <m:r>
              <m:rPr>
                <m:nor/>
              </m:rPr>
              <w:rPr>
                <w:rFonts w:ascii="Times New Roman" w:hAnsi="Times New Roman" w:cs="Times New Roman"/>
              </w:rPr>
              <m:t>Protein Value in Cheese</m:t>
            </m:r>
            <m:ctrlPr>
              <w:rPr>
                <w:rFonts w:ascii="Cambria Math" w:hAnsi="Cambria Math" w:cs="Times New Roman"/>
              </w:rPr>
            </m:ctrlPr>
          </m:lim>
        </m:limLow>
        <m:r>
          <w:rPr>
            <w:rFonts w:ascii="Cambria Math" w:hAnsi="Cambria Math" w:cs="Times New Roman"/>
          </w:rPr>
          <m:t>+</m:t>
        </m:r>
        <m:limLow>
          <m:limLowPr>
            <m:ctrlPr>
              <w:rPr>
                <w:rFonts w:ascii="Cambria Math" w:hAnsi="Cambria Math" w:cs="Times New Roman"/>
                <w:i/>
              </w:rPr>
            </m:ctrlPr>
          </m:limLowPr>
          <m:e>
            <m:groupChr>
              <m:groupChrPr>
                <m:ctrlPr>
                  <w:rPr>
                    <w:rFonts w:ascii="Cambria Math" w:hAnsi="Cambria Math" w:cs="Times New Roman"/>
                    <w:i/>
                  </w:rPr>
                </m:ctrlPr>
              </m:groupChrPr>
              <m:e>
                <m:d>
                  <m:dPr>
                    <m:begChr m:val="["/>
                    <m:endChr m:val="]"/>
                    <m:ctrlPr>
                      <w:rPr>
                        <w:rFonts w:ascii="Cambria Math" w:hAnsi="Cambria Math" w:cs="Times New Roman"/>
                        <w:i/>
                      </w:rPr>
                    </m:ctrlPr>
                  </m:dPr>
                  <m:e>
                    <m:limLow>
                      <m:limLowPr>
                        <m:ctrlPr>
                          <w:rPr>
                            <w:rFonts w:ascii="Cambria Math" w:hAnsi="Cambria Math" w:cs="Times New Roman"/>
                            <w:i/>
                          </w:rPr>
                        </m:ctrlPr>
                      </m:limLowPr>
                      <m:e>
                        <m:groupChr>
                          <m:groupChrPr>
                            <m:ctrlPr>
                              <w:rPr>
                                <w:rFonts w:ascii="Cambria Math" w:hAnsi="Cambria Math" w:cs="Times New Roman"/>
                                <w:i/>
                              </w:rPr>
                            </m:ctrlPr>
                          </m:groupChrPr>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Ch</m:t>
                                    </m:r>
                                  </m:sub>
                                </m:sSub>
                                <m:r>
                                  <w:rPr>
                                    <w:rFonts w:ascii="Cambria Math" w:hAnsi="Cambria Math" w:cs="Times New Roman"/>
                                  </w:rPr>
                                  <m:t>-0.2003</m:t>
                                </m:r>
                              </m:e>
                            </m:d>
                            <m:r>
                              <w:rPr>
                                <w:rFonts w:ascii="Cambria Math" w:hAnsi="Cambria Math" w:cs="Times New Roman"/>
                              </w:rPr>
                              <m:t>×1.572</m:t>
                            </m:r>
                          </m:e>
                        </m:groupChr>
                        <m:ctrlPr>
                          <w:rPr>
                            <w:rFonts w:ascii="Cambria Math" w:hAnsi="Cambria Math" w:cs="Times New Roman"/>
                          </w:rPr>
                        </m:ctrlPr>
                      </m:e>
                      <m:lim>
                        <m:r>
                          <m:rPr>
                            <m:nor/>
                          </m:rPr>
                          <w:rPr>
                            <w:rFonts w:ascii="Times New Roman" w:hAnsi="Times New Roman" w:cs="Times New Roman"/>
                          </w:rPr>
                          <m:t>Butterfat Value in Cheese</m:t>
                        </m:r>
                        <m:ctrlPr>
                          <w:rPr>
                            <w:rFonts w:ascii="Cambria Math" w:hAnsi="Cambria Math" w:cs="Times New Roman"/>
                          </w:rPr>
                        </m:ctrlPr>
                      </m:lim>
                    </m:limLow>
                    <m:r>
                      <w:rPr>
                        <w:rFonts w:ascii="Cambria Math" w:hAnsi="Cambria Math" w:cs="Times New Roman"/>
                      </w:rPr>
                      <m:t>-</m:t>
                    </m:r>
                    <m:limLow>
                      <m:limLowPr>
                        <m:ctrlPr>
                          <w:rPr>
                            <w:rFonts w:ascii="Cambria Math" w:hAnsi="Cambria Math" w:cs="Times New Roman"/>
                            <w:i/>
                          </w:rPr>
                        </m:ctrlPr>
                      </m:limLowPr>
                      <m:e>
                        <m:groupChr>
                          <m:groupChrPr>
                            <m:ctrlPr>
                              <w:rPr>
                                <w:rFonts w:ascii="Cambria Math" w:hAnsi="Cambria Math" w:cs="Times New Roman"/>
                                <w:i/>
                              </w:rPr>
                            </m:ctrlPr>
                          </m:groupChr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BF</m:t>
                                </m:r>
                              </m:sub>
                            </m:sSub>
                            <m:r>
                              <w:rPr>
                                <w:rFonts w:ascii="Cambria Math" w:hAnsi="Cambria Math" w:cs="Times New Roman"/>
                              </w:rPr>
                              <m:t>×0.9</m:t>
                            </m:r>
                          </m:e>
                        </m:groupChr>
                        <m:ctrlPr>
                          <w:rPr>
                            <w:rFonts w:ascii="Cambria Math" w:hAnsi="Cambria Math" w:cs="Times New Roman"/>
                          </w:rPr>
                        </m:ctrlPr>
                      </m:e>
                      <m:lim>
                        <m:r>
                          <m:rPr>
                            <m:nor/>
                          </m:rPr>
                          <w:rPr>
                            <w:rFonts w:ascii="Times New Roman" w:hAnsi="Times New Roman" w:cs="Times New Roman"/>
                          </w:rPr>
                          <m:t>Butterfat Value in Butter</m:t>
                        </m:r>
                        <m:ctrlPr>
                          <w:rPr>
                            <w:rFonts w:ascii="Cambria Math" w:hAnsi="Cambria Math" w:cs="Times New Roman"/>
                          </w:rPr>
                        </m:ctrlPr>
                      </m:lim>
                    </m:limLow>
                  </m:e>
                </m:d>
                <m:r>
                  <w:rPr>
                    <w:rFonts w:ascii="Cambria Math" w:hAnsi="Cambria Math" w:cs="Times New Roman"/>
                  </w:rPr>
                  <m:t>×</m:t>
                </m:r>
                <m:limLow>
                  <m:limLowPr>
                    <m:ctrlPr>
                      <w:rPr>
                        <w:rFonts w:ascii="Cambria Math" w:hAnsi="Cambria Math" w:cs="Times New Roman"/>
                        <w:i/>
                      </w:rPr>
                    </m:ctrlPr>
                  </m:limLowPr>
                  <m:e>
                    <m:groupChr>
                      <m:groupChrPr>
                        <m:ctrlPr>
                          <w:rPr>
                            <w:rFonts w:ascii="Cambria Math" w:hAnsi="Cambria Math" w:cs="Times New Roman"/>
                            <w:i/>
                          </w:rPr>
                        </m:ctrlPr>
                      </m:groupChrPr>
                      <m:e>
                        <m:r>
                          <w:rPr>
                            <w:rFonts w:ascii="Cambria Math" w:hAnsi="Cambria Math" w:cs="Times New Roman"/>
                          </w:rPr>
                          <m:t>1.17</m:t>
                        </m:r>
                      </m:e>
                    </m:groupChr>
                    <m:ctrlPr>
                      <w:rPr>
                        <w:rFonts w:ascii="Cambria Math" w:hAnsi="Cambria Math" w:cs="Times New Roman"/>
                      </w:rPr>
                    </m:ctrlPr>
                  </m:e>
                  <m:lim>
                    <m:r>
                      <m:rPr>
                        <m:nor/>
                      </m:rPr>
                      <w:rPr>
                        <w:rFonts w:ascii="Times New Roman" w:hAnsi="Times New Roman" w:cs="Times New Roman"/>
                      </w:rPr>
                      <m:t xml:space="preserve">Butterfat to Protein Ratio </m:t>
                    </m:r>
                    <m:d>
                      <m:dPr>
                        <m:ctrlPr>
                          <w:rPr>
                            <w:rFonts w:ascii="Cambria Math" w:hAnsi="Cambria Math" w:cs="Times New Roman"/>
                          </w:rPr>
                        </m:ctrlPr>
                      </m:dPr>
                      <m:e>
                        <m:r>
                          <m:rPr>
                            <m:nor/>
                          </m:rPr>
                          <w:rPr>
                            <w:rFonts w:ascii="Times New Roman" w:hAnsi="Times New Roman" w:cs="Times New Roman"/>
                          </w:rPr>
                          <m:t>3.5 / 2.9915</m:t>
                        </m:r>
                      </m:e>
                    </m:d>
                    <m:ctrlPr>
                      <w:rPr>
                        <w:rFonts w:ascii="Cambria Math" w:hAnsi="Cambria Math" w:cs="Times New Roman"/>
                      </w:rPr>
                    </m:ctrlPr>
                  </m:lim>
                </m:limLow>
              </m:e>
            </m:groupChr>
            <m:ctrlPr>
              <w:rPr>
                <w:rFonts w:ascii="Cambria Math" w:hAnsi="Cambria Math" w:cs="Times New Roman"/>
              </w:rPr>
            </m:ctrlPr>
          </m:e>
          <m:lim>
            <m:r>
              <m:rPr>
                <m:nor/>
              </m:rPr>
              <w:rPr>
                <w:rFonts w:ascii="Times New Roman" w:hAnsi="Times New Roman" w:cs="Times New Roman"/>
              </w:rPr>
              <m:t>Butterfat Adjustment</m:t>
            </m:r>
            <m:ctrlPr>
              <w:rPr>
                <w:rFonts w:ascii="Cambria Math" w:hAnsi="Cambria Math" w:cs="Times New Roman"/>
              </w:rPr>
            </m:ctrlPr>
          </m:lim>
        </m:limLow>
      </m:oMath>
      <w:r w:rsidR="00B178C3" w:rsidRPr="00D23537">
        <w:rPr>
          <w:rFonts w:ascii="Times New Roman" w:hAnsi="Times New Roman" w:cs="Times New Roman"/>
        </w:rPr>
        <w:tab/>
        <w:t>(</w:t>
      </w:r>
      <w:r w:rsidR="00443C4F">
        <w:rPr>
          <w:rFonts w:ascii="Times New Roman" w:hAnsi="Times New Roman" w:cs="Times New Roman"/>
        </w:rPr>
        <w:t>3</w:t>
      </w:r>
      <w:r w:rsidR="00B178C3" w:rsidRPr="00D23537">
        <w:rPr>
          <w:rFonts w:ascii="Times New Roman" w:hAnsi="Times New Roman" w:cs="Times New Roman"/>
        </w:rPr>
        <w:t>)</w:t>
      </w:r>
    </w:p>
    <w:p w14:paraId="5370E215" w14:textId="60D0D4B3" w:rsidR="00D6755E" w:rsidRPr="00D23537" w:rsidRDefault="009D7970" w:rsidP="0023047A">
      <w:pPr>
        <w:tabs>
          <w:tab w:val="right" w:pos="9360"/>
        </w:tabs>
        <w:spacing w:line="480" w:lineRule="auto"/>
        <w:rPr>
          <w:rFonts w:ascii="Times New Roman" w:hAnsi="Times New Roman" w:cs="Times New Roman"/>
        </w:rPr>
      </w:pPr>
      <w:r w:rsidRPr="00D23537">
        <w:rPr>
          <w:rFonts w:ascii="Times New Roman" w:hAnsi="Times New Roman" w:cs="Times New Roman"/>
        </w:rPr>
        <w:lastRenderedPageBreak/>
        <w:t xml:space="preserve">Where, </w:t>
      </w:r>
      <m:oMath>
        <m:sSubSup>
          <m:sSubSupPr>
            <m:ctrlPr>
              <w:rPr>
                <w:rFonts w:ascii="Cambria Math" w:eastAsiaTheme="minorEastAsia" w:hAnsi="Cambria Math" w:cs="Times New Roman"/>
                <w:i/>
              </w:rPr>
            </m:ctrlPr>
          </m:sSubSupPr>
          <m:e>
            <m:r>
              <w:rPr>
                <w:rFonts w:ascii="Cambria Math" w:eastAsiaTheme="minorEastAsia" w:hAnsi="Cambria Math" w:cs="Times New Roman"/>
              </w:rPr>
              <m:t>P</m:t>
            </m:r>
          </m:e>
          <m:sub>
            <m:r>
              <w:rPr>
                <w:rFonts w:ascii="Cambria Math" w:eastAsiaTheme="minorEastAsia" w:hAnsi="Cambria Math" w:cs="Times New Roman"/>
              </w:rPr>
              <m:t>Pro</m:t>
            </m:r>
          </m:sub>
          <m:sup>
            <m:r>
              <w:rPr>
                <w:rFonts w:ascii="Cambria Math" w:eastAsiaTheme="minorEastAsia" w:hAnsi="Cambria Math" w:cs="Times New Roman"/>
              </w:rPr>
              <m:t>III</m:t>
            </m:r>
          </m:sup>
        </m:sSubSup>
      </m:oMath>
      <w:r w:rsidR="00D23537" w:rsidRPr="00D23537">
        <w:rPr>
          <w:rFonts w:ascii="Times New Roman" w:hAnsi="Times New Roman" w:cs="Times New Roman"/>
          <w:vertAlign w:val="subscript"/>
        </w:rPr>
        <w:t>o</w:t>
      </w:r>
      <w:r w:rsidR="00D23537" w:rsidRPr="00D23537">
        <w:rPr>
          <w:rFonts w:ascii="Times New Roman" w:hAnsi="Times New Roman" w:cs="Times New Roman"/>
        </w:rPr>
        <w:t xml:space="preserve"> </w:t>
      </w:r>
      <w:r w:rsidRPr="00D23537">
        <w:rPr>
          <w:rFonts w:ascii="Times New Roman" w:hAnsi="Times New Roman" w:cs="Times New Roman"/>
        </w:rPr>
        <w:t xml:space="preserve">is the Class III protein price, </w:t>
      </w:r>
      <w:proofErr w:type="spellStart"/>
      <w:r w:rsidRPr="00D23537">
        <w:rPr>
          <w:rFonts w:ascii="Times New Roman" w:hAnsi="Times New Roman" w:cs="Times New Roman"/>
        </w:rPr>
        <w:t>P</w:t>
      </w:r>
      <w:r w:rsidRPr="00D23537">
        <w:rPr>
          <w:rFonts w:ascii="Times New Roman" w:hAnsi="Times New Roman" w:cs="Times New Roman"/>
          <w:vertAlign w:val="subscript"/>
        </w:rPr>
        <w:t>C</w:t>
      </w:r>
      <w:r w:rsidR="00D23537" w:rsidRPr="00D23537">
        <w:rPr>
          <w:rFonts w:ascii="Times New Roman" w:hAnsi="Times New Roman" w:cs="Times New Roman"/>
          <w:vertAlign w:val="subscript"/>
        </w:rPr>
        <w:t>h</w:t>
      </w:r>
      <w:proofErr w:type="spellEnd"/>
      <w:r w:rsidRPr="00D23537">
        <w:rPr>
          <w:rFonts w:ascii="Times New Roman" w:hAnsi="Times New Roman" w:cs="Times New Roman"/>
        </w:rPr>
        <w:t xml:space="preserve"> is the cheese price, 0.2003 is the make allowance of cheese, 1.383 is the cheese yield per unit of protein, </w:t>
      </w:r>
      <w:r w:rsidR="00D23537" w:rsidRPr="00D23537">
        <w:rPr>
          <w:rFonts w:ascii="Times New Roman" w:hAnsi="Times New Roman" w:cs="Times New Roman"/>
        </w:rPr>
        <w:t>P</w:t>
      </w:r>
      <w:r w:rsidR="00D23537" w:rsidRPr="00D23537">
        <w:rPr>
          <w:rFonts w:ascii="Times New Roman" w:hAnsi="Times New Roman" w:cs="Times New Roman"/>
          <w:vertAlign w:val="subscript"/>
        </w:rPr>
        <w:t>BF</w:t>
      </w:r>
      <w:r w:rsidR="00D23537" w:rsidRPr="00D23537">
        <w:rPr>
          <w:rFonts w:ascii="Times New Roman" w:hAnsi="Times New Roman" w:cs="Times New Roman"/>
        </w:rPr>
        <w:t xml:space="preserve"> </w:t>
      </w:r>
      <w:r w:rsidRPr="00D23537">
        <w:rPr>
          <w:rFonts w:ascii="Times New Roman" w:hAnsi="Times New Roman" w:cs="Times New Roman"/>
        </w:rPr>
        <w:t>is the FMMO price of butterfat, 0.9 is the butterfat retention factor, and 1.17 is the butterfat to protein ratio in standard milk.</w:t>
      </w:r>
    </w:p>
    <w:sectPr w:rsidR="00D6755E" w:rsidRPr="00D235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9D2"/>
    <w:rsid w:val="000B2444"/>
    <w:rsid w:val="000C0AB5"/>
    <w:rsid w:val="000C2851"/>
    <w:rsid w:val="000D43C9"/>
    <w:rsid w:val="00170B6D"/>
    <w:rsid w:val="0019370A"/>
    <w:rsid w:val="0023047A"/>
    <w:rsid w:val="0029292D"/>
    <w:rsid w:val="002A3ACE"/>
    <w:rsid w:val="002F0763"/>
    <w:rsid w:val="003F028D"/>
    <w:rsid w:val="00443C4F"/>
    <w:rsid w:val="00447CED"/>
    <w:rsid w:val="004C116A"/>
    <w:rsid w:val="004C69FD"/>
    <w:rsid w:val="004F4A73"/>
    <w:rsid w:val="005C14C9"/>
    <w:rsid w:val="00673566"/>
    <w:rsid w:val="006C7A47"/>
    <w:rsid w:val="00715303"/>
    <w:rsid w:val="00854587"/>
    <w:rsid w:val="008830E8"/>
    <w:rsid w:val="008F14B7"/>
    <w:rsid w:val="00923CD8"/>
    <w:rsid w:val="009833CC"/>
    <w:rsid w:val="009D7970"/>
    <w:rsid w:val="00A44EDB"/>
    <w:rsid w:val="00A619D2"/>
    <w:rsid w:val="00B178C3"/>
    <w:rsid w:val="00B3401D"/>
    <w:rsid w:val="00BD2A65"/>
    <w:rsid w:val="00C5492A"/>
    <w:rsid w:val="00C87F5A"/>
    <w:rsid w:val="00CA784A"/>
    <w:rsid w:val="00D23537"/>
    <w:rsid w:val="00D310A6"/>
    <w:rsid w:val="00D6755E"/>
    <w:rsid w:val="00DC2876"/>
    <w:rsid w:val="00F11B79"/>
    <w:rsid w:val="00F82827"/>
    <w:rsid w:val="00FD3994"/>
    <w:rsid w:val="00FF3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BCD57"/>
  <w15:chartTrackingRefBased/>
  <w15:docId w15:val="{75D26F95-0F0E-4C1F-9778-DBB97819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B178C3"/>
    <w:pPr>
      <w:tabs>
        <w:tab w:val="center" w:pos="5040"/>
        <w:tab w:val="right" w:pos="10080"/>
      </w:tabs>
      <w:spacing w:after="0" w:line="480" w:lineRule="auto"/>
      <w:jc w:val="center"/>
    </w:pPr>
    <w:rPr>
      <w:rFonts w:ascii="Times New Roman" w:eastAsia="Times New Roman" w:hAnsi="Times New Roman" w:cs="Times New Roman"/>
      <w:sz w:val="24"/>
      <w:szCs w:val="24"/>
      <w:lang w:eastAsia="es-ES"/>
    </w:rPr>
  </w:style>
  <w:style w:type="character" w:customStyle="1" w:styleId="MTDisplayEquationChar">
    <w:name w:val="MTDisplayEquation Char"/>
    <w:link w:val="MTDisplayEquation"/>
    <w:rsid w:val="00B178C3"/>
    <w:rPr>
      <w:rFonts w:ascii="Times New Roman" w:eastAsia="Times New Roman" w:hAnsi="Times New Roman" w:cs="Times New Roman"/>
      <w:sz w:val="24"/>
      <w:szCs w:val="24"/>
      <w:lang w:eastAsia="es-ES"/>
    </w:rPr>
  </w:style>
  <w:style w:type="table" w:styleId="TableGrid">
    <w:name w:val="Table Grid"/>
    <w:basedOn w:val="TableNormal"/>
    <w:rsid w:val="001937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D39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 Type="http://schemas.openxmlformats.org/officeDocument/2006/relationships/settings" Target="settings.xml"/><Relationship Id="rId16" Type="http://schemas.openxmlformats.org/officeDocument/2006/relationships/image" Target="media/image7.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oleObject" Target="embeddings/oleObject6.bin"/><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Mykrantz</dc:creator>
  <cp:keywords/>
  <dc:description/>
  <cp:lastModifiedBy>John Mykrantz</cp:lastModifiedBy>
  <cp:revision>3</cp:revision>
  <dcterms:created xsi:type="dcterms:W3CDTF">2022-06-21T13:40:00Z</dcterms:created>
  <dcterms:modified xsi:type="dcterms:W3CDTF">2022-06-28T23:47:00Z</dcterms:modified>
</cp:coreProperties>
</file>