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C0" w:rsidRDefault="004424C0" w:rsidP="004424C0">
      <w:pPr>
        <w:jc w:val="both"/>
        <w:rPr>
          <w:rFonts w:asciiTheme="majorBidi" w:hAnsiTheme="majorBidi" w:cstheme="majorBidi"/>
          <w:b/>
          <w:bCs/>
          <w:sz w:val="24"/>
          <w:szCs w:val="24"/>
          <w:lang w:bidi="ar-EG"/>
        </w:rPr>
      </w:pPr>
      <w:r w:rsidRPr="007E676A">
        <w:rPr>
          <w:rFonts w:asciiTheme="majorBidi" w:hAnsiTheme="majorBidi" w:cstheme="majorBidi"/>
          <w:b/>
          <w:bCs/>
          <w:sz w:val="24"/>
          <w:szCs w:val="24"/>
          <w:lang w:bidi="ar-EG"/>
        </w:rPr>
        <w:t>Supplementary file 2.</w:t>
      </w:r>
    </w:p>
    <w:p w:rsidR="004424C0" w:rsidRDefault="004424C0" w:rsidP="004424C0">
      <w:pPr>
        <w:jc w:val="both"/>
        <w:rPr>
          <w:rFonts w:asciiTheme="majorBidi" w:hAnsiTheme="majorBidi" w:cstheme="majorBidi"/>
          <w:sz w:val="24"/>
          <w:szCs w:val="24"/>
          <w:lang w:bidi="ar-EG"/>
        </w:rPr>
      </w:pPr>
      <w:r>
        <w:rPr>
          <w:rFonts w:asciiTheme="majorBidi" w:hAnsiTheme="majorBidi" w:cstheme="majorBidi"/>
          <w:sz w:val="24"/>
          <w:szCs w:val="24"/>
          <w:lang w:bidi="ar-EG"/>
        </w:rPr>
        <w:t>Author judgment for ROB assessment of RCTs</w:t>
      </w:r>
    </w:p>
    <w:tbl>
      <w:tblPr>
        <w:tblStyle w:val="TableGrid"/>
        <w:tblW w:w="9422" w:type="dxa"/>
        <w:tblLook w:val="04A0" w:firstRow="1" w:lastRow="0" w:firstColumn="1" w:lastColumn="0" w:noHBand="0" w:noVBand="1"/>
      </w:tblPr>
      <w:tblGrid>
        <w:gridCol w:w="3140"/>
        <w:gridCol w:w="3141"/>
        <w:gridCol w:w="3141"/>
      </w:tblGrid>
      <w:tr w:rsidR="004424C0" w:rsidTr="004424C0">
        <w:trPr>
          <w:trHeight w:val="363"/>
        </w:trPr>
        <w:tc>
          <w:tcPr>
            <w:tcW w:w="3140"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Author, Year</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Domain</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Author Judgment</w:t>
            </w:r>
          </w:p>
        </w:tc>
      </w:tr>
      <w:tr w:rsidR="004424C0" w:rsidTr="004424C0">
        <w:trPr>
          <w:trHeight w:val="746"/>
        </w:trPr>
        <w:tc>
          <w:tcPr>
            <w:tcW w:w="3140" w:type="dxa"/>
            <w:vMerge w:val="restart"/>
          </w:tcPr>
          <w:p w:rsidR="004424C0" w:rsidRDefault="004424C0" w:rsidP="00EC1A4F">
            <w:pPr>
              <w:jc w:val="both"/>
              <w:rPr>
                <w:rFonts w:asciiTheme="majorBidi" w:hAnsiTheme="majorBidi" w:cstheme="majorBidi"/>
                <w:sz w:val="24"/>
                <w:szCs w:val="24"/>
                <w:lang w:bidi="ar-EG"/>
              </w:rPr>
            </w:pPr>
            <w:r w:rsidRPr="007E676A">
              <w:rPr>
                <w:rFonts w:asciiTheme="majorBidi" w:hAnsiTheme="majorBidi" w:cstheme="majorBidi"/>
                <w:sz w:val="24"/>
                <w:szCs w:val="24"/>
                <w:lang w:bidi="ar-EG"/>
              </w:rPr>
              <w:t>ROTHLIND et al 2007</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"10.1017/S1355617707070105", "ISBN" : "1355617707", "ISSN" : "1355-6177", "PMID" : "17166305", "abstract" : "Deep brain stimulation (DBS) has the potential to significantly reduce motor symptoms in advanced Parkinson's disease (PD). Controversy remains about non-motor effects of DBS and the relative advantages of treatment at two brain targets, the globus pallidus internus (GPi) and the subthalamic nucleus (STN). We investigated effects of DBS on neuropsychological functioning in 42 patients with advanced PD randomly assigned to receive staged bilateral DBS surgery of either the GPi or STN. Patients underwent neuropsychological assessment prior to and 6 months after unilateral surgery. Twenty-nine subsequently underwent surgery to the contralateral side and completed a second follow-up neuropsychological evaluation 15 months later. Unilateral treatment resulted in small but statistically significant reductions in performance on several measures, including verbal fluency and working memory. A similar pattern was observed after bilateral treatment. Reductions in verbal associative fluency were significant only after left-sided treatment. There were few significant differences related to treatment at the two surgical targets. Supplementary analyses suggested that decrements in select neuropsychological domains following DBS are unrelated to age or post-surgical reduction in dopaminergic medication dose. Findings are discussed with reference to possible causes of neuropsychological decline and the need for further controlled studies of specific neuropsychological effects of DBS.", "author" : [ { "dropping-particle" : "", "family" : "Rothlind", "given" : "Johannes C", "non-dropping-particle" : "", "parse-names" : false, "suffix" : "" }, { "dropping-particle" : "", "family" : "Cockshott", "given" : "Randall W", "non-dropping-particle" : "", "parse-names" : false, "suffix" : "" }, { "dropping-particle" : "", "family" : "Starr", "given" : "Philip A", "non-dropping-particle" : "", "parse-names" : false, "suffix" : "" }, { "dropping-particle" : "", "family" : "Marks", "given" : "William J", "non-dropping-particle" : "", "parse-names" : false, "suffix" : "" } ], "container-title" : "Journal of the International Neuropsychological Society : JINS", "id" : "ITEM-1", "issue" : "1", "issued" : { "date-parts" : [ [ "2007", "1", "1" ] ] }, "language" : "English", "page" : "68-79", "publisher" : "Cambridge University Press", "title" : "Neuropsychological performance following staged bilateral pallidal or subthalamic nucleus deep brain stimulation for Parkinson's disease.", "type" : "article-journal", "volume" : "13" }, "uris" : [ "http://www.mendeley.com/documents/?uuid=6e02109e-ae64-45f0-97aa-49e7b1d3ad80" ] } ], "mendeley" : { "formattedCitation" : "[1]", "plainTextFormattedCitation" : "[1]", "previouslyFormattedCitation" : "[6]"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4424C0">
              <w:rPr>
                <w:rFonts w:asciiTheme="majorBidi" w:hAnsiTheme="majorBidi" w:cstheme="majorBidi"/>
                <w:noProof/>
                <w:sz w:val="24"/>
                <w:szCs w:val="24"/>
                <w:lang w:bidi="ar-EG"/>
              </w:rPr>
              <w:t>[1]</w:t>
            </w:r>
            <w:r>
              <w:rPr>
                <w:rFonts w:asciiTheme="majorBidi" w:hAnsiTheme="majorBidi" w:cstheme="majorBidi"/>
                <w:sz w:val="24"/>
                <w:szCs w:val="24"/>
                <w:lang w:bidi="ar-EG"/>
              </w:rPr>
              <w:fldChar w:fldCharType="end"/>
            </w:r>
          </w:p>
        </w:tc>
        <w:tc>
          <w:tcPr>
            <w:tcW w:w="3141" w:type="dxa"/>
          </w:tcPr>
          <w:p w:rsidR="004424C0" w:rsidRPr="0003701D" w:rsidRDefault="004424C0" w:rsidP="00EC1A4F">
            <w:pPr>
              <w:jc w:val="both"/>
            </w:pPr>
            <w:r w:rsidRPr="0003701D">
              <w:t>Random sequence generation (selection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Unclear- No mention of the method</w:t>
            </w:r>
          </w:p>
        </w:tc>
      </w:tr>
      <w:tr w:rsidR="004424C0" w:rsidTr="004424C0">
        <w:trPr>
          <w:trHeight w:val="746"/>
        </w:trPr>
        <w:tc>
          <w:tcPr>
            <w:tcW w:w="3140" w:type="dxa"/>
            <w:vMerge/>
          </w:tcPr>
          <w:p w:rsidR="004424C0" w:rsidRDefault="004424C0" w:rsidP="00EC1A4F">
            <w:pPr>
              <w:jc w:val="both"/>
              <w:rPr>
                <w:rFonts w:asciiTheme="majorBidi" w:hAnsiTheme="majorBidi" w:cstheme="majorBidi"/>
                <w:sz w:val="24"/>
                <w:szCs w:val="24"/>
                <w:lang w:bidi="ar-EG"/>
              </w:rPr>
            </w:pPr>
          </w:p>
        </w:tc>
        <w:tc>
          <w:tcPr>
            <w:tcW w:w="3141" w:type="dxa"/>
          </w:tcPr>
          <w:p w:rsidR="004424C0" w:rsidRPr="0003701D" w:rsidRDefault="004424C0" w:rsidP="00EC1A4F">
            <w:pPr>
              <w:jc w:val="both"/>
            </w:pPr>
            <w:r w:rsidRPr="007E676A">
              <w:t>Allocation concealment (selection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Unclear- No mention of the method</w:t>
            </w:r>
          </w:p>
        </w:tc>
      </w:tr>
      <w:tr w:rsidR="004424C0" w:rsidTr="004424C0">
        <w:trPr>
          <w:trHeight w:val="746"/>
        </w:trPr>
        <w:tc>
          <w:tcPr>
            <w:tcW w:w="3140" w:type="dxa"/>
            <w:vMerge/>
          </w:tcPr>
          <w:p w:rsidR="004424C0" w:rsidRDefault="004424C0" w:rsidP="00EC1A4F">
            <w:pPr>
              <w:jc w:val="both"/>
              <w:rPr>
                <w:rFonts w:asciiTheme="majorBidi" w:hAnsiTheme="majorBidi" w:cstheme="majorBidi"/>
                <w:sz w:val="24"/>
                <w:szCs w:val="24"/>
                <w:lang w:bidi="ar-EG"/>
              </w:rPr>
            </w:pPr>
          </w:p>
        </w:tc>
        <w:tc>
          <w:tcPr>
            <w:tcW w:w="3141"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participants and personnel (performance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High - Open-label study</w:t>
            </w:r>
          </w:p>
        </w:tc>
      </w:tr>
      <w:tr w:rsidR="004424C0" w:rsidTr="004424C0">
        <w:trPr>
          <w:trHeight w:val="766"/>
        </w:trPr>
        <w:tc>
          <w:tcPr>
            <w:tcW w:w="3140" w:type="dxa"/>
            <w:vMerge/>
          </w:tcPr>
          <w:p w:rsidR="004424C0" w:rsidRDefault="004424C0" w:rsidP="00EC1A4F">
            <w:pPr>
              <w:jc w:val="both"/>
              <w:rPr>
                <w:rFonts w:asciiTheme="majorBidi" w:hAnsiTheme="majorBidi" w:cstheme="majorBidi"/>
                <w:sz w:val="24"/>
                <w:szCs w:val="24"/>
                <w:lang w:bidi="ar-EG"/>
              </w:rPr>
            </w:pPr>
          </w:p>
        </w:tc>
        <w:tc>
          <w:tcPr>
            <w:tcW w:w="3141"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outcome assessment (detection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High - Open-label study</w:t>
            </w:r>
          </w:p>
        </w:tc>
      </w:tr>
      <w:tr w:rsidR="004424C0" w:rsidTr="004424C0">
        <w:trPr>
          <w:trHeight w:val="1129"/>
        </w:trPr>
        <w:tc>
          <w:tcPr>
            <w:tcW w:w="3140" w:type="dxa"/>
            <w:vMerge/>
          </w:tcPr>
          <w:p w:rsidR="004424C0" w:rsidRDefault="004424C0" w:rsidP="00EC1A4F">
            <w:pPr>
              <w:jc w:val="both"/>
              <w:rPr>
                <w:rFonts w:asciiTheme="majorBidi" w:hAnsiTheme="majorBidi" w:cstheme="majorBidi"/>
                <w:sz w:val="24"/>
                <w:szCs w:val="24"/>
                <w:lang w:bidi="ar-EG"/>
              </w:rPr>
            </w:pPr>
          </w:p>
        </w:tc>
        <w:tc>
          <w:tcPr>
            <w:tcW w:w="3141"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Incomplete outcome data (attrition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Low - </w:t>
            </w:r>
            <w:r w:rsidRPr="009D7A78">
              <w:rPr>
                <w:rFonts w:asciiTheme="majorBidi" w:hAnsiTheme="majorBidi" w:cstheme="majorBidi"/>
                <w:sz w:val="24"/>
                <w:szCs w:val="24"/>
                <w:lang w:bidi="ar-EG"/>
              </w:rPr>
              <w:t>100 % of randomly assigned patients entered the final analysis.</w:t>
            </w:r>
          </w:p>
        </w:tc>
      </w:tr>
      <w:tr w:rsidR="004424C0" w:rsidTr="004424C0">
        <w:trPr>
          <w:trHeight w:val="746"/>
        </w:trPr>
        <w:tc>
          <w:tcPr>
            <w:tcW w:w="3140" w:type="dxa"/>
            <w:vMerge/>
          </w:tcPr>
          <w:p w:rsidR="004424C0" w:rsidRDefault="004424C0" w:rsidP="00EC1A4F">
            <w:pPr>
              <w:jc w:val="both"/>
              <w:rPr>
                <w:rFonts w:asciiTheme="majorBidi" w:hAnsiTheme="majorBidi" w:cstheme="majorBidi"/>
                <w:sz w:val="24"/>
                <w:szCs w:val="24"/>
                <w:lang w:bidi="ar-EG"/>
              </w:rPr>
            </w:pPr>
          </w:p>
        </w:tc>
        <w:tc>
          <w:tcPr>
            <w:tcW w:w="3141"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Selective reporting (reporting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r w:rsidR="004424C0" w:rsidTr="004424C0">
        <w:trPr>
          <w:trHeight w:val="383"/>
        </w:trPr>
        <w:tc>
          <w:tcPr>
            <w:tcW w:w="3140" w:type="dxa"/>
            <w:vMerge/>
          </w:tcPr>
          <w:p w:rsidR="004424C0" w:rsidRDefault="004424C0" w:rsidP="00EC1A4F">
            <w:pPr>
              <w:jc w:val="both"/>
              <w:rPr>
                <w:rFonts w:asciiTheme="majorBidi" w:hAnsiTheme="majorBidi" w:cstheme="majorBidi"/>
                <w:sz w:val="24"/>
                <w:szCs w:val="24"/>
                <w:lang w:bidi="ar-EG"/>
              </w:rPr>
            </w:pPr>
          </w:p>
        </w:tc>
        <w:tc>
          <w:tcPr>
            <w:tcW w:w="3141" w:type="dxa"/>
          </w:tcPr>
          <w:p w:rsidR="004424C0" w:rsidRPr="007E676A" w:rsidRDefault="004424C0" w:rsidP="00EC1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bias</w:t>
            </w:r>
          </w:p>
        </w:tc>
        <w:tc>
          <w:tcPr>
            <w:tcW w:w="3141"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bl>
    <w:p w:rsidR="004424C0" w:rsidRDefault="004424C0" w:rsidP="004424C0">
      <w:pPr>
        <w:jc w:val="both"/>
        <w:rPr>
          <w:rFonts w:asciiTheme="majorBidi" w:hAnsiTheme="majorBidi" w:cstheme="majorBidi"/>
          <w:sz w:val="24"/>
          <w:szCs w:val="24"/>
          <w:lang w:bidi="ar-EG"/>
        </w:rPr>
      </w:pPr>
    </w:p>
    <w:p w:rsidR="004424C0" w:rsidRDefault="004424C0">
      <w:pPr>
        <w:rPr>
          <w:rFonts w:asciiTheme="majorBidi" w:hAnsiTheme="majorBidi" w:cstheme="majorBidi"/>
          <w:sz w:val="24"/>
          <w:szCs w:val="24"/>
          <w:lang w:bidi="ar-EG"/>
        </w:rPr>
      </w:pPr>
      <w:r>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3116"/>
        <w:gridCol w:w="3117"/>
        <w:gridCol w:w="3117"/>
      </w:tblGrid>
      <w:tr w:rsidR="004424C0" w:rsidTr="00EC1A4F">
        <w:tc>
          <w:tcPr>
            <w:tcW w:w="3116"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Author, Year</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Domain</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Author Judgment</w:t>
            </w:r>
          </w:p>
        </w:tc>
      </w:tr>
      <w:tr w:rsidR="004424C0" w:rsidTr="00EC1A4F">
        <w:tc>
          <w:tcPr>
            <w:tcW w:w="3116" w:type="dxa"/>
            <w:vMerge w:val="restart"/>
          </w:tcPr>
          <w:p w:rsidR="004424C0" w:rsidRDefault="004424C0" w:rsidP="00EC1A4F">
            <w:pPr>
              <w:jc w:val="both"/>
              <w:rPr>
                <w:rFonts w:asciiTheme="majorBidi" w:hAnsiTheme="majorBidi" w:cstheme="majorBidi"/>
                <w:sz w:val="24"/>
                <w:szCs w:val="24"/>
                <w:lang w:bidi="ar-EG"/>
              </w:rPr>
            </w:pPr>
            <w:r w:rsidRPr="00F70F22">
              <w:rPr>
                <w:rFonts w:asciiTheme="majorBidi" w:hAnsiTheme="majorBidi" w:cstheme="majorBidi"/>
                <w:sz w:val="24"/>
                <w:szCs w:val="24"/>
                <w:lang w:bidi="ar-EG"/>
              </w:rPr>
              <w:t>ROTHLIND et al 2014</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"10.1136/jnnp-2014-308119", "ISSN" : "1468-330X (Electronic)", "PMID" : "25185211", "abstract" : "BACKGROUND: Deep brain stimulation (DBS) improves motor symptoms in Parkinson's disease (PD), but questions remain regarding neuropsychological decrements sometimes associated with this treatment, including rates of statistically and clinically meaningful change, and whether there are differences in outcome related to surgical target. METHODS: Neuropsychological functioning was assessed in patients with Parkinson's disease (PD) at baseline and after 6 months in a prospective, randomised, controlled study comparing best medical therapy (BMT, n=116) and bilateral deep brain stimulation (DBS, n=164) at either the subthalamic nucleus (STN, n=84) or globus pallidus interna (GPi, n=80), using standardised neuropsychological tests. Measures of functional outcomes were also administered. RESULTS: Comparison of the two DBS targets revealed few significant group differences. STN DBS was associated with greater mean reductions on some measures of processing speed, only one of which was statistically significant in comparison with stimulation of GPi. GPi DBS was associated with lower mean performance on one measure of learning and memory that requires mental control and cognitive flexibility. Compared to the group receiving BMT, the combined DBS group had significantly greater mean reductions at 6-month follow-up in performance on multiple measures of processing speed and working memory. After calculating thresholds for statistically reliable change from data obtained from the BMT group, the combined DBS group also displayed higher rates of decline in neuropsychological test performance. Among study completers, 18 (11%) study participants receiving DBS displayed reliable decline by multiple indicators in two or more cognitive domains, a significantly higher rate than in the BMT group (3%). This multi-domain cognitive decline was associated with less beneficial change in subjective ratings of everyday functioning and quality of life (QOL). The multi-domain cognitive decline group continued to function at a lower level at 24-month follow-up. CONCLUSIONS: In those with PD, the likelihood of significant decline in neuropsychological functioning increases with DBS, affecting a small minority of patients who also appear to respond less optimally to DBS by other indicators of QOL. TRIAL REGISTRATION NUMBER: NCT00056563 and NCT01076452.", "author" : [ { "dropping-particle" : "", "family" : "Rothlind", "given" : "Johannes C", "non-dropping-particle" : "", "parse-names" : false, "suffix" : "" }, { "dropping-particle" : "", "family" : "York", "given" : "Michele K", "non-dropping-particle" : "", "parse-names" : false, "suffix" : "" }, { "dropping-particle" : "", "family" : "Carlson", "given" : "Kim", "non-dropping-particle" : "", "parse-names" : false, "suffix" : "" }, { "dropping-particle" : "", "family" : "Luo", "given" : "Ping", "non-dropping-particle" : "", "parse-names" : false, "suffix" : "" }, { "dropping-particle" : "", "family" : "Marks", "given" : "William J Jr", "non-dropping-particle" : "", "parse-names" : false, "suffix" : "" }, { "dropping-particle" : "", "family" : "Weaver", "given" : "Frances M", "non-dropping-particle" : "", "parse-names" : false, "suffix" : "" }, { "dropping-particle" : "", "family" : "Stern", "given" : "Matthew", "non-dropping-particle" : "", "parse-names" : false, "suffix" : "" }, { "dropping-particle" : "", "family" : "Follett", "given" : "Kenneth", "non-dropping-particle" : "", "parse-names" : false, "suffix" : "" }, { "dropping-particle" : "", "family" : "Reda", "given" : "Domenic", "non-dropping-particle" : "", "parse-names" : false, "suffix" : "" } ], "container-title" : "Journal of neurology, neurosurgery, and psychiatry", "id" : "ITEM-1", "issue" : "6", "issued" : { "date-parts" : [ [ "2015", "6" ] ] }, "language" : "eng", "page" : "622-629", "publisher-place" : "England", "title" : "Neuropsychological changes following deep brain stimulation surgery for Parkinson's disease: comparisons of treatment at pallidal and subthalamic targets versus best medical therapy.", "type" : "article-journal", "volume" : "86" }, "uris" : [ "http://www.mendeley.com/documents/?uuid=bcf869bb-6b21-4109-bd55-75a09faefcc1" ] } ], "mendeley" : { "formattedCitation" : "[2]", "plainTextFormattedCitation" : "[2]", "previouslyFormattedCitation" : "[5]"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4424C0">
              <w:rPr>
                <w:rFonts w:asciiTheme="majorBidi" w:hAnsiTheme="majorBidi" w:cstheme="majorBidi"/>
                <w:noProof/>
                <w:sz w:val="24"/>
                <w:szCs w:val="24"/>
                <w:lang w:bidi="ar-EG"/>
              </w:rPr>
              <w:t>[2]</w:t>
            </w:r>
            <w:r>
              <w:rPr>
                <w:rFonts w:asciiTheme="majorBidi" w:hAnsiTheme="majorBidi" w:cstheme="majorBidi"/>
                <w:sz w:val="24"/>
                <w:szCs w:val="24"/>
                <w:lang w:bidi="ar-EG"/>
              </w:rPr>
              <w:fldChar w:fldCharType="end"/>
            </w:r>
          </w:p>
        </w:tc>
        <w:tc>
          <w:tcPr>
            <w:tcW w:w="3117" w:type="dxa"/>
          </w:tcPr>
          <w:p w:rsidR="004424C0" w:rsidRPr="0003701D" w:rsidRDefault="004424C0" w:rsidP="00EC1A4F">
            <w:pPr>
              <w:jc w:val="both"/>
            </w:pPr>
            <w:r w:rsidRPr="0003701D">
              <w:t>Random sequence generation (selection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Unclear- “</w:t>
            </w:r>
            <w:r w:rsidRPr="0014584A">
              <w:rPr>
                <w:rFonts w:asciiTheme="majorBidi" w:hAnsiTheme="majorBidi" w:cstheme="majorBidi"/>
                <w:sz w:val="24"/>
                <w:szCs w:val="24"/>
                <w:lang w:bidi="ar-EG"/>
              </w:rPr>
              <w:t>Randomization to deep brain stimulation or best medical therapy included stratification by study site and patient age (&lt;70 years vs ≥70 years)</w:t>
            </w:r>
            <w:r>
              <w:rPr>
                <w:rFonts w:asciiTheme="majorBidi" w:hAnsiTheme="majorBidi" w:cstheme="majorBidi"/>
                <w:sz w:val="24"/>
                <w:szCs w:val="24"/>
                <w:lang w:bidi="ar-EG"/>
              </w:rPr>
              <w:t>”</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03701D" w:rsidRDefault="004424C0" w:rsidP="00EC1A4F">
            <w:pPr>
              <w:jc w:val="both"/>
            </w:pPr>
            <w:r w:rsidRPr="007E676A">
              <w:t>Allocation concealment (selection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Unclear- No mention of the method</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participants and personnel (performance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 – “</w:t>
            </w:r>
            <w:r w:rsidRPr="0014584A">
              <w:rPr>
                <w:rFonts w:asciiTheme="majorBidi" w:hAnsiTheme="majorBidi" w:cstheme="majorBidi"/>
                <w:sz w:val="24"/>
                <w:szCs w:val="24"/>
                <w:lang w:bidi="ar-EG"/>
              </w:rPr>
              <w:t>Patients underwent surgery within 1 month after randomization and remained unaware of the surgical target for the duration of the study</w:t>
            </w:r>
            <w:r>
              <w:rPr>
                <w:rFonts w:asciiTheme="majorBidi" w:hAnsiTheme="majorBidi" w:cstheme="majorBidi"/>
                <w:sz w:val="24"/>
                <w:szCs w:val="24"/>
                <w:lang w:bidi="ar-EG"/>
              </w:rPr>
              <w:t>”</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outcome assessment (detection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High – Neuropsychologists weren’t blinded to surgical target</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Incomplete outcome data (attrition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Low - </w:t>
            </w:r>
            <w:r w:rsidRPr="009D7A78">
              <w:rPr>
                <w:rFonts w:asciiTheme="majorBidi" w:hAnsiTheme="majorBidi" w:cstheme="majorBidi"/>
                <w:sz w:val="24"/>
                <w:szCs w:val="24"/>
                <w:lang w:bidi="ar-EG"/>
              </w:rPr>
              <w:t>100 % of randomly assigned patients entered the final analysis.</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Selective reporting (reporting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bl>
    <w:p w:rsidR="004424C0" w:rsidRDefault="004424C0" w:rsidP="004424C0">
      <w:pPr>
        <w:jc w:val="both"/>
        <w:rPr>
          <w:rFonts w:asciiTheme="majorBidi" w:hAnsiTheme="majorBidi" w:cstheme="majorBidi"/>
          <w:sz w:val="24"/>
          <w:szCs w:val="24"/>
          <w:lang w:bidi="ar-EG"/>
        </w:rPr>
      </w:pPr>
    </w:p>
    <w:p w:rsidR="004424C0" w:rsidRDefault="004424C0">
      <w:pPr>
        <w:rPr>
          <w:rFonts w:asciiTheme="majorBidi" w:hAnsiTheme="majorBidi" w:cstheme="majorBidi"/>
          <w:sz w:val="24"/>
          <w:szCs w:val="24"/>
          <w:lang w:bidi="ar-EG"/>
        </w:rPr>
      </w:pPr>
      <w:r>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3116"/>
        <w:gridCol w:w="3117"/>
        <w:gridCol w:w="3117"/>
      </w:tblGrid>
      <w:tr w:rsidR="004424C0" w:rsidTr="00EC1A4F">
        <w:tc>
          <w:tcPr>
            <w:tcW w:w="3116"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Author, Year</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Domain</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Author Judgment</w:t>
            </w:r>
          </w:p>
        </w:tc>
      </w:tr>
      <w:tr w:rsidR="004424C0" w:rsidTr="00EC1A4F">
        <w:tc>
          <w:tcPr>
            <w:tcW w:w="3116" w:type="dxa"/>
            <w:vMerge w:val="restart"/>
          </w:tcPr>
          <w:p w:rsidR="004424C0" w:rsidRDefault="004424C0" w:rsidP="00EC1A4F">
            <w:pPr>
              <w:jc w:val="both"/>
              <w:rPr>
                <w:rFonts w:asciiTheme="majorBidi" w:hAnsiTheme="majorBidi" w:cstheme="majorBidi"/>
                <w:sz w:val="24"/>
                <w:szCs w:val="24"/>
                <w:lang w:bidi="ar-EG"/>
              </w:rPr>
            </w:pPr>
            <w:r w:rsidRPr="00150BBE">
              <w:rPr>
                <w:rFonts w:asciiTheme="majorBidi" w:hAnsiTheme="majorBidi" w:cstheme="majorBidi"/>
                <w:sz w:val="24"/>
                <w:szCs w:val="24"/>
                <w:lang w:bidi="ar-EG"/>
              </w:rPr>
              <w:t>Odekerken e al 2015</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"10.1212/WNL.0000000000001419", "ISSN" : "1526-632X (Electronic)", "PMID" : "25724233", "abstract" : "OBJECTIVE: To assess the neuropsychological outcome 12 months after bilateral deep brain stimulation (DBS) of the globus pallidus pars interna (GPi) or subthalamic nucleus (STN) for advanced Parkinson disease. METHODS: We randomly assigned patients to receive either GPi DBS or STN DBS. Standardized neuropsychological tests were performed at baseline and after 12 months. Patients and study assessors were masked to treatment allocation. RESULTS: Univariate analysis of change scores indicated group differences on Stroop word reading and Stroop color naming (confidence interval [CI] 1.9-10.0 and 2.1-8.8), on Trail Making Test B (CI 0.5-10.3), and on Wechsler Adult Intelligence Scale similarities (CI -0.01 to 1.5), with STN DBS showing greater negative change than GPi DBS. No differences were found between GPi DBS and STN DBS on the other neuropsychological tests. Older age and better semantic fluency at baseline predicted cognitive decline after DBS. CONCLUSIONS: We found no clinically significant differences in neuropsychological outcome between GPi DBS and STN DBS. No satisfactory explanation is available for the predictive value of baseline semantic fluency for cognitive decline. CLASSIFICATION OF EVIDENCE: This study provides Class I evidence that there is no large difference in neuropsychological outcome between GPi DBS and STN DBS after 12 months. The study lacks the precision to exclude a moderate difference in outcomes.", "author" : [ { "dropping-particle" : "", "family" : "Odekerken", "given" : "Vincent J J", "non-dropping-particle" : "", "parse-names" : false, "suffix" : "" }, { "dropping-particle" : "", "family" : "Boel", "given" : "Judith A", "non-dropping-particle" : "", "parse-names" : false, "suffix" : "" }, { "dropping-particle" : "", "family" : "Geurtsen", "given" : "Gert J", "non-dropping-particle" : "", "parse-names" : false, "suffix" : "" }, { "dropping-particle" : "", "family" : "Schmand", "given" : "Ben A", "non-dropping-particle" : "", "parse-names" : false, "suffix" : "" }, { "dropping-particle" : "", "family" : "Dekker", "given" : "I P", "non-dropping-particle" : "", "parse-names" : false, "suffix" : "" }, { "dropping-particle" : "", "family" : "Haan", "given" : "Rob J", "non-dropping-particle" : "de", "parse-names" : false, "suffix" : "" }, { "dropping-particle" : "", "family" : "Schuurman", "given" : "P Richard", "non-dropping-particle" : "", "parse-names" : false, "suffix" : "" }, { "dropping-particle" : "", "family" : "Bie", "given" : "Rob M A", "non-dropping-particle" : "de", "parse-names" : false, "suffix" : "" } ], "container-title" : "Neurology", "id" : "ITEM-1", "issue" : "13", "issued" : { "date-parts" : [ [ "2015", "3" ] ] }, "language" : "eng", "page" : "1355-1361", "publisher-place" : "United States", "title" : "Neuropsychological outcome after deep brain stimulation for Parkinson disease.", "type" : "article-journal", "volume" : "84" }, "uris" : [ "http://www.mendeley.com/documents/?uuid=4139e795-1ee6-453c-a8be-05798e1ab81a" ] } ], "mendeley" : { "formattedCitation" : "[3]", "plainTextFormattedCitation" : "[3]", "previouslyFormattedCitation" : "[7]"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4424C0">
              <w:rPr>
                <w:rFonts w:asciiTheme="majorBidi" w:hAnsiTheme="majorBidi" w:cstheme="majorBidi"/>
                <w:noProof/>
                <w:sz w:val="24"/>
                <w:szCs w:val="24"/>
                <w:lang w:bidi="ar-EG"/>
              </w:rPr>
              <w:t>[3]</w:t>
            </w:r>
            <w:r>
              <w:rPr>
                <w:rFonts w:asciiTheme="majorBidi" w:hAnsiTheme="majorBidi" w:cstheme="majorBidi"/>
                <w:sz w:val="24"/>
                <w:szCs w:val="24"/>
                <w:lang w:bidi="ar-EG"/>
              </w:rPr>
              <w:fldChar w:fldCharType="end"/>
            </w:r>
          </w:p>
        </w:tc>
        <w:tc>
          <w:tcPr>
            <w:tcW w:w="3117" w:type="dxa"/>
          </w:tcPr>
          <w:p w:rsidR="004424C0" w:rsidRPr="0003701D" w:rsidRDefault="004424C0" w:rsidP="00EC1A4F">
            <w:pPr>
              <w:jc w:val="both"/>
            </w:pPr>
            <w:r w:rsidRPr="0003701D">
              <w:t>Random sequence generation (selection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 “</w:t>
            </w:r>
            <w:r w:rsidRPr="00150BBE">
              <w:rPr>
                <w:rFonts w:asciiTheme="majorBidi" w:hAnsiTheme="majorBidi" w:cstheme="majorBidi"/>
                <w:sz w:val="24"/>
                <w:szCs w:val="24"/>
                <w:lang w:bidi="ar-EG"/>
              </w:rPr>
              <w:t>Based on a computer-generated sequence, patients were randomly assigned to receiv</w:t>
            </w:r>
            <w:r>
              <w:rPr>
                <w:rFonts w:asciiTheme="majorBidi" w:hAnsiTheme="majorBidi" w:cstheme="majorBidi"/>
                <w:sz w:val="24"/>
                <w:szCs w:val="24"/>
                <w:lang w:bidi="ar-EG"/>
              </w:rPr>
              <w:t xml:space="preserve">e either GPi DBS or STN DBS in </w:t>
            </w:r>
            <w:r w:rsidRPr="00150BBE">
              <w:rPr>
                <w:rFonts w:asciiTheme="majorBidi" w:hAnsiTheme="majorBidi" w:cstheme="majorBidi"/>
                <w:sz w:val="24"/>
                <w:szCs w:val="24"/>
                <w:lang w:bidi="ar-EG"/>
              </w:rPr>
              <w:t>one-to-one ratio,</w:t>
            </w:r>
            <w:r>
              <w:rPr>
                <w:rFonts w:asciiTheme="majorBidi" w:hAnsiTheme="majorBidi" w:cstheme="majorBidi"/>
                <w:sz w:val="24"/>
                <w:szCs w:val="24"/>
                <w:lang w:bidi="ar-EG"/>
              </w:rPr>
              <w:t>”</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03701D" w:rsidRDefault="004424C0" w:rsidP="00EC1A4F">
            <w:pPr>
              <w:jc w:val="both"/>
            </w:pPr>
            <w:r w:rsidRPr="007E676A">
              <w:t>Allocation concealment (selection bias)</w:t>
            </w:r>
          </w:p>
        </w:tc>
        <w:tc>
          <w:tcPr>
            <w:tcW w:w="3117" w:type="dxa"/>
          </w:tcPr>
          <w:p w:rsidR="004424C0" w:rsidRDefault="004424C0" w:rsidP="00EC1A4F">
            <w:pPr>
              <w:jc w:val="both"/>
              <w:rPr>
                <w:rFonts w:asciiTheme="majorBidi" w:hAnsiTheme="majorBidi" w:cstheme="majorBidi"/>
                <w:sz w:val="24"/>
                <w:szCs w:val="24"/>
                <w:lang w:bidi="ar-EG"/>
              </w:rPr>
            </w:pPr>
            <w:r w:rsidRPr="00150BBE">
              <w:rPr>
                <w:rFonts w:asciiTheme="majorBidi" w:hAnsiTheme="majorBidi" w:cstheme="majorBidi"/>
                <w:sz w:val="24"/>
                <w:szCs w:val="24"/>
                <w:lang w:bidi="ar-EG"/>
              </w:rPr>
              <w:t>Low- “Based on a computer-generated sequence, patients were randomly assigned to receive either GPi DBS or STN DBS in one-to-one ratio,”</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participants and personnel (performance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Low – “Patients as well as clinical, </w:t>
            </w:r>
            <w:r w:rsidRPr="00150BBE">
              <w:rPr>
                <w:rFonts w:asciiTheme="majorBidi" w:hAnsiTheme="majorBidi" w:cstheme="majorBidi"/>
                <w:sz w:val="24"/>
                <w:szCs w:val="24"/>
                <w:lang w:bidi="ar-EG"/>
              </w:rPr>
              <w:t>neuropsychological,</w:t>
            </w:r>
            <w:r>
              <w:rPr>
                <w:rFonts w:asciiTheme="majorBidi" w:hAnsiTheme="majorBidi" w:cstheme="majorBidi"/>
                <w:sz w:val="24"/>
                <w:szCs w:val="24"/>
                <w:lang w:bidi="ar-EG"/>
              </w:rPr>
              <w:t xml:space="preserve"> </w:t>
            </w:r>
            <w:r w:rsidRPr="00150BBE">
              <w:rPr>
                <w:rFonts w:asciiTheme="majorBidi" w:hAnsiTheme="majorBidi" w:cstheme="majorBidi"/>
                <w:sz w:val="24"/>
                <w:szCs w:val="24"/>
                <w:lang w:bidi="ar-EG"/>
              </w:rPr>
              <w:t>and psychiatric assessors were blinded for treatment allocation.</w:t>
            </w:r>
            <w:r>
              <w:rPr>
                <w:rFonts w:asciiTheme="majorBidi" w:hAnsiTheme="majorBidi" w:cstheme="majorBidi"/>
                <w:sz w:val="24"/>
                <w:szCs w:val="24"/>
                <w:lang w:bidi="ar-EG"/>
              </w:rPr>
              <w:t>”</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outcome assessment (detection bias)</w:t>
            </w:r>
          </w:p>
        </w:tc>
        <w:tc>
          <w:tcPr>
            <w:tcW w:w="3117" w:type="dxa"/>
          </w:tcPr>
          <w:p w:rsidR="004424C0" w:rsidRDefault="004424C0" w:rsidP="00EC1A4F">
            <w:pPr>
              <w:jc w:val="both"/>
              <w:rPr>
                <w:rFonts w:asciiTheme="majorBidi" w:hAnsiTheme="majorBidi" w:cstheme="majorBidi"/>
                <w:sz w:val="24"/>
                <w:szCs w:val="24"/>
                <w:lang w:bidi="ar-EG"/>
              </w:rPr>
            </w:pPr>
            <w:r w:rsidRPr="00150BBE">
              <w:rPr>
                <w:rFonts w:asciiTheme="majorBidi" w:hAnsiTheme="majorBidi" w:cstheme="majorBidi"/>
                <w:sz w:val="24"/>
                <w:szCs w:val="24"/>
                <w:lang w:bidi="ar-EG"/>
              </w:rPr>
              <w:t>Low – “Patients as well as clinical, neuropsychological,</w:t>
            </w:r>
            <w:r>
              <w:rPr>
                <w:rFonts w:asciiTheme="majorBidi" w:hAnsiTheme="majorBidi" w:cstheme="majorBidi"/>
                <w:sz w:val="24"/>
                <w:szCs w:val="24"/>
                <w:lang w:bidi="ar-EG"/>
              </w:rPr>
              <w:t xml:space="preserve"> </w:t>
            </w:r>
            <w:r w:rsidRPr="00150BBE">
              <w:rPr>
                <w:rFonts w:asciiTheme="majorBidi" w:hAnsiTheme="majorBidi" w:cstheme="majorBidi"/>
                <w:sz w:val="24"/>
                <w:szCs w:val="24"/>
                <w:lang w:bidi="ar-EG"/>
              </w:rPr>
              <w:t>and psychiatric assessors were blinded for treatment allocation.”</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Incomplete outcome data (attrition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Low - </w:t>
            </w:r>
            <w:r w:rsidRPr="00150BBE">
              <w:rPr>
                <w:rFonts w:asciiTheme="majorBidi" w:hAnsiTheme="majorBidi" w:cstheme="majorBidi"/>
                <w:sz w:val="24"/>
                <w:szCs w:val="24"/>
                <w:lang w:bidi="ar-EG"/>
              </w:rPr>
              <w:t>89 % of randomly assigned patients entered the final analysis.</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Selective reporting (reporting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r w:rsidR="004424C0" w:rsidTr="00EC1A4F">
        <w:tc>
          <w:tcPr>
            <w:tcW w:w="3116" w:type="dxa"/>
            <w:vMerge/>
          </w:tcPr>
          <w:p w:rsidR="004424C0" w:rsidRDefault="004424C0" w:rsidP="00EC1A4F">
            <w:pPr>
              <w:jc w:val="both"/>
              <w:rPr>
                <w:rFonts w:asciiTheme="majorBidi" w:hAnsiTheme="majorBidi" w:cstheme="majorBidi"/>
                <w:sz w:val="24"/>
                <w:szCs w:val="24"/>
                <w:lang w:bidi="ar-EG"/>
              </w:rPr>
            </w:pPr>
          </w:p>
        </w:tc>
        <w:tc>
          <w:tcPr>
            <w:tcW w:w="3117" w:type="dxa"/>
          </w:tcPr>
          <w:p w:rsidR="004424C0" w:rsidRPr="007E676A" w:rsidRDefault="004424C0" w:rsidP="00EC1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bias</w:t>
            </w:r>
          </w:p>
        </w:tc>
        <w:tc>
          <w:tcPr>
            <w:tcW w:w="311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bl>
    <w:p w:rsidR="004424C0" w:rsidRDefault="004424C0" w:rsidP="004424C0">
      <w:pPr>
        <w:jc w:val="both"/>
        <w:rPr>
          <w:rFonts w:asciiTheme="majorBidi" w:hAnsiTheme="majorBidi" w:cstheme="majorBidi"/>
          <w:sz w:val="24"/>
          <w:szCs w:val="24"/>
          <w:lang w:bidi="ar-EG"/>
        </w:rPr>
      </w:pPr>
    </w:p>
    <w:p w:rsidR="004424C0" w:rsidRDefault="004424C0">
      <w:pPr>
        <w:rPr>
          <w:rFonts w:asciiTheme="majorBidi" w:hAnsiTheme="majorBidi" w:cstheme="majorBidi"/>
          <w:sz w:val="24"/>
          <w:szCs w:val="24"/>
          <w:lang w:bidi="ar-EG"/>
        </w:rPr>
      </w:pPr>
      <w:r>
        <w:rPr>
          <w:rFonts w:asciiTheme="majorBidi" w:hAnsiTheme="majorBidi" w:cstheme="majorBidi"/>
          <w:sz w:val="24"/>
          <w:szCs w:val="24"/>
          <w:lang w:bidi="ar-EG"/>
        </w:rPr>
        <w:br w:type="page"/>
      </w:r>
    </w:p>
    <w:tbl>
      <w:tblPr>
        <w:tblStyle w:val="TableGrid"/>
        <w:tblW w:w="0" w:type="auto"/>
        <w:tblLook w:val="04A0" w:firstRow="1" w:lastRow="0" w:firstColumn="1" w:lastColumn="0" w:noHBand="0" w:noVBand="1"/>
      </w:tblPr>
      <w:tblGrid>
        <w:gridCol w:w="2047"/>
        <w:gridCol w:w="2314"/>
        <w:gridCol w:w="4989"/>
      </w:tblGrid>
      <w:tr w:rsidR="004424C0" w:rsidTr="004424C0">
        <w:tc>
          <w:tcPr>
            <w:tcW w:w="2047"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Author, Year</w:t>
            </w:r>
          </w:p>
        </w:tc>
        <w:tc>
          <w:tcPr>
            <w:tcW w:w="2314"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Domain</w:t>
            </w:r>
          </w:p>
        </w:tc>
        <w:tc>
          <w:tcPr>
            <w:tcW w:w="4989"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Author Judgment</w:t>
            </w:r>
          </w:p>
        </w:tc>
      </w:tr>
      <w:tr w:rsidR="004424C0" w:rsidTr="004424C0">
        <w:tc>
          <w:tcPr>
            <w:tcW w:w="2047" w:type="dxa"/>
            <w:vMerge w:val="restart"/>
          </w:tcPr>
          <w:p w:rsidR="004424C0" w:rsidRDefault="004424C0"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Okun</w:t>
            </w:r>
            <w:proofErr w:type="spellEnd"/>
            <w:r>
              <w:rPr>
                <w:rFonts w:asciiTheme="majorBidi" w:hAnsiTheme="majorBidi" w:cstheme="majorBidi"/>
                <w:sz w:val="24"/>
                <w:szCs w:val="24"/>
                <w:lang w:bidi="ar-EG"/>
              </w:rPr>
              <w:t xml:space="preserve"> et al. 2009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"10.1002/ana.21596", "ISSN" : "1531-8249", "PMID" : "19288469", "abstract" : "OBJECTIVE: Our aim was to compare in a prospective blinded study the cognitive and mood effects of subthalamic nucleus (STN) vs. globus pallidus interna (GPi) deep brain stimulation (DBS) in Parkinson disease.\n\nMETHODS: Fifty-two subjects were randomized to unilateral STN or GPi DBS. The co-primary outcome measures were the Visual Analog Mood Scale, and verbal fluency (semantic and letter) at 7 months post-DBS in the optimal setting compared to pre-DBS. At 7 months post-DBS, subjects were tested in four randomized/counterbalanced conditions (optimal, ventral, dorsal, and off DBS).\n\nRESULTS: Forty-five subjects (23 GPi, 22 STN) completed the protocol. The study revealed no difference between STN and GPi DBS in the change of co-primary mood and cognitive outcomes pre- to post-DBS in the optimal setting (Hotelling's T(2) test: p = 0.16 and 0.08 respectively). Subjects in both targets were less \"happy\", less \"energetic\" and more \"confused\" when stimulated ventrally. Comparison of the other 3 DBS conditions to pre-DBS showed a larger deterioration of letter verbal fluency in STN, especially when off DBS. There was no difference in UPDRS motor improvement between targets.\n\nINTERPRETATION: There were no significant differences in the co-primary outcome measures (mood and cognition) between STN and GPi in the optimal DBS state. Adverse mood effects occurred ventrally in both targets. A worsening of letter verbal fluency was seen in STN. The persistence of deterioration in verbal fluency in the off STN DBS state was suggestive of a surgical rather than a stimulation-induced effect. Similar motor improvement were observed with both STN and GPi DBS.", "author" : [ { "dropping-particle" : "", "family" : "Okun", "given" : "Michael S", "non-dropping-particle" : "", "parse-names" : false, "suffix" : "" }, { "dropping-particle" : "", "family" : "Fernandez", "given" : "Hubert H", "non-dropping-particle" : "", "parse-names" : false, "suffix" : "" }, { "dropping-particle" : "", "family" : "Wu", "given" : "Samuel S", "non-dropping-particle" : "", "parse-names" : false, "suffix" : "" }, { "dropping-particle" : "", "family" : "Kirsch-Darrow", "given" : "Lindsey", "non-dropping-particle" : "", "parse-names" : false, "suffix" : "" }, { "dropping-particle" : "", "family" : "Bowers", "given" : "Dawn", "non-dropping-particle" : "", "parse-names" : false, "suffix" : "" }, { "dropping-particle" : "", "family" : "Bova", "given" : "Frank", "non-dropping-particle" : "", "parse-names" : false, "suffix" : "" }, { "dropping-particle" : "", "family" : "Suelter", "given" : "Michele", "non-dropping-particle" : "", "parse-names" : false, "suffix" : "" }, { "dropping-particle" : "", "family" : "Jacobson", "given" : "Charles E", "non-dropping-particle" : "", "parse-names" : false, "suffix" : "" }, { "dropping-particle" : "", "family" : "Wang", "given" : "Xinping", "non-dropping-particle" : "", "parse-names" : false, "suffix" : "" }, { "dropping-particle" : "", "family" : "Gordon", "given" : "Clifford W", "non-dropping-particle" : "", "parse-names" : false, "suffix" : "" }, { "dropping-particle" : "", "family" : "Zeilman", "given" : "Pam", "non-dropping-particle" : "", "parse-names" : false, "suffix" : "" }, { "dropping-particle" : "", "family" : "Romrell", "given" : "Janet", "non-dropping-particle" : "", "parse-names" : false, "suffix" : "" }, { "dropping-particle" : "", "family" : "Martin", "given" : "Pam", "non-dropping-particle" : "", "parse-names" : false, "suffix" : "" }, { "dropping-particle" : "", "family" : "Ward", "given" : "Herbert", "non-dropping-particle" : "", "parse-names" : false, "suffix" : "" }, { "dropping-particle" : "", "family" : "Rodriguez", "given" : "Ramon L", "non-dropping-particle" : "", "parse-names" : false, "suffix" : "" }, { "dropping-particle" : "", "family" : "Foote", "given" : "Kelly D", "non-dropping-particle" : "", "parse-names" : false, "suffix" : "" } ], "container-title" : "Annals of neurology", "id" : "ITEM-1", "issue" : "5", "issued" : { "date-parts" : [ [ "2009", "5" ] ] }, "page" : "586-95", "title" : "Cognition and mood in Parkinson's disease in subthalamic nucleus versus globus pallidus interna deep brain stimulation: the COMPARE trial.", "type" : "article-journal", "volume" : "65" }, "uris" : [ "http://www.mendeley.com/documents/?uuid=7a60cb37-884c-4634-a361-c5b1629650d0" ] } ], "mendeley" : { "formattedCitation" : "[4]", "plainTextFormattedCitation" : "[4]", "previouslyFormattedCitation" : "[8]"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4424C0">
              <w:rPr>
                <w:rFonts w:asciiTheme="majorBidi" w:hAnsiTheme="majorBidi" w:cstheme="majorBidi"/>
                <w:noProof/>
                <w:sz w:val="24"/>
                <w:szCs w:val="24"/>
                <w:lang w:bidi="ar-EG"/>
              </w:rPr>
              <w:t>[4]</w:t>
            </w:r>
            <w:r>
              <w:rPr>
                <w:rFonts w:asciiTheme="majorBidi" w:hAnsiTheme="majorBidi" w:cstheme="majorBidi"/>
                <w:sz w:val="24"/>
                <w:szCs w:val="24"/>
                <w:lang w:bidi="ar-EG"/>
              </w:rPr>
              <w:fldChar w:fldCharType="end"/>
            </w:r>
          </w:p>
        </w:tc>
        <w:tc>
          <w:tcPr>
            <w:tcW w:w="2314" w:type="dxa"/>
          </w:tcPr>
          <w:p w:rsidR="004424C0" w:rsidRPr="0003701D" w:rsidRDefault="004424C0" w:rsidP="00EC1A4F">
            <w:pPr>
              <w:jc w:val="both"/>
            </w:pPr>
            <w:r w:rsidRPr="0003701D">
              <w:t>Random sequence generation (selection bias)</w:t>
            </w:r>
          </w:p>
        </w:tc>
        <w:tc>
          <w:tcPr>
            <w:tcW w:w="4989" w:type="dxa"/>
            <w:vAlign w:val="center"/>
          </w:tcPr>
          <w:p w:rsidR="004424C0" w:rsidRDefault="004424C0" w:rsidP="00EC1A4F">
            <w:pPr>
              <w:pStyle w:val="NormalWeb"/>
              <w:jc w:val="both"/>
            </w:pPr>
            <w:r>
              <w:t>Unclear- No mention for the method</w:t>
            </w:r>
          </w:p>
        </w:tc>
      </w:tr>
      <w:tr w:rsidR="004424C0" w:rsidTr="004424C0">
        <w:tc>
          <w:tcPr>
            <w:tcW w:w="2047" w:type="dxa"/>
            <w:vMerge/>
          </w:tcPr>
          <w:p w:rsidR="004424C0" w:rsidRDefault="004424C0" w:rsidP="00EC1A4F">
            <w:pPr>
              <w:jc w:val="both"/>
              <w:rPr>
                <w:rFonts w:asciiTheme="majorBidi" w:hAnsiTheme="majorBidi" w:cstheme="majorBidi"/>
                <w:sz w:val="24"/>
                <w:szCs w:val="24"/>
                <w:lang w:bidi="ar-EG"/>
              </w:rPr>
            </w:pPr>
          </w:p>
        </w:tc>
        <w:tc>
          <w:tcPr>
            <w:tcW w:w="2314" w:type="dxa"/>
          </w:tcPr>
          <w:p w:rsidR="004424C0" w:rsidRPr="0003701D" w:rsidRDefault="004424C0" w:rsidP="00EC1A4F">
            <w:pPr>
              <w:jc w:val="both"/>
            </w:pPr>
            <w:r w:rsidRPr="007E676A">
              <w:t>Allocation concealment (selection bias)</w:t>
            </w:r>
          </w:p>
        </w:tc>
        <w:tc>
          <w:tcPr>
            <w:tcW w:w="4989" w:type="dxa"/>
            <w:vAlign w:val="center"/>
          </w:tcPr>
          <w:p w:rsidR="004424C0" w:rsidRDefault="004424C0" w:rsidP="00EC1A4F">
            <w:pPr>
              <w:pStyle w:val="NormalWeb"/>
              <w:jc w:val="both"/>
            </w:pPr>
            <w:r>
              <w:t>Unclear- No mention</w:t>
            </w:r>
          </w:p>
        </w:tc>
      </w:tr>
      <w:tr w:rsidR="004424C0" w:rsidTr="004424C0">
        <w:tc>
          <w:tcPr>
            <w:tcW w:w="2047" w:type="dxa"/>
            <w:vMerge/>
          </w:tcPr>
          <w:p w:rsidR="004424C0" w:rsidRDefault="004424C0" w:rsidP="00EC1A4F">
            <w:pPr>
              <w:jc w:val="both"/>
              <w:rPr>
                <w:rFonts w:asciiTheme="majorBidi" w:hAnsiTheme="majorBidi" w:cstheme="majorBidi"/>
                <w:sz w:val="24"/>
                <w:szCs w:val="24"/>
                <w:lang w:bidi="ar-EG"/>
              </w:rPr>
            </w:pPr>
          </w:p>
        </w:tc>
        <w:tc>
          <w:tcPr>
            <w:tcW w:w="2314"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participants and personnel (performance bias)</w:t>
            </w:r>
          </w:p>
        </w:tc>
        <w:tc>
          <w:tcPr>
            <w:tcW w:w="4989" w:type="dxa"/>
            <w:vAlign w:val="center"/>
          </w:tcPr>
          <w:p w:rsidR="004424C0" w:rsidRDefault="004424C0" w:rsidP="00EC1A4F">
            <w:pPr>
              <w:pStyle w:val="NormalWeb"/>
              <w:jc w:val="both"/>
            </w:pPr>
            <w:r>
              <w:t>Low- Double-blinded Masking was stated in the protocol but no mention in the paper, https://clinicaltrials.gov/ct2/show/NCT00360009.</w:t>
            </w:r>
          </w:p>
        </w:tc>
      </w:tr>
      <w:tr w:rsidR="004424C0" w:rsidTr="004424C0">
        <w:tc>
          <w:tcPr>
            <w:tcW w:w="2047" w:type="dxa"/>
            <w:vMerge/>
          </w:tcPr>
          <w:p w:rsidR="004424C0" w:rsidRDefault="004424C0" w:rsidP="00EC1A4F">
            <w:pPr>
              <w:jc w:val="both"/>
              <w:rPr>
                <w:rFonts w:asciiTheme="majorBidi" w:hAnsiTheme="majorBidi" w:cstheme="majorBidi"/>
                <w:sz w:val="24"/>
                <w:szCs w:val="24"/>
                <w:lang w:bidi="ar-EG"/>
              </w:rPr>
            </w:pPr>
          </w:p>
        </w:tc>
        <w:tc>
          <w:tcPr>
            <w:tcW w:w="2314"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Blinding of outcome assessment (detection bias)</w:t>
            </w:r>
          </w:p>
        </w:tc>
        <w:tc>
          <w:tcPr>
            <w:tcW w:w="4989" w:type="dxa"/>
            <w:vAlign w:val="center"/>
          </w:tcPr>
          <w:p w:rsidR="004424C0" w:rsidRDefault="004424C0" w:rsidP="00EC1A4F">
            <w:pPr>
              <w:pStyle w:val="NormalWeb"/>
              <w:jc w:val="both"/>
            </w:pPr>
            <w:r>
              <w:t>Low - Double-blinded Masking was stated in the protocol but no mention in the paper, https://clinicaltrials.gov/ct2/show/NCT00360009</w:t>
            </w:r>
          </w:p>
        </w:tc>
      </w:tr>
      <w:tr w:rsidR="004424C0" w:rsidTr="004424C0">
        <w:tc>
          <w:tcPr>
            <w:tcW w:w="2047" w:type="dxa"/>
            <w:vMerge/>
          </w:tcPr>
          <w:p w:rsidR="004424C0" w:rsidRDefault="004424C0" w:rsidP="00EC1A4F">
            <w:pPr>
              <w:jc w:val="both"/>
              <w:rPr>
                <w:rFonts w:asciiTheme="majorBidi" w:hAnsiTheme="majorBidi" w:cstheme="majorBidi"/>
                <w:sz w:val="24"/>
                <w:szCs w:val="24"/>
                <w:lang w:bidi="ar-EG"/>
              </w:rPr>
            </w:pPr>
          </w:p>
        </w:tc>
        <w:tc>
          <w:tcPr>
            <w:tcW w:w="2314"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Incomplete outcome data (attrition bias)</w:t>
            </w:r>
          </w:p>
        </w:tc>
        <w:tc>
          <w:tcPr>
            <w:tcW w:w="4989"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 - 88</w:t>
            </w:r>
            <w:r w:rsidRPr="009D7A78">
              <w:rPr>
                <w:rFonts w:asciiTheme="majorBidi" w:hAnsiTheme="majorBidi" w:cstheme="majorBidi"/>
                <w:sz w:val="24"/>
                <w:szCs w:val="24"/>
                <w:lang w:bidi="ar-EG"/>
              </w:rPr>
              <w:t xml:space="preserve"> % of randomly assigned patients entered the final analysis.</w:t>
            </w:r>
          </w:p>
        </w:tc>
      </w:tr>
      <w:tr w:rsidR="004424C0" w:rsidTr="004424C0">
        <w:tc>
          <w:tcPr>
            <w:tcW w:w="2047" w:type="dxa"/>
            <w:vMerge/>
          </w:tcPr>
          <w:p w:rsidR="004424C0" w:rsidRDefault="004424C0" w:rsidP="00EC1A4F">
            <w:pPr>
              <w:jc w:val="both"/>
              <w:rPr>
                <w:rFonts w:asciiTheme="majorBidi" w:hAnsiTheme="majorBidi" w:cstheme="majorBidi"/>
                <w:sz w:val="24"/>
                <w:szCs w:val="24"/>
                <w:lang w:bidi="ar-EG"/>
              </w:rPr>
            </w:pPr>
          </w:p>
        </w:tc>
        <w:tc>
          <w:tcPr>
            <w:tcW w:w="2314" w:type="dxa"/>
          </w:tcPr>
          <w:p w:rsidR="004424C0" w:rsidRPr="007E676A" w:rsidRDefault="004424C0" w:rsidP="00EC1A4F">
            <w:pPr>
              <w:jc w:val="both"/>
              <w:rPr>
                <w:rFonts w:ascii="Times New Roman" w:eastAsia="Times New Roman" w:hAnsi="Times New Roman" w:cs="Times New Roman"/>
                <w:sz w:val="24"/>
                <w:szCs w:val="24"/>
              </w:rPr>
            </w:pPr>
            <w:r w:rsidRPr="007E676A">
              <w:rPr>
                <w:rFonts w:ascii="Times New Roman" w:eastAsia="Times New Roman" w:hAnsi="Times New Roman" w:cs="Times New Roman"/>
                <w:sz w:val="24"/>
                <w:szCs w:val="24"/>
              </w:rPr>
              <w:t>Selective reporting (reporting bias)</w:t>
            </w:r>
          </w:p>
        </w:tc>
        <w:tc>
          <w:tcPr>
            <w:tcW w:w="4989"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r w:rsidR="004424C0" w:rsidTr="004424C0">
        <w:tc>
          <w:tcPr>
            <w:tcW w:w="2047" w:type="dxa"/>
            <w:vMerge/>
          </w:tcPr>
          <w:p w:rsidR="004424C0" w:rsidRDefault="004424C0" w:rsidP="00EC1A4F">
            <w:pPr>
              <w:jc w:val="both"/>
              <w:rPr>
                <w:rFonts w:asciiTheme="majorBidi" w:hAnsiTheme="majorBidi" w:cstheme="majorBidi"/>
                <w:sz w:val="24"/>
                <w:szCs w:val="24"/>
                <w:lang w:bidi="ar-EG"/>
              </w:rPr>
            </w:pPr>
          </w:p>
        </w:tc>
        <w:tc>
          <w:tcPr>
            <w:tcW w:w="2314" w:type="dxa"/>
          </w:tcPr>
          <w:p w:rsidR="004424C0" w:rsidRPr="007E676A" w:rsidRDefault="004424C0" w:rsidP="00EC1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bias</w:t>
            </w:r>
          </w:p>
        </w:tc>
        <w:tc>
          <w:tcPr>
            <w:tcW w:w="4989" w:type="dxa"/>
          </w:tcPr>
          <w:p w:rsidR="004424C0" w:rsidRDefault="004424C0"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Low</w:t>
            </w:r>
          </w:p>
        </w:tc>
      </w:tr>
    </w:tbl>
    <w:p w:rsidR="004424C0" w:rsidRDefault="004424C0" w:rsidP="004424C0">
      <w:pPr>
        <w:jc w:val="both"/>
        <w:rPr>
          <w:rFonts w:asciiTheme="majorBidi" w:hAnsiTheme="majorBidi" w:cstheme="majorBidi"/>
          <w:sz w:val="24"/>
          <w:szCs w:val="24"/>
          <w:lang w:bidi="ar-EG"/>
        </w:rPr>
      </w:pPr>
    </w:p>
    <w:p w:rsidR="004424C0" w:rsidRPr="007E676A" w:rsidRDefault="004424C0" w:rsidP="004424C0">
      <w:pPr>
        <w:jc w:val="both"/>
        <w:rPr>
          <w:rFonts w:asciiTheme="majorBidi" w:hAnsiTheme="majorBidi" w:cstheme="majorBidi"/>
          <w:sz w:val="24"/>
          <w:szCs w:val="24"/>
          <w:lang w:bidi="ar-EG"/>
        </w:rPr>
      </w:pPr>
    </w:p>
    <w:p w:rsidR="00D764D9" w:rsidRDefault="004424C0">
      <w:r>
        <w:t>REFERENCES</w:t>
      </w:r>
    </w:p>
    <w:p w:rsidR="004424C0" w:rsidRPr="004424C0" w:rsidRDefault="004424C0">
      <w:pPr>
        <w:pStyle w:val="NormalWeb"/>
        <w:ind w:left="640" w:hanging="640"/>
        <w:divId w:val="1063287760"/>
        <w:rPr>
          <w:rFonts w:ascii="Calibri" w:hAnsi="Calibri" w:cs="Calibri"/>
          <w:noProof/>
          <w:sz w:val="22"/>
        </w:rPr>
      </w:pPr>
      <w:r>
        <w:fldChar w:fldCharType="begin" w:fldLock="1"/>
      </w:r>
      <w:r>
        <w:instrText xml:space="preserve">ADDIN Mendeley Bibliography CSL_BIBLIOGRAPHY </w:instrText>
      </w:r>
      <w:r>
        <w:fldChar w:fldCharType="separate"/>
      </w:r>
      <w:r w:rsidRPr="004424C0">
        <w:rPr>
          <w:rFonts w:ascii="Calibri" w:hAnsi="Calibri" w:cs="Calibri"/>
          <w:noProof/>
          <w:sz w:val="22"/>
        </w:rPr>
        <w:t>[1]</w:t>
      </w:r>
      <w:r w:rsidRPr="004424C0">
        <w:rPr>
          <w:rFonts w:ascii="Calibri" w:hAnsi="Calibri" w:cs="Calibri"/>
          <w:noProof/>
          <w:sz w:val="22"/>
        </w:rPr>
        <w:tab/>
        <w:t>Rothlind JC, Cockshott RW, Starr PA, Marks WJ. Neuropsychological performance following staged bilateral pallidal or subthalamic nucleus deep brain stimulation for Parkinson’s disease. J Int Neuropsychol Soc 2007;13:68–79. doi:10.1017/S1355617707070105.</w:t>
      </w:r>
    </w:p>
    <w:p w:rsidR="004424C0" w:rsidRPr="004424C0" w:rsidRDefault="004424C0">
      <w:pPr>
        <w:pStyle w:val="NormalWeb"/>
        <w:ind w:left="640" w:hanging="640"/>
        <w:divId w:val="1063287760"/>
        <w:rPr>
          <w:rFonts w:ascii="Calibri" w:hAnsi="Calibri" w:cs="Calibri"/>
          <w:noProof/>
          <w:sz w:val="22"/>
        </w:rPr>
      </w:pPr>
      <w:r w:rsidRPr="004424C0">
        <w:rPr>
          <w:rFonts w:ascii="Calibri" w:hAnsi="Calibri" w:cs="Calibri"/>
          <w:noProof/>
          <w:sz w:val="22"/>
        </w:rPr>
        <w:t>[2]</w:t>
      </w:r>
      <w:r w:rsidRPr="004424C0">
        <w:rPr>
          <w:rFonts w:ascii="Calibri" w:hAnsi="Calibri" w:cs="Calibri"/>
          <w:noProof/>
          <w:sz w:val="22"/>
        </w:rPr>
        <w:tab/>
        <w:t>Rothlind JC, York MK, Carlson K, Luo P, Marks WJJ, Weaver FM, et al. Neuropsychological changes following deep brain stimulation surgery for Parkinson’s disease: comparisons of treatment at pallidal and subthalamic targets versus best medical therapy. J Neurol Neurosurg Psychiatry 2015;86:622–9. doi:10.1136/jnnp-2014-308119.</w:t>
      </w:r>
    </w:p>
    <w:p w:rsidR="004424C0" w:rsidRPr="004424C0" w:rsidRDefault="004424C0">
      <w:pPr>
        <w:pStyle w:val="NormalWeb"/>
        <w:ind w:left="640" w:hanging="640"/>
        <w:divId w:val="1063287760"/>
        <w:rPr>
          <w:rFonts w:ascii="Calibri" w:hAnsi="Calibri" w:cs="Calibri"/>
          <w:noProof/>
          <w:sz w:val="22"/>
        </w:rPr>
      </w:pPr>
      <w:r w:rsidRPr="004424C0">
        <w:rPr>
          <w:rFonts w:ascii="Calibri" w:hAnsi="Calibri" w:cs="Calibri"/>
          <w:noProof/>
          <w:sz w:val="22"/>
        </w:rPr>
        <w:t>[3]</w:t>
      </w:r>
      <w:r w:rsidRPr="004424C0">
        <w:rPr>
          <w:rFonts w:ascii="Calibri" w:hAnsi="Calibri" w:cs="Calibri"/>
          <w:noProof/>
          <w:sz w:val="22"/>
        </w:rPr>
        <w:tab/>
        <w:t>Odekerken VJJ, Boel JA, Geurtsen GJ, Schmand BA, Dekker IP, de Haan RJ, et al. Neuropsychological outcome after deep brain stimulation for Parkinson disease. Neurology 2015;84:1355–61. doi:10.1212/WNL.0000000000001419.</w:t>
      </w:r>
    </w:p>
    <w:p w:rsidR="004424C0" w:rsidRPr="004424C0" w:rsidRDefault="004424C0">
      <w:pPr>
        <w:pStyle w:val="NormalWeb"/>
        <w:ind w:left="640" w:hanging="640"/>
        <w:divId w:val="1063287760"/>
        <w:rPr>
          <w:rFonts w:ascii="Calibri" w:hAnsi="Calibri" w:cs="Calibri"/>
          <w:noProof/>
          <w:sz w:val="22"/>
        </w:rPr>
      </w:pPr>
      <w:r w:rsidRPr="004424C0">
        <w:rPr>
          <w:rFonts w:ascii="Calibri" w:hAnsi="Calibri" w:cs="Calibri"/>
          <w:noProof/>
          <w:sz w:val="22"/>
        </w:rPr>
        <w:t>[4]</w:t>
      </w:r>
      <w:r w:rsidRPr="004424C0">
        <w:rPr>
          <w:rFonts w:ascii="Calibri" w:hAnsi="Calibri" w:cs="Calibri"/>
          <w:noProof/>
          <w:sz w:val="22"/>
        </w:rPr>
        <w:tab/>
        <w:t xml:space="preserve">Okun MS, Fernandez HH, Wu SS, Kirsch-Darrow L, Bowers D, Bova F, et al. Cognition and mood in Parkinson’s disease in subthalamic nucleus versus globus pallidus interna deep brain stimulation: the COMPARE trial. Ann Neurol 2009;65:586–95. doi:10.1002/ana.21596. </w:t>
      </w:r>
    </w:p>
    <w:p w:rsidR="004424C0" w:rsidRDefault="004424C0" w:rsidP="004424C0">
      <w:r>
        <w:fldChar w:fldCharType="end"/>
      </w:r>
      <w:bookmarkStart w:id="0" w:name="_GoBack"/>
      <w:bookmarkEnd w:id="0"/>
    </w:p>
    <w:sectPr w:rsidR="004424C0" w:rsidSect="002E6118">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C0"/>
    <w:rsid w:val="004024C6"/>
    <w:rsid w:val="004424C0"/>
    <w:rsid w:val="00796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A516E-0BA2-44A5-9F8A-AB229FA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4C0"/>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42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87B9C59-0719-4A5F-8F11-9E5E1722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Negida</dc:creator>
  <cp:keywords/>
  <dc:description/>
  <cp:lastModifiedBy>Dr-Ahmed Negida</cp:lastModifiedBy>
  <cp:revision>1</cp:revision>
  <dcterms:created xsi:type="dcterms:W3CDTF">2015-12-02T16:23:00Z</dcterms:created>
  <dcterms:modified xsi:type="dcterms:W3CDTF">2015-12-02T16:24:00Z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ahmed01251@medicine.zu.edu.eg@www.mendeley.com</vt:lpwstr>
  </property>
  <property fmtid="{D5CDD505-2E9C-101B-9397-08002B2CF9AE}" pid="4" name="Mendeley Citation Style_1">
    <vt:lpwstr>http://www.zotero.org/styles/journal-of-clinical-neuroscience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http://www.zotero.org/styles/cancer-treatment-reviews</vt:lpwstr>
  </property>
  <property fmtid="{D5CDD505-2E9C-101B-9397-08002B2CF9AE}" pid="10" name="Mendeley Recent Style Name 2_1">
    <vt:lpwstr>Cancer Treatment Reviews</vt:lpwstr>
  </property>
  <property fmtid="{D5CDD505-2E9C-101B-9397-08002B2CF9AE}" pid="11" name="Mendeley Recent Style Id 3_1">
    <vt:lpwstr>http://www.zotero.org/styles/clinical-autonomic-research</vt:lpwstr>
  </property>
  <property fmtid="{D5CDD505-2E9C-101B-9397-08002B2CF9AE}" pid="12" name="Mendeley Recent Style Name 3_1">
    <vt:lpwstr>Clinical Autonomic Research</vt:lpwstr>
  </property>
  <property fmtid="{D5CDD505-2E9C-101B-9397-08002B2CF9AE}" pid="13" name="Mendeley Recent Style Id 4_1">
    <vt:lpwstr>http://www.zotero.org/styles/current-neurology-and-neuroscience-reports</vt:lpwstr>
  </property>
  <property fmtid="{D5CDD505-2E9C-101B-9397-08002B2CF9AE}" pid="14" name="Mendeley Recent Style Name 4_1">
    <vt:lpwstr>Current Neurology and Neuroscience Reports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http://www.zotero.org/styles/journal-of-clinical-neuroscience</vt:lpwstr>
  </property>
  <property fmtid="{D5CDD505-2E9C-101B-9397-08002B2CF9AE}" pid="18" name="Mendeley Recent Style Name 6_1">
    <vt:lpwstr>Journal of Clinical Neuroscience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http://www.zotero.org/styles/neurology</vt:lpwstr>
  </property>
  <property fmtid="{D5CDD505-2E9C-101B-9397-08002B2CF9AE}" pid="24" name="Mendeley Recent Style Name 9_1">
    <vt:lpwstr>Neurology</vt:lpwstr>
  </property>
</Properties>
</file>