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06E" w:rsidRPr="00812C6C" w:rsidRDefault="0072606E" w:rsidP="0072606E">
      <w:pPr>
        <w:tabs>
          <w:tab w:val="clear" w:pos="0"/>
        </w:tabs>
        <w:outlineLvl w:val="9"/>
      </w:pPr>
      <w:proofErr w:type="gramStart"/>
      <w:r w:rsidRPr="00812C6C">
        <w:rPr>
          <w:b/>
        </w:rPr>
        <w:t>Supplemental TABLE 4.</w:t>
      </w:r>
      <w:proofErr w:type="gramEnd"/>
      <w:r w:rsidRPr="00812C6C">
        <w:rPr>
          <w:b/>
        </w:rPr>
        <w:t xml:space="preserve"> </w:t>
      </w:r>
      <w:r w:rsidRPr="00812C6C">
        <w:t xml:space="preserve">Serious adverse events and adverse events leading to discontinuation the from treatment period, study 1031 (N=268)  </w:t>
      </w:r>
    </w:p>
    <w:tbl>
      <w:tblPr>
        <w:tblW w:w="13140" w:type="dxa"/>
        <w:tblInd w:w="-252" w:type="dxa"/>
        <w:tblBorders>
          <w:top w:val="single" w:sz="12" w:space="0" w:color="auto"/>
          <w:bottom w:val="single" w:sz="12" w:space="0" w:color="auto"/>
        </w:tblBorders>
        <w:tblLayout w:type="fixed"/>
        <w:tblLook w:val="01E0" w:firstRow="1" w:lastRow="1" w:firstColumn="1" w:lastColumn="1" w:noHBand="0" w:noVBand="0"/>
      </w:tblPr>
      <w:tblGrid>
        <w:gridCol w:w="3150"/>
        <w:gridCol w:w="1620"/>
        <w:gridCol w:w="1800"/>
        <w:gridCol w:w="6570"/>
      </w:tblGrid>
      <w:tr w:rsidR="0072606E" w:rsidRPr="00812C6C" w:rsidTr="0093680E">
        <w:trPr>
          <w:trHeight w:val="144"/>
        </w:trPr>
        <w:tc>
          <w:tcPr>
            <w:tcW w:w="3150" w:type="dxa"/>
            <w:tcBorders>
              <w:top w:val="single" w:sz="8" w:space="0" w:color="auto"/>
              <w:left w:val="single" w:sz="8" w:space="0" w:color="auto"/>
              <w:bottom w:val="single" w:sz="8" w:space="0" w:color="auto"/>
              <w:right w:val="single" w:sz="8" w:space="0" w:color="D9D9D9" w:themeColor="background1" w:themeShade="D9"/>
            </w:tcBorders>
            <w:vAlign w:val="center"/>
          </w:tcPr>
          <w:p w:rsidR="0072606E" w:rsidRPr="00812C6C" w:rsidRDefault="0072606E" w:rsidP="0093680E">
            <w:pPr>
              <w:tabs>
                <w:tab w:val="clear" w:pos="0"/>
              </w:tabs>
              <w:spacing w:line="240" w:lineRule="auto"/>
              <w:jc w:val="center"/>
              <w:outlineLvl w:val="9"/>
              <w:rPr>
                <w:rFonts w:cs="Arial"/>
                <w:b/>
                <w:sz w:val="20"/>
                <w:szCs w:val="20"/>
              </w:rPr>
            </w:pPr>
          </w:p>
        </w:tc>
        <w:tc>
          <w:tcPr>
            <w:tcW w:w="1620" w:type="dxa"/>
            <w:tcBorders>
              <w:top w:val="single" w:sz="8" w:space="0" w:color="auto"/>
              <w:left w:val="single" w:sz="8" w:space="0" w:color="D9D9D9" w:themeColor="background1" w:themeShade="D9"/>
              <w:bottom w:val="single" w:sz="8" w:space="0" w:color="auto"/>
              <w:right w:val="single" w:sz="8" w:space="0" w:color="D9D9D9" w:themeColor="background1" w:themeShade="D9"/>
            </w:tcBorders>
            <w:vAlign w:val="center"/>
          </w:tcPr>
          <w:p w:rsidR="0072606E" w:rsidRPr="00812C6C" w:rsidRDefault="0072606E" w:rsidP="0093680E">
            <w:pPr>
              <w:tabs>
                <w:tab w:val="clear" w:pos="0"/>
              </w:tabs>
              <w:spacing w:line="240" w:lineRule="auto"/>
              <w:jc w:val="center"/>
              <w:outlineLvl w:val="9"/>
              <w:rPr>
                <w:rFonts w:cs="Arial"/>
                <w:b/>
                <w:sz w:val="20"/>
                <w:szCs w:val="20"/>
              </w:rPr>
            </w:pPr>
            <w:r w:rsidRPr="00812C6C">
              <w:rPr>
                <w:rFonts w:cs="Arial"/>
                <w:b/>
                <w:sz w:val="20"/>
                <w:szCs w:val="20"/>
              </w:rPr>
              <w:t>Serious AE</w:t>
            </w:r>
          </w:p>
        </w:tc>
        <w:tc>
          <w:tcPr>
            <w:tcW w:w="1800" w:type="dxa"/>
            <w:tcBorders>
              <w:top w:val="single" w:sz="8" w:space="0" w:color="auto"/>
              <w:left w:val="single" w:sz="8" w:space="0" w:color="D9D9D9" w:themeColor="background1" w:themeShade="D9"/>
              <w:bottom w:val="single" w:sz="8" w:space="0" w:color="auto"/>
              <w:right w:val="single" w:sz="8" w:space="0" w:color="auto"/>
            </w:tcBorders>
            <w:vAlign w:val="center"/>
          </w:tcPr>
          <w:p w:rsidR="0072606E" w:rsidRPr="00812C6C" w:rsidRDefault="0072606E" w:rsidP="0093680E">
            <w:pPr>
              <w:tabs>
                <w:tab w:val="clear" w:pos="0"/>
              </w:tabs>
              <w:spacing w:line="240" w:lineRule="auto"/>
              <w:jc w:val="center"/>
              <w:outlineLvl w:val="9"/>
              <w:rPr>
                <w:rFonts w:cs="Arial"/>
                <w:b/>
                <w:sz w:val="20"/>
                <w:szCs w:val="20"/>
              </w:rPr>
            </w:pPr>
            <w:r w:rsidRPr="00812C6C">
              <w:rPr>
                <w:rFonts w:cs="Arial"/>
                <w:b/>
                <w:sz w:val="20"/>
                <w:szCs w:val="20"/>
              </w:rPr>
              <w:t>AE leading to Discontinuation</w:t>
            </w:r>
            <w:r w:rsidRPr="00812C6C">
              <w:rPr>
                <w:sz w:val="20"/>
                <w:szCs w:val="20"/>
                <w:vertAlign w:val="superscript"/>
              </w:rPr>
              <w:t>*</w:t>
            </w:r>
          </w:p>
        </w:tc>
        <w:tc>
          <w:tcPr>
            <w:tcW w:w="6570" w:type="dxa"/>
            <w:tcBorders>
              <w:top w:val="single" w:sz="8" w:space="0" w:color="auto"/>
              <w:left w:val="single" w:sz="8" w:space="0" w:color="auto"/>
              <w:bottom w:val="single" w:sz="8" w:space="0" w:color="auto"/>
              <w:right w:val="single" w:sz="8" w:space="0" w:color="auto"/>
            </w:tcBorders>
            <w:vAlign w:val="center"/>
          </w:tcPr>
          <w:p w:rsidR="0072606E" w:rsidRPr="00812C6C" w:rsidRDefault="0072606E" w:rsidP="0093680E">
            <w:pPr>
              <w:tabs>
                <w:tab w:val="clear" w:pos="0"/>
              </w:tabs>
              <w:spacing w:line="240" w:lineRule="auto"/>
              <w:jc w:val="center"/>
              <w:outlineLvl w:val="9"/>
              <w:rPr>
                <w:rFonts w:cs="Arial"/>
                <w:b/>
                <w:sz w:val="20"/>
                <w:szCs w:val="20"/>
              </w:rPr>
            </w:pPr>
            <w:r w:rsidRPr="00812C6C">
              <w:rPr>
                <w:rFonts w:cs="Arial"/>
                <w:b/>
                <w:sz w:val="20"/>
                <w:szCs w:val="20"/>
              </w:rPr>
              <w:t>Event details</w:t>
            </w:r>
            <w:r w:rsidRPr="00812C6C">
              <w:rPr>
                <w:rFonts w:cs="Arial"/>
                <w:b/>
                <w:sz w:val="20"/>
                <w:szCs w:val="20"/>
                <w:vertAlign w:val="superscript"/>
              </w:rPr>
              <w:t>†</w:t>
            </w:r>
          </w:p>
        </w:tc>
      </w:tr>
      <w:tr w:rsidR="0072606E" w:rsidRPr="00812C6C" w:rsidTr="0093680E">
        <w:trPr>
          <w:trHeight w:val="144"/>
        </w:trPr>
        <w:tc>
          <w:tcPr>
            <w:tcW w:w="3150" w:type="dxa"/>
            <w:tcBorders>
              <w:top w:val="single" w:sz="8" w:space="0" w:color="auto"/>
              <w:left w:val="single" w:sz="8" w:space="0" w:color="auto"/>
              <w:bottom w:val="single" w:sz="8" w:space="0" w:color="auto"/>
              <w:right w:val="single" w:sz="8" w:space="0" w:color="D9D9D9" w:themeColor="background1" w:themeShade="D9"/>
            </w:tcBorders>
            <w:vAlign w:val="center"/>
          </w:tcPr>
          <w:p w:rsidR="0072606E" w:rsidRPr="00812C6C" w:rsidRDefault="0072606E" w:rsidP="0093680E">
            <w:pPr>
              <w:tabs>
                <w:tab w:val="clear" w:pos="0"/>
              </w:tabs>
              <w:spacing w:line="240" w:lineRule="auto"/>
              <w:outlineLvl w:val="9"/>
              <w:rPr>
                <w:rFonts w:cs="Arial"/>
                <w:sz w:val="20"/>
                <w:szCs w:val="20"/>
              </w:rPr>
            </w:pPr>
            <w:r w:rsidRPr="00812C6C">
              <w:rPr>
                <w:rFonts w:cs="Arial"/>
                <w:sz w:val="20"/>
                <w:szCs w:val="20"/>
              </w:rPr>
              <w:t>Patients with any event, n (%)</w:t>
            </w:r>
          </w:p>
        </w:tc>
        <w:tc>
          <w:tcPr>
            <w:tcW w:w="1620" w:type="dxa"/>
            <w:tcBorders>
              <w:top w:val="single" w:sz="8" w:space="0" w:color="auto"/>
              <w:left w:val="single" w:sz="8" w:space="0" w:color="D9D9D9" w:themeColor="background1" w:themeShade="D9"/>
              <w:bottom w:val="single" w:sz="8" w:space="0" w:color="auto"/>
              <w:right w:val="single" w:sz="8" w:space="0" w:color="D9D9D9" w:themeColor="background1" w:themeShade="D9"/>
            </w:tcBorders>
            <w:vAlign w:val="center"/>
          </w:tcPr>
          <w:p w:rsidR="0072606E" w:rsidRPr="00812C6C" w:rsidRDefault="0072606E" w:rsidP="0093680E">
            <w:pPr>
              <w:tabs>
                <w:tab w:val="clear" w:pos="0"/>
              </w:tabs>
              <w:spacing w:line="240" w:lineRule="auto"/>
              <w:jc w:val="center"/>
              <w:outlineLvl w:val="9"/>
              <w:rPr>
                <w:rFonts w:cs="Arial"/>
                <w:sz w:val="20"/>
                <w:szCs w:val="20"/>
              </w:rPr>
            </w:pPr>
            <w:r w:rsidRPr="00812C6C">
              <w:rPr>
                <w:rFonts w:cs="Arial"/>
                <w:sz w:val="20"/>
                <w:szCs w:val="20"/>
              </w:rPr>
              <w:t>10 (3.7)</w:t>
            </w:r>
          </w:p>
        </w:tc>
        <w:tc>
          <w:tcPr>
            <w:tcW w:w="1800" w:type="dxa"/>
            <w:tcBorders>
              <w:top w:val="single" w:sz="8" w:space="0" w:color="auto"/>
              <w:left w:val="single" w:sz="8" w:space="0" w:color="D9D9D9" w:themeColor="background1" w:themeShade="D9"/>
              <w:bottom w:val="single" w:sz="8" w:space="0" w:color="auto"/>
              <w:right w:val="single" w:sz="8" w:space="0" w:color="auto"/>
            </w:tcBorders>
            <w:vAlign w:val="center"/>
          </w:tcPr>
          <w:p w:rsidR="0072606E" w:rsidRPr="00812C6C" w:rsidRDefault="0072606E" w:rsidP="0093680E">
            <w:pPr>
              <w:tabs>
                <w:tab w:val="clear" w:pos="0"/>
              </w:tabs>
              <w:spacing w:line="240" w:lineRule="auto"/>
              <w:jc w:val="center"/>
              <w:outlineLvl w:val="9"/>
              <w:rPr>
                <w:rFonts w:cs="Arial"/>
                <w:sz w:val="20"/>
                <w:szCs w:val="20"/>
              </w:rPr>
            </w:pPr>
            <w:r w:rsidRPr="00812C6C">
              <w:rPr>
                <w:rFonts w:cs="Arial"/>
                <w:sz w:val="20"/>
                <w:szCs w:val="20"/>
              </w:rPr>
              <w:t>14 (5.2)</w:t>
            </w:r>
          </w:p>
        </w:tc>
        <w:tc>
          <w:tcPr>
            <w:tcW w:w="6570" w:type="dxa"/>
            <w:tcBorders>
              <w:top w:val="single" w:sz="8" w:space="0" w:color="auto"/>
              <w:left w:val="single" w:sz="8" w:space="0" w:color="auto"/>
              <w:bottom w:val="single" w:sz="8" w:space="0" w:color="auto"/>
              <w:right w:val="single" w:sz="8" w:space="0" w:color="auto"/>
            </w:tcBorders>
            <w:vAlign w:val="center"/>
          </w:tcPr>
          <w:p w:rsidR="0072606E" w:rsidRPr="00812C6C" w:rsidRDefault="0072606E" w:rsidP="0093680E">
            <w:pPr>
              <w:tabs>
                <w:tab w:val="clear" w:pos="0"/>
              </w:tabs>
              <w:spacing w:line="240" w:lineRule="auto"/>
              <w:outlineLvl w:val="9"/>
              <w:rPr>
                <w:rFonts w:cs="Arial"/>
                <w:sz w:val="20"/>
                <w:szCs w:val="20"/>
              </w:rPr>
            </w:pPr>
          </w:p>
        </w:tc>
      </w:tr>
      <w:tr w:rsidR="0072606E" w:rsidRPr="00812C6C" w:rsidTr="0093680E">
        <w:trPr>
          <w:trHeight w:val="144"/>
        </w:trPr>
        <w:tc>
          <w:tcPr>
            <w:tcW w:w="3150" w:type="dxa"/>
            <w:tcBorders>
              <w:top w:val="single" w:sz="8" w:space="0" w:color="auto"/>
              <w:left w:val="single" w:sz="8" w:space="0" w:color="auto"/>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ind w:left="252"/>
              <w:outlineLvl w:val="9"/>
              <w:rPr>
                <w:rFonts w:cs="Arial"/>
                <w:sz w:val="20"/>
                <w:szCs w:val="20"/>
              </w:rPr>
            </w:pPr>
            <w:r w:rsidRPr="00812C6C">
              <w:rPr>
                <w:rFonts w:cs="Arial"/>
                <w:sz w:val="20"/>
                <w:szCs w:val="20"/>
              </w:rPr>
              <w:t>Aggression</w:t>
            </w:r>
          </w:p>
          <w:p w:rsidR="0072606E" w:rsidRPr="00812C6C" w:rsidRDefault="0072606E" w:rsidP="0093680E">
            <w:pPr>
              <w:tabs>
                <w:tab w:val="clear" w:pos="0"/>
              </w:tabs>
              <w:spacing w:line="240" w:lineRule="auto"/>
              <w:ind w:left="252"/>
              <w:outlineLvl w:val="9"/>
              <w:rPr>
                <w:rFonts w:cs="Arial"/>
                <w:sz w:val="20"/>
                <w:szCs w:val="20"/>
              </w:rPr>
            </w:pPr>
            <w:r w:rsidRPr="00812C6C">
              <w:rPr>
                <w:rFonts w:cs="Arial"/>
                <w:sz w:val="20"/>
                <w:szCs w:val="20"/>
              </w:rPr>
              <w:t>Irritability</w:t>
            </w:r>
          </w:p>
          <w:p w:rsidR="0072606E" w:rsidRPr="00812C6C" w:rsidRDefault="0072606E" w:rsidP="0093680E">
            <w:pPr>
              <w:tabs>
                <w:tab w:val="clear" w:pos="0"/>
              </w:tabs>
              <w:spacing w:line="240" w:lineRule="auto"/>
              <w:ind w:left="252"/>
              <w:outlineLvl w:val="9"/>
              <w:rPr>
                <w:rFonts w:cs="Arial"/>
                <w:sz w:val="20"/>
                <w:szCs w:val="20"/>
              </w:rPr>
            </w:pPr>
            <w:r w:rsidRPr="00812C6C">
              <w:rPr>
                <w:rFonts w:cs="Arial"/>
                <w:sz w:val="20"/>
                <w:szCs w:val="20"/>
              </w:rPr>
              <w:t>Frustration</w:t>
            </w:r>
          </w:p>
          <w:p w:rsidR="0072606E" w:rsidRPr="00812C6C" w:rsidRDefault="0072606E" w:rsidP="0093680E">
            <w:pPr>
              <w:tabs>
                <w:tab w:val="clear" w:pos="0"/>
              </w:tabs>
              <w:spacing w:line="240" w:lineRule="auto"/>
              <w:ind w:left="252"/>
              <w:outlineLvl w:val="9"/>
              <w:rPr>
                <w:rFonts w:cs="Arial"/>
                <w:sz w:val="20"/>
                <w:szCs w:val="20"/>
              </w:rPr>
            </w:pPr>
            <w:r w:rsidRPr="00812C6C">
              <w:rPr>
                <w:rFonts w:cs="Arial"/>
                <w:sz w:val="20"/>
                <w:szCs w:val="20"/>
              </w:rPr>
              <w:t>Hallucination (auditory)</w:t>
            </w:r>
          </w:p>
          <w:p w:rsidR="0072606E" w:rsidRPr="00812C6C" w:rsidRDefault="0072606E" w:rsidP="0093680E">
            <w:pPr>
              <w:tabs>
                <w:tab w:val="clear" w:pos="0"/>
              </w:tabs>
              <w:spacing w:line="240" w:lineRule="auto"/>
              <w:ind w:left="252"/>
              <w:outlineLvl w:val="9"/>
              <w:rPr>
                <w:rFonts w:cs="Arial"/>
                <w:sz w:val="20"/>
                <w:szCs w:val="20"/>
              </w:rPr>
            </w:pPr>
            <w:r w:rsidRPr="00812C6C">
              <w:rPr>
                <w:rFonts w:cs="Arial"/>
                <w:sz w:val="20"/>
                <w:szCs w:val="20"/>
              </w:rPr>
              <w:t>Elevated mood</w:t>
            </w:r>
          </w:p>
          <w:p w:rsidR="0072606E" w:rsidRPr="00812C6C" w:rsidRDefault="0072606E" w:rsidP="0093680E">
            <w:pPr>
              <w:tabs>
                <w:tab w:val="clear" w:pos="0"/>
              </w:tabs>
              <w:spacing w:line="240" w:lineRule="auto"/>
              <w:ind w:left="252"/>
              <w:outlineLvl w:val="9"/>
              <w:rPr>
                <w:rFonts w:cs="Arial"/>
                <w:sz w:val="20"/>
                <w:szCs w:val="20"/>
              </w:rPr>
            </w:pPr>
            <w:r w:rsidRPr="00812C6C">
              <w:rPr>
                <w:rFonts w:cs="Arial"/>
                <w:sz w:val="20"/>
                <w:szCs w:val="20"/>
              </w:rPr>
              <w:t>Insomnia</w:t>
            </w:r>
          </w:p>
        </w:tc>
        <w:tc>
          <w:tcPr>
            <w:tcW w:w="1620" w:type="dxa"/>
            <w:tcBorders>
              <w:top w:val="single" w:sz="8" w:space="0" w:color="auto"/>
              <w:left w:val="single" w:sz="8" w:space="0" w:color="D9D9D9" w:themeColor="background1" w:themeShade="D9"/>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jc w:val="center"/>
              <w:outlineLvl w:val="9"/>
              <w:rPr>
                <w:rFonts w:cs="Arial"/>
                <w:sz w:val="20"/>
                <w:szCs w:val="20"/>
              </w:rPr>
            </w:pPr>
            <w:r w:rsidRPr="00812C6C">
              <w:rPr>
                <w:rFonts w:cs="Arial"/>
                <w:sz w:val="20"/>
                <w:szCs w:val="20"/>
              </w:rPr>
              <w:t>1</w:t>
            </w:r>
          </w:p>
        </w:tc>
        <w:tc>
          <w:tcPr>
            <w:tcW w:w="1800" w:type="dxa"/>
            <w:tcBorders>
              <w:top w:val="single" w:sz="8" w:space="0" w:color="auto"/>
              <w:left w:val="single" w:sz="8" w:space="0" w:color="D9D9D9" w:themeColor="background1" w:themeShade="D9"/>
              <w:bottom w:val="single" w:sz="8" w:space="0" w:color="auto"/>
              <w:right w:val="single" w:sz="8" w:space="0" w:color="auto"/>
            </w:tcBorders>
          </w:tcPr>
          <w:p w:rsidR="0072606E" w:rsidRPr="00812C6C" w:rsidRDefault="0072606E" w:rsidP="0093680E">
            <w:pPr>
              <w:tabs>
                <w:tab w:val="clear" w:pos="0"/>
              </w:tabs>
              <w:spacing w:line="240" w:lineRule="auto"/>
              <w:jc w:val="center"/>
              <w:outlineLvl w:val="9"/>
              <w:rPr>
                <w:rFonts w:cs="Arial"/>
                <w:sz w:val="20"/>
                <w:szCs w:val="20"/>
              </w:rPr>
            </w:pPr>
            <w:r w:rsidRPr="00812C6C">
              <w:rPr>
                <w:rFonts w:cs="Arial"/>
                <w:sz w:val="20"/>
                <w:szCs w:val="20"/>
              </w:rPr>
              <w:t>1</w:t>
            </w:r>
          </w:p>
        </w:tc>
        <w:tc>
          <w:tcPr>
            <w:tcW w:w="6570" w:type="dxa"/>
            <w:tcBorders>
              <w:top w:val="single" w:sz="8" w:space="0" w:color="auto"/>
              <w:left w:val="single" w:sz="8" w:space="0" w:color="auto"/>
              <w:bottom w:val="single" w:sz="8" w:space="0" w:color="auto"/>
              <w:right w:val="single" w:sz="8" w:space="0" w:color="auto"/>
            </w:tcBorders>
          </w:tcPr>
          <w:p w:rsidR="0072606E" w:rsidRPr="00812C6C" w:rsidRDefault="0072606E" w:rsidP="0093680E">
            <w:pPr>
              <w:tabs>
                <w:tab w:val="clear" w:pos="0"/>
              </w:tabs>
              <w:spacing w:line="240" w:lineRule="auto"/>
              <w:ind w:left="252" w:hanging="180"/>
              <w:outlineLvl w:val="9"/>
              <w:rPr>
                <w:sz w:val="20"/>
                <w:szCs w:val="20"/>
              </w:rPr>
            </w:pPr>
            <w:r w:rsidRPr="00812C6C">
              <w:rPr>
                <w:rFonts w:cs="Arial"/>
                <w:sz w:val="20"/>
                <w:szCs w:val="20"/>
              </w:rPr>
              <w:t xml:space="preserve">13 </w:t>
            </w:r>
            <w:proofErr w:type="spellStart"/>
            <w:r w:rsidRPr="00812C6C">
              <w:rPr>
                <w:rFonts w:cs="Arial"/>
                <w:sz w:val="20"/>
                <w:szCs w:val="20"/>
              </w:rPr>
              <w:t>yo</w:t>
            </w:r>
            <w:proofErr w:type="spellEnd"/>
            <w:r w:rsidRPr="00812C6C">
              <w:rPr>
                <w:rFonts w:cs="Arial"/>
                <w:sz w:val="20"/>
                <w:szCs w:val="20"/>
              </w:rPr>
              <w:t xml:space="preserve"> female, 25 mg/d; serious AEs aggression toward self and others, frustration, and irritability resulted in discontinuation at study day 19</w:t>
            </w:r>
            <w:r w:rsidRPr="00812C6C">
              <w:rPr>
                <w:sz w:val="20"/>
                <w:szCs w:val="20"/>
              </w:rPr>
              <w:t xml:space="preserve"> and received her last dose of desvenlafaxine on this day.</w:t>
            </w:r>
            <w:r w:rsidRPr="00812C6C">
              <w:rPr>
                <w:sz w:val="23"/>
                <w:szCs w:val="23"/>
              </w:rPr>
              <w:t xml:space="preserve"> </w:t>
            </w:r>
            <w:r w:rsidRPr="00812C6C">
              <w:rPr>
                <w:sz w:val="20"/>
                <w:szCs w:val="20"/>
              </w:rPr>
              <w:t>The patient remained in the acute psychiatric inpatient unit from day 19 to day 29 and then required partial hospitalization in a day treatment program starting on day 30 to be monitored for safety and to start additional med</w:t>
            </w:r>
            <w:bookmarkStart w:id="0" w:name="_GoBack"/>
            <w:bookmarkEnd w:id="0"/>
            <w:r w:rsidRPr="00812C6C">
              <w:rPr>
                <w:sz w:val="20"/>
                <w:szCs w:val="20"/>
              </w:rPr>
              <w:t>ication.</w:t>
            </w:r>
            <w:r w:rsidRPr="00812C6C">
              <w:rPr>
                <w:sz w:val="23"/>
                <w:szCs w:val="23"/>
              </w:rPr>
              <w:t xml:space="preserve"> </w:t>
            </w:r>
            <w:r w:rsidRPr="00812C6C">
              <w:rPr>
                <w:sz w:val="20"/>
                <w:szCs w:val="20"/>
              </w:rPr>
              <w:t>The patient recovered from the events of Aggression, Frustration and Irritability on day 33.</w:t>
            </w:r>
          </w:p>
          <w:p w:rsidR="0072606E" w:rsidRPr="00812C6C" w:rsidRDefault="0072606E" w:rsidP="0093680E">
            <w:pPr>
              <w:tabs>
                <w:tab w:val="clear" w:pos="0"/>
              </w:tabs>
              <w:spacing w:line="240" w:lineRule="auto"/>
              <w:ind w:left="252" w:hanging="180"/>
              <w:outlineLvl w:val="9"/>
              <w:rPr>
                <w:sz w:val="20"/>
                <w:szCs w:val="20"/>
              </w:rPr>
            </w:pPr>
          </w:p>
          <w:p w:rsidR="0072606E" w:rsidRPr="00812C6C" w:rsidRDefault="0072606E" w:rsidP="0093680E">
            <w:pPr>
              <w:tabs>
                <w:tab w:val="clear" w:pos="0"/>
              </w:tabs>
              <w:spacing w:line="240" w:lineRule="auto"/>
              <w:ind w:left="252" w:hanging="180"/>
              <w:outlineLvl w:val="9"/>
              <w:rPr>
                <w:rFonts w:cs="Arial"/>
                <w:sz w:val="20"/>
                <w:szCs w:val="20"/>
              </w:rPr>
            </w:pPr>
            <w:r w:rsidRPr="00812C6C">
              <w:rPr>
                <w:sz w:val="20"/>
                <w:szCs w:val="20"/>
              </w:rPr>
              <w:t>On day 39, the patient experienced auditory hallucinations, elevated mood, and insomnia; these events prolonged the patient’s psychiatric day treatment. The event hallucination (auditory) remained ongoing at the last study visit. The patient completed the day treatment program and recovered from the events elevated mood and Insomnia on day 52.</w:t>
            </w:r>
            <w:r w:rsidRPr="00812C6C">
              <w:rPr>
                <w:sz w:val="23"/>
                <w:szCs w:val="23"/>
              </w:rPr>
              <w:t xml:space="preserve"> </w:t>
            </w:r>
            <w:r w:rsidRPr="00812C6C">
              <w:rPr>
                <w:rFonts w:cs="Arial"/>
                <w:sz w:val="20"/>
                <w:szCs w:val="20"/>
              </w:rPr>
              <w:t xml:space="preserve"> </w:t>
            </w:r>
          </w:p>
        </w:tc>
      </w:tr>
      <w:tr w:rsidR="0072606E" w:rsidRPr="00812C6C" w:rsidTr="0093680E">
        <w:trPr>
          <w:trHeight w:val="144"/>
        </w:trPr>
        <w:tc>
          <w:tcPr>
            <w:tcW w:w="3150" w:type="dxa"/>
            <w:tcBorders>
              <w:top w:val="single" w:sz="8" w:space="0" w:color="auto"/>
              <w:left w:val="single" w:sz="8" w:space="0" w:color="auto"/>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ind w:left="252"/>
              <w:outlineLvl w:val="9"/>
              <w:rPr>
                <w:rFonts w:cs="Arial"/>
                <w:sz w:val="20"/>
                <w:szCs w:val="20"/>
              </w:rPr>
            </w:pPr>
            <w:r w:rsidRPr="00812C6C">
              <w:rPr>
                <w:rFonts w:cs="Arial"/>
                <w:sz w:val="20"/>
                <w:szCs w:val="20"/>
              </w:rPr>
              <w:t>Appendicitis</w:t>
            </w:r>
          </w:p>
        </w:tc>
        <w:tc>
          <w:tcPr>
            <w:tcW w:w="1620" w:type="dxa"/>
            <w:tcBorders>
              <w:top w:val="single" w:sz="8" w:space="0" w:color="auto"/>
              <w:left w:val="single" w:sz="8" w:space="0" w:color="D9D9D9" w:themeColor="background1" w:themeShade="D9"/>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jc w:val="center"/>
              <w:outlineLvl w:val="9"/>
              <w:rPr>
                <w:rFonts w:cs="Arial"/>
                <w:sz w:val="20"/>
                <w:szCs w:val="20"/>
              </w:rPr>
            </w:pPr>
            <w:r w:rsidRPr="00812C6C">
              <w:rPr>
                <w:rFonts w:cs="Arial"/>
                <w:sz w:val="20"/>
                <w:szCs w:val="20"/>
              </w:rPr>
              <w:t>1</w:t>
            </w:r>
          </w:p>
        </w:tc>
        <w:tc>
          <w:tcPr>
            <w:tcW w:w="1800" w:type="dxa"/>
            <w:tcBorders>
              <w:top w:val="single" w:sz="8" w:space="0" w:color="auto"/>
              <w:left w:val="single" w:sz="8" w:space="0" w:color="D9D9D9" w:themeColor="background1" w:themeShade="D9"/>
              <w:bottom w:val="single" w:sz="8" w:space="0" w:color="auto"/>
              <w:right w:val="single" w:sz="8" w:space="0" w:color="auto"/>
            </w:tcBorders>
          </w:tcPr>
          <w:p w:rsidR="0072606E" w:rsidRPr="00812C6C" w:rsidRDefault="0072606E" w:rsidP="0093680E">
            <w:pPr>
              <w:tabs>
                <w:tab w:val="clear" w:pos="0"/>
              </w:tabs>
              <w:spacing w:line="240" w:lineRule="auto"/>
              <w:jc w:val="center"/>
              <w:outlineLvl w:val="9"/>
              <w:rPr>
                <w:rFonts w:cs="Arial"/>
                <w:sz w:val="20"/>
                <w:szCs w:val="20"/>
              </w:rPr>
            </w:pPr>
          </w:p>
        </w:tc>
        <w:tc>
          <w:tcPr>
            <w:tcW w:w="6570" w:type="dxa"/>
            <w:tcBorders>
              <w:top w:val="single" w:sz="8" w:space="0" w:color="auto"/>
              <w:left w:val="single" w:sz="8" w:space="0" w:color="auto"/>
              <w:bottom w:val="single" w:sz="8" w:space="0" w:color="auto"/>
              <w:right w:val="single" w:sz="8" w:space="0" w:color="auto"/>
            </w:tcBorders>
          </w:tcPr>
          <w:p w:rsidR="0072606E" w:rsidRPr="00812C6C" w:rsidRDefault="0072606E" w:rsidP="0093680E">
            <w:pPr>
              <w:tabs>
                <w:tab w:val="clear" w:pos="0"/>
              </w:tabs>
              <w:spacing w:line="240" w:lineRule="auto"/>
              <w:ind w:left="252" w:hanging="180"/>
              <w:outlineLvl w:val="9"/>
              <w:rPr>
                <w:rFonts w:cs="Arial"/>
                <w:sz w:val="20"/>
                <w:szCs w:val="20"/>
              </w:rPr>
            </w:pPr>
            <w:r w:rsidRPr="00812C6C">
              <w:rPr>
                <w:rFonts w:cs="Arial"/>
                <w:sz w:val="20"/>
                <w:szCs w:val="20"/>
              </w:rPr>
              <w:t xml:space="preserve">11 </w:t>
            </w:r>
            <w:proofErr w:type="spellStart"/>
            <w:r w:rsidRPr="00812C6C">
              <w:rPr>
                <w:rFonts w:cs="Arial"/>
                <w:sz w:val="20"/>
                <w:szCs w:val="20"/>
              </w:rPr>
              <w:t>yo</w:t>
            </w:r>
            <w:proofErr w:type="spellEnd"/>
            <w:r w:rsidRPr="00812C6C">
              <w:rPr>
                <w:rFonts w:cs="Arial"/>
                <w:sz w:val="20"/>
                <w:szCs w:val="20"/>
              </w:rPr>
              <w:t xml:space="preserve"> male, 35 mg/d; continued in study after emergency appendectomy on study day 50  </w:t>
            </w:r>
          </w:p>
        </w:tc>
      </w:tr>
      <w:tr w:rsidR="0072606E" w:rsidRPr="00812C6C" w:rsidTr="0093680E">
        <w:trPr>
          <w:trHeight w:val="144"/>
        </w:trPr>
        <w:tc>
          <w:tcPr>
            <w:tcW w:w="3150" w:type="dxa"/>
            <w:tcBorders>
              <w:top w:val="single" w:sz="8" w:space="0" w:color="auto"/>
              <w:left w:val="single" w:sz="8" w:space="0" w:color="auto"/>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ind w:left="252"/>
              <w:outlineLvl w:val="9"/>
              <w:rPr>
                <w:rFonts w:cs="Arial"/>
                <w:sz w:val="20"/>
                <w:szCs w:val="20"/>
              </w:rPr>
            </w:pPr>
            <w:r w:rsidRPr="00812C6C">
              <w:rPr>
                <w:rFonts w:cs="Arial"/>
                <w:sz w:val="20"/>
                <w:szCs w:val="20"/>
              </w:rPr>
              <w:t>Asthma</w:t>
            </w:r>
          </w:p>
        </w:tc>
        <w:tc>
          <w:tcPr>
            <w:tcW w:w="1620" w:type="dxa"/>
            <w:tcBorders>
              <w:top w:val="single" w:sz="8" w:space="0" w:color="auto"/>
              <w:left w:val="single" w:sz="8" w:space="0" w:color="D9D9D9" w:themeColor="background1" w:themeShade="D9"/>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jc w:val="center"/>
              <w:outlineLvl w:val="9"/>
              <w:rPr>
                <w:rFonts w:cs="Arial"/>
                <w:sz w:val="20"/>
                <w:szCs w:val="20"/>
              </w:rPr>
            </w:pPr>
            <w:r w:rsidRPr="00812C6C">
              <w:rPr>
                <w:rFonts w:cs="Arial"/>
                <w:sz w:val="20"/>
                <w:szCs w:val="20"/>
              </w:rPr>
              <w:t>1</w:t>
            </w:r>
          </w:p>
        </w:tc>
        <w:tc>
          <w:tcPr>
            <w:tcW w:w="1800" w:type="dxa"/>
            <w:tcBorders>
              <w:top w:val="single" w:sz="8" w:space="0" w:color="auto"/>
              <w:left w:val="single" w:sz="8" w:space="0" w:color="D9D9D9" w:themeColor="background1" w:themeShade="D9"/>
              <w:bottom w:val="single" w:sz="8" w:space="0" w:color="auto"/>
              <w:right w:val="single" w:sz="8" w:space="0" w:color="auto"/>
            </w:tcBorders>
          </w:tcPr>
          <w:p w:rsidR="0072606E" w:rsidRPr="00812C6C" w:rsidRDefault="0072606E" w:rsidP="0093680E">
            <w:pPr>
              <w:tabs>
                <w:tab w:val="clear" w:pos="0"/>
              </w:tabs>
              <w:spacing w:line="240" w:lineRule="auto"/>
              <w:jc w:val="center"/>
              <w:outlineLvl w:val="9"/>
              <w:rPr>
                <w:rFonts w:cs="Arial"/>
                <w:sz w:val="20"/>
                <w:szCs w:val="20"/>
              </w:rPr>
            </w:pPr>
          </w:p>
        </w:tc>
        <w:tc>
          <w:tcPr>
            <w:tcW w:w="6570" w:type="dxa"/>
            <w:tcBorders>
              <w:top w:val="single" w:sz="8" w:space="0" w:color="auto"/>
              <w:left w:val="single" w:sz="8" w:space="0" w:color="auto"/>
              <w:bottom w:val="single" w:sz="8" w:space="0" w:color="auto"/>
              <w:right w:val="single" w:sz="8" w:space="0" w:color="auto"/>
            </w:tcBorders>
          </w:tcPr>
          <w:p w:rsidR="0072606E" w:rsidRPr="00812C6C" w:rsidRDefault="0072606E" w:rsidP="0093680E">
            <w:pPr>
              <w:tabs>
                <w:tab w:val="clear" w:pos="0"/>
              </w:tabs>
              <w:spacing w:line="240" w:lineRule="auto"/>
              <w:ind w:left="252" w:hanging="180"/>
              <w:outlineLvl w:val="9"/>
              <w:rPr>
                <w:rFonts w:cs="Arial"/>
                <w:sz w:val="20"/>
                <w:szCs w:val="20"/>
              </w:rPr>
            </w:pPr>
            <w:r w:rsidRPr="00812C6C">
              <w:rPr>
                <w:rFonts w:cs="Arial"/>
                <w:sz w:val="20"/>
                <w:szCs w:val="20"/>
              </w:rPr>
              <w:t xml:space="preserve">10 </w:t>
            </w:r>
            <w:proofErr w:type="spellStart"/>
            <w:r w:rsidRPr="00812C6C">
              <w:rPr>
                <w:rFonts w:cs="Arial"/>
                <w:sz w:val="20"/>
                <w:szCs w:val="20"/>
              </w:rPr>
              <w:t>yo</w:t>
            </w:r>
            <w:proofErr w:type="spellEnd"/>
            <w:r w:rsidRPr="00812C6C">
              <w:rPr>
                <w:rFonts w:cs="Arial"/>
                <w:sz w:val="20"/>
                <w:szCs w:val="20"/>
              </w:rPr>
              <w:t xml:space="preserve"> male, 25 mg/d; study medication interrupted after hospitalization for asthma on study day 178, patient recovered and restarted desvenlafaxine at day 180  </w:t>
            </w:r>
          </w:p>
        </w:tc>
      </w:tr>
      <w:tr w:rsidR="0072606E" w:rsidRPr="00812C6C" w:rsidTr="0093680E">
        <w:trPr>
          <w:trHeight w:val="144"/>
        </w:trPr>
        <w:tc>
          <w:tcPr>
            <w:tcW w:w="3150" w:type="dxa"/>
            <w:tcBorders>
              <w:top w:val="single" w:sz="8" w:space="0" w:color="auto"/>
              <w:left w:val="single" w:sz="8" w:space="0" w:color="auto"/>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ind w:left="252"/>
              <w:outlineLvl w:val="9"/>
              <w:rPr>
                <w:rFonts w:cs="Arial"/>
                <w:sz w:val="20"/>
                <w:szCs w:val="20"/>
              </w:rPr>
            </w:pPr>
            <w:r w:rsidRPr="00812C6C">
              <w:rPr>
                <w:rFonts w:cs="Arial"/>
                <w:sz w:val="20"/>
                <w:szCs w:val="20"/>
              </w:rPr>
              <w:t>Hallucination (auditory)</w:t>
            </w:r>
          </w:p>
          <w:p w:rsidR="0072606E" w:rsidRPr="00812C6C" w:rsidRDefault="0072606E" w:rsidP="0093680E">
            <w:pPr>
              <w:tabs>
                <w:tab w:val="clear" w:pos="0"/>
              </w:tabs>
              <w:spacing w:line="240" w:lineRule="auto"/>
              <w:ind w:left="252"/>
              <w:outlineLvl w:val="9"/>
              <w:rPr>
                <w:rFonts w:cs="Arial"/>
                <w:sz w:val="20"/>
                <w:szCs w:val="20"/>
              </w:rPr>
            </w:pPr>
            <w:r w:rsidRPr="00812C6C">
              <w:rPr>
                <w:rFonts w:cs="Arial"/>
                <w:sz w:val="20"/>
                <w:szCs w:val="20"/>
              </w:rPr>
              <w:t>Self-injurious behavior</w:t>
            </w:r>
          </w:p>
        </w:tc>
        <w:tc>
          <w:tcPr>
            <w:tcW w:w="1620" w:type="dxa"/>
            <w:tcBorders>
              <w:top w:val="single" w:sz="8" w:space="0" w:color="auto"/>
              <w:left w:val="single" w:sz="8" w:space="0" w:color="D9D9D9" w:themeColor="background1" w:themeShade="D9"/>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jc w:val="center"/>
              <w:outlineLvl w:val="9"/>
              <w:rPr>
                <w:rFonts w:cs="Arial"/>
                <w:sz w:val="20"/>
                <w:szCs w:val="20"/>
              </w:rPr>
            </w:pPr>
            <w:r w:rsidRPr="00812C6C">
              <w:rPr>
                <w:rFonts w:cs="Arial"/>
                <w:sz w:val="20"/>
                <w:szCs w:val="20"/>
              </w:rPr>
              <w:t>1</w:t>
            </w:r>
          </w:p>
        </w:tc>
        <w:tc>
          <w:tcPr>
            <w:tcW w:w="1800" w:type="dxa"/>
            <w:tcBorders>
              <w:top w:val="single" w:sz="8" w:space="0" w:color="auto"/>
              <w:left w:val="single" w:sz="8" w:space="0" w:color="D9D9D9" w:themeColor="background1" w:themeShade="D9"/>
              <w:bottom w:val="single" w:sz="8" w:space="0" w:color="auto"/>
              <w:right w:val="single" w:sz="8" w:space="0" w:color="auto"/>
            </w:tcBorders>
          </w:tcPr>
          <w:p w:rsidR="0072606E" w:rsidRPr="00812C6C" w:rsidRDefault="0072606E" w:rsidP="0093680E">
            <w:pPr>
              <w:tabs>
                <w:tab w:val="clear" w:pos="0"/>
              </w:tabs>
              <w:spacing w:line="240" w:lineRule="auto"/>
              <w:jc w:val="center"/>
              <w:outlineLvl w:val="9"/>
              <w:rPr>
                <w:rFonts w:cs="Arial"/>
                <w:sz w:val="20"/>
                <w:szCs w:val="20"/>
              </w:rPr>
            </w:pPr>
            <w:r w:rsidRPr="00812C6C">
              <w:rPr>
                <w:rFonts w:cs="Arial"/>
                <w:sz w:val="20"/>
                <w:szCs w:val="20"/>
              </w:rPr>
              <w:t>1</w:t>
            </w:r>
          </w:p>
        </w:tc>
        <w:tc>
          <w:tcPr>
            <w:tcW w:w="6570" w:type="dxa"/>
            <w:tcBorders>
              <w:top w:val="single" w:sz="8" w:space="0" w:color="auto"/>
              <w:left w:val="single" w:sz="8" w:space="0" w:color="auto"/>
              <w:bottom w:val="single" w:sz="8" w:space="0" w:color="auto"/>
              <w:right w:val="single" w:sz="8" w:space="0" w:color="auto"/>
            </w:tcBorders>
          </w:tcPr>
          <w:p w:rsidR="0072606E" w:rsidRPr="00812C6C" w:rsidRDefault="0072606E" w:rsidP="0093680E">
            <w:pPr>
              <w:tabs>
                <w:tab w:val="clear" w:pos="0"/>
              </w:tabs>
              <w:spacing w:line="240" w:lineRule="auto"/>
              <w:ind w:left="252" w:hanging="180"/>
              <w:outlineLvl w:val="9"/>
              <w:rPr>
                <w:rFonts w:cs="Arial"/>
                <w:sz w:val="20"/>
                <w:szCs w:val="20"/>
              </w:rPr>
            </w:pPr>
            <w:r w:rsidRPr="00812C6C">
              <w:rPr>
                <w:rFonts w:cs="Arial"/>
                <w:sz w:val="20"/>
                <w:szCs w:val="20"/>
              </w:rPr>
              <w:t xml:space="preserve">9 </w:t>
            </w:r>
            <w:proofErr w:type="spellStart"/>
            <w:r w:rsidRPr="00812C6C">
              <w:rPr>
                <w:rFonts w:cs="Arial"/>
                <w:sz w:val="20"/>
                <w:szCs w:val="20"/>
              </w:rPr>
              <w:t>yo</w:t>
            </w:r>
            <w:proofErr w:type="spellEnd"/>
            <w:r w:rsidRPr="00812C6C">
              <w:rPr>
                <w:rFonts w:cs="Arial"/>
                <w:sz w:val="20"/>
                <w:szCs w:val="20"/>
              </w:rPr>
              <w:t xml:space="preserve"> female, 35 mg/d; patient reported that she had cut herself with a butter knife, a tack, and a twist tie; she was hospitalized for self-injurious behavior and auditory hallucination on study day 26. </w:t>
            </w:r>
            <w:r w:rsidRPr="00812C6C">
              <w:rPr>
                <w:sz w:val="20"/>
                <w:szCs w:val="20"/>
              </w:rPr>
              <w:t xml:space="preserve">Relevant tests included a urine drug screen on day 26, which was positive for cannabinoids, and a quantitative drug screen on day 27 was 17 ng/mL (reference range </w:t>
            </w:r>
            <w:proofErr w:type="gramStart"/>
            <w:r w:rsidRPr="00812C6C">
              <w:rPr>
                <w:sz w:val="20"/>
                <w:szCs w:val="20"/>
              </w:rPr>
              <w:t>0 to 5 ng/mL</w:t>
            </w:r>
            <w:proofErr w:type="gramEnd"/>
            <w:r w:rsidRPr="00812C6C">
              <w:rPr>
                <w:sz w:val="20"/>
                <w:szCs w:val="20"/>
              </w:rPr>
              <w:t>).</w:t>
            </w:r>
            <w:r w:rsidRPr="00812C6C">
              <w:rPr>
                <w:sz w:val="23"/>
                <w:szCs w:val="23"/>
              </w:rPr>
              <w:t xml:space="preserve"> </w:t>
            </w:r>
            <w:r w:rsidRPr="00812C6C">
              <w:rPr>
                <w:rFonts w:cs="Arial"/>
                <w:sz w:val="20"/>
                <w:szCs w:val="20"/>
              </w:rPr>
              <w:t xml:space="preserve">The hallucination was considered likely due to cannabinoid use. </w:t>
            </w:r>
            <w:r w:rsidRPr="00812C6C">
              <w:rPr>
                <w:sz w:val="20"/>
                <w:szCs w:val="20"/>
              </w:rPr>
              <w:t>Desvenlafaxine was discontinued on day 29 in response to the event of Self injurious behavior.</w:t>
            </w:r>
            <w:r w:rsidRPr="00812C6C">
              <w:rPr>
                <w:sz w:val="23"/>
                <w:szCs w:val="23"/>
              </w:rPr>
              <w:t xml:space="preserve"> </w:t>
            </w:r>
            <w:r w:rsidRPr="00812C6C">
              <w:rPr>
                <w:sz w:val="20"/>
                <w:szCs w:val="20"/>
              </w:rPr>
              <w:t>On day 33, the patient returned for the Early Termination visit with no presentation of hallucinations or suicidal ideation. The patient was discontinued from the study on day</w:t>
            </w:r>
            <w:r w:rsidRPr="00812C6C">
              <w:rPr>
                <w:rFonts w:cs="Arial"/>
                <w:sz w:val="20"/>
                <w:szCs w:val="20"/>
              </w:rPr>
              <w:t xml:space="preserve"> 61  </w:t>
            </w:r>
          </w:p>
        </w:tc>
      </w:tr>
      <w:tr w:rsidR="0072606E" w:rsidRPr="00812C6C" w:rsidTr="0093680E">
        <w:trPr>
          <w:trHeight w:val="144"/>
        </w:trPr>
        <w:tc>
          <w:tcPr>
            <w:tcW w:w="3150" w:type="dxa"/>
            <w:tcBorders>
              <w:top w:val="single" w:sz="8" w:space="0" w:color="auto"/>
              <w:left w:val="single" w:sz="8" w:space="0" w:color="auto"/>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ind w:left="252"/>
              <w:outlineLvl w:val="9"/>
              <w:rPr>
                <w:rFonts w:cs="Arial"/>
                <w:sz w:val="20"/>
                <w:szCs w:val="20"/>
              </w:rPr>
            </w:pPr>
            <w:r w:rsidRPr="00812C6C">
              <w:rPr>
                <w:rFonts w:cs="Arial"/>
                <w:sz w:val="20"/>
                <w:szCs w:val="20"/>
              </w:rPr>
              <w:t>Ovarian cyst</w:t>
            </w:r>
          </w:p>
        </w:tc>
        <w:tc>
          <w:tcPr>
            <w:tcW w:w="1620" w:type="dxa"/>
            <w:tcBorders>
              <w:top w:val="single" w:sz="8" w:space="0" w:color="auto"/>
              <w:left w:val="single" w:sz="8" w:space="0" w:color="D9D9D9" w:themeColor="background1" w:themeShade="D9"/>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jc w:val="center"/>
              <w:outlineLvl w:val="9"/>
              <w:rPr>
                <w:rFonts w:cs="Arial"/>
                <w:sz w:val="20"/>
                <w:szCs w:val="20"/>
              </w:rPr>
            </w:pPr>
            <w:r w:rsidRPr="00812C6C">
              <w:rPr>
                <w:rFonts w:cs="Arial"/>
                <w:sz w:val="20"/>
                <w:szCs w:val="20"/>
              </w:rPr>
              <w:t>1</w:t>
            </w:r>
          </w:p>
        </w:tc>
        <w:tc>
          <w:tcPr>
            <w:tcW w:w="1800" w:type="dxa"/>
            <w:tcBorders>
              <w:top w:val="single" w:sz="8" w:space="0" w:color="auto"/>
              <w:left w:val="single" w:sz="8" w:space="0" w:color="D9D9D9" w:themeColor="background1" w:themeShade="D9"/>
              <w:bottom w:val="single" w:sz="8" w:space="0" w:color="auto"/>
              <w:right w:val="single" w:sz="8" w:space="0" w:color="auto"/>
            </w:tcBorders>
          </w:tcPr>
          <w:p w:rsidR="0072606E" w:rsidRPr="00812C6C" w:rsidRDefault="0072606E" w:rsidP="0093680E">
            <w:pPr>
              <w:tabs>
                <w:tab w:val="clear" w:pos="0"/>
              </w:tabs>
              <w:spacing w:line="240" w:lineRule="auto"/>
              <w:jc w:val="center"/>
              <w:outlineLvl w:val="9"/>
              <w:rPr>
                <w:rFonts w:cs="Arial"/>
                <w:sz w:val="20"/>
                <w:szCs w:val="20"/>
              </w:rPr>
            </w:pPr>
          </w:p>
        </w:tc>
        <w:tc>
          <w:tcPr>
            <w:tcW w:w="6570" w:type="dxa"/>
            <w:tcBorders>
              <w:top w:val="single" w:sz="8" w:space="0" w:color="auto"/>
              <w:left w:val="single" w:sz="8" w:space="0" w:color="auto"/>
              <w:bottom w:val="single" w:sz="8" w:space="0" w:color="auto"/>
              <w:right w:val="single" w:sz="8" w:space="0" w:color="auto"/>
            </w:tcBorders>
          </w:tcPr>
          <w:p w:rsidR="0072606E" w:rsidRPr="00812C6C" w:rsidRDefault="0072606E" w:rsidP="0093680E">
            <w:pPr>
              <w:tabs>
                <w:tab w:val="clear" w:pos="0"/>
              </w:tabs>
              <w:spacing w:line="240" w:lineRule="auto"/>
              <w:ind w:left="252" w:hanging="180"/>
              <w:outlineLvl w:val="9"/>
              <w:rPr>
                <w:rFonts w:cs="Arial"/>
                <w:sz w:val="20"/>
                <w:szCs w:val="20"/>
              </w:rPr>
            </w:pPr>
            <w:r w:rsidRPr="00812C6C">
              <w:rPr>
                <w:rFonts w:cs="Arial"/>
                <w:sz w:val="20"/>
                <w:szCs w:val="20"/>
              </w:rPr>
              <w:t xml:space="preserve">12 </w:t>
            </w:r>
            <w:proofErr w:type="spellStart"/>
            <w:r w:rsidRPr="00812C6C">
              <w:rPr>
                <w:rFonts w:cs="Arial"/>
                <w:sz w:val="20"/>
                <w:szCs w:val="20"/>
              </w:rPr>
              <w:t>yo</w:t>
            </w:r>
            <w:proofErr w:type="spellEnd"/>
            <w:r w:rsidRPr="00812C6C">
              <w:rPr>
                <w:rFonts w:cs="Arial"/>
                <w:sz w:val="20"/>
                <w:szCs w:val="20"/>
              </w:rPr>
              <w:t xml:space="preserve"> female, 50 mg/d; patient went to the ER on study day 152 with </w:t>
            </w:r>
            <w:r w:rsidRPr="00812C6C">
              <w:rPr>
                <w:rFonts w:cs="Arial"/>
                <w:sz w:val="20"/>
                <w:szCs w:val="20"/>
              </w:rPr>
              <w:lastRenderedPageBreak/>
              <w:t>abdominal pain, and a large ovarian cyst and the ovary were removed in an emergency surgery</w:t>
            </w:r>
            <w:r w:rsidRPr="00812C6C">
              <w:t xml:space="preserve"> </w:t>
            </w:r>
            <w:r w:rsidRPr="00812C6C">
              <w:rPr>
                <w:rFonts w:cs="Arial"/>
                <w:sz w:val="20"/>
                <w:szCs w:val="20"/>
              </w:rPr>
              <w:t>on study day 154.</w:t>
            </w:r>
            <w:r w:rsidRPr="00812C6C">
              <w:rPr>
                <w:sz w:val="20"/>
                <w:szCs w:val="20"/>
              </w:rPr>
              <w:t xml:space="preserve"> The patient was discharged from the hospital on day 155 and continued in the study</w:t>
            </w:r>
            <w:r w:rsidRPr="00812C6C">
              <w:rPr>
                <w:rFonts w:cs="Arial"/>
                <w:sz w:val="20"/>
                <w:szCs w:val="20"/>
              </w:rPr>
              <w:t xml:space="preserve">       </w:t>
            </w:r>
          </w:p>
        </w:tc>
      </w:tr>
      <w:tr w:rsidR="0072606E" w:rsidRPr="00812C6C" w:rsidTr="0093680E">
        <w:trPr>
          <w:trHeight w:val="144"/>
        </w:trPr>
        <w:tc>
          <w:tcPr>
            <w:tcW w:w="3150" w:type="dxa"/>
            <w:tcBorders>
              <w:top w:val="single" w:sz="8" w:space="0" w:color="auto"/>
              <w:left w:val="single" w:sz="8" w:space="0" w:color="auto"/>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ind w:left="252"/>
              <w:outlineLvl w:val="9"/>
              <w:rPr>
                <w:rFonts w:cs="Arial"/>
                <w:sz w:val="20"/>
                <w:szCs w:val="20"/>
              </w:rPr>
            </w:pPr>
            <w:r w:rsidRPr="00812C6C">
              <w:rPr>
                <w:rFonts w:cs="Arial"/>
                <w:sz w:val="20"/>
                <w:szCs w:val="20"/>
              </w:rPr>
              <w:lastRenderedPageBreak/>
              <w:t>Suicide attempt</w:t>
            </w:r>
          </w:p>
          <w:p w:rsidR="0072606E" w:rsidRPr="00812C6C" w:rsidRDefault="0072606E" w:rsidP="0093680E">
            <w:pPr>
              <w:tabs>
                <w:tab w:val="clear" w:pos="0"/>
              </w:tabs>
              <w:spacing w:line="240" w:lineRule="auto"/>
              <w:ind w:left="252"/>
              <w:outlineLvl w:val="9"/>
              <w:rPr>
                <w:rFonts w:cs="Arial"/>
                <w:sz w:val="20"/>
                <w:szCs w:val="20"/>
              </w:rPr>
            </w:pPr>
            <w:r w:rsidRPr="00812C6C">
              <w:rPr>
                <w:rFonts w:cs="Arial"/>
                <w:sz w:val="20"/>
                <w:szCs w:val="20"/>
              </w:rPr>
              <w:t>Overdose</w:t>
            </w:r>
          </w:p>
        </w:tc>
        <w:tc>
          <w:tcPr>
            <w:tcW w:w="1620" w:type="dxa"/>
            <w:tcBorders>
              <w:top w:val="single" w:sz="8" w:space="0" w:color="auto"/>
              <w:left w:val="single" w:sz="8" w:space="0" w:color="D9D9D9" w:themeColor="background1" w:themeShade="D9"/>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jc w:val="center"/>
              <w:outlineLvl w:val="9"/>
              <w:rPr>
                <w:rFonts w:cs="Arial"/>
                <w:sz w:val="20"/>
                <w:szCs w:val="20"/>
              </w:rPr>
            </w:pPr>
            <w:r w:rsidRPr="00812C6C">
              <w:rPr>
                <w:rFonts w:cs="Arial"/>
                <w:sz w:val="20"/>
                <w:szCs w:val="20"/>
              </w:rPr>
              <w:t>1</w:t>
            </w:r>
          </w:p>
        </w:tc>
        <w:tc>
          <w:tcPr>
            <w:tcW w:w="1800" w:type="dxa"/>
            <w:tcBorders>
              <w:top w:val="single" w:sz="8" w:space="0" w:color="auto"/>
              <w:left w:val="single" w:sz="8" w:space="0" w:color="D9D9D9" w:themeColor="background1" w:themeShade="D9"/>
              <w:bottom w:val="single" w:sz="8" w:space="0" w:color="auto"/>
              <w:right w:val="single" w:sz="8" w:space="0" w:color="auto"/>
            </w:tcBorders>
          </w:tcPr>
          <w:p w:rsidR="0072606E" w:rsidRPr="00812C6C" w:rsidRDefault="0072606E" w:rsidP="0093680E">
            <w:pPr>
              <w:tabs>
                <w:tab w:val="clear" w:pos="0"/>
              </w:tabs>
              <w:spacing w:line="240" w:lineRule="auto"/>
              <w:jc w:val="center"/>
              <w:outlineLvl w:val="9"/>
              <w:rPr>
                <w:rFonts w:cs="Arial"/>
                <w:sz w:val="20"/>
                <w:szCs w:val="20"/>
              </w:rPr>
            </w:pPr>
            <w:r w:rsidRPr="00812C6C">
              <w:rPr>
                <w:rFonts w:cs="Arial"/>
                <w:sz w:val="20"/>
                <w:szCs w:val="20"/>
              </w:rPr>
              <w:t>1</w:t>
            </w:r>
          </w:p>
        </w:tc>
        <w:tc>
          <w:tcPr>
            <w:tcW w:w="6570" w:type="dxa"/>
            <w:tcBorders>
              <w:top w:val="single" w:sz="8" w:space="0" w:color="auto"/>
              <w:left w:val="single" w:sz="8" w:space="0" w:color="auto"/>
              <w:bottom w:val="single" w:sz="8" w:space="0" w:color="auto"/>
              <w:right w:val="single" w:sz="8" w:space="0" w:color="auto"/>
            </w:tcBorders>
          </w:tcPr>
          <w:p w:rsidR="0072606E" w:rsidRPr="00812C6C" w:rsidRDefault="0072606E" w:rsidP="0093680E">
            <w:pPr>
              <w:tabs>
                <w:tab w:val="clear" w:pos="0"/>
              </w:tabs>
              <w:spacing w:line="240" w:lineRule="auto"/>
              <w:ind w:left="252" w:hanging="180"/>
              <w:outlineLvl w:val="9"/>
              <w:rPr>
                <w:rFonts w:cs="Arial"/>
                <w:sz w:val="20"/>
                <w:szCs w:val="20"/>
              </w:rPr>
            </w:pPr>
            <w:r w:rsidRPr="00812C6C">
              <w:rPr>
                <w:rFonts w:cs="Arial"/>
                <w:sz w:val="20"/>
                <w:szCs w:val="20"/>
              </w:rPr>
              <w:t xml:space="preserve">12 </w:t>
            </w:r>
            <w:proofErr w:type="spellStart"/>
            <w:r w:rsidRPr="00812C6C">
              <w:rPr>
                <w:rFonts w:cs="Arial"/>
                <w:sz w:val="20"/>
                <w:szCs w:val="20"/>
              </w:rPr>
              <w:t>yo</w:t>
            </w:r>
            <w:proofErr w:type="spellEnd"/>
            <w:r w:rsidRPr="00812C6C">
              <w:rPr>
                <w:rFonts w:cs="Arial"/>
                <w:sz w:val="20"/>
                <w:szCs w:val="20"/>
              </w:rPr>
              <w:t xml:space="preserve"> male, 25 mg/d; patient was discontinued and hospitalized on study day 36 in response to 2 suicide attempts (overdose and cutting) on days 34 and 35. </w:t>
            </w:r>
            <w:r w:rsidRPr="00812C6C">
              <w:rPr>
                <w:sz w:val="20"/>
                <w:szCs w:val="20"/>
              </w:rPr>
              <w:t>The patient was considered to have recovered from the events on day 35 and was discharged from the hospital on day 41.</w:t>
            </w:r>
          </w:p>
        </w:tc>
      </w:tr>
      <w:tr w:rsidR="0072606E" w:rsidRPr="00812C6C" w:rsidTr="0093680E">
        <w:trPr>
          <w:trHeight w:val="144"/>
        </w:trPr>
        <w:tc>
          <w:tcPr>
            <w:tcW w:w="3150" w:type="dxa"/>
            <w:tcBorders>
              <w:top w:val="single" w:sz="8" w:space="0" w:color="auto"/>
              <w:left w:val="single" w:sz="8" w:space="0" w:color="auto"/>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ind w:left="252"/>
              <w:outlineLvl w:val="9"/>
              <w:rPr>
                <w:rFonts w:cs="Arial"/>
                <w:sz w:val="20"/>
                <w:szCs w:val="20"/>
              </w:rPr>
            </w:pPr>
            <w:r w:rsidRPr="00812C6C">
              <w:rPr>
                <w:rFonts w:cs="Arial"/>
                <w:sz w:val="20"/>
                <w:szCs w:val="20"/>
              </w:rPr>
              <w:t>Suicide attempt</w:t>
            </w:r>
          </w:p>
        </w:tc>
        <w:tc>
          <w:tcPr>
            <w:tcW w:w="1620" w:type="dxa"/>
            <w:tcBorders>
              <w:top w:val="single" w:sz="8" w:space="0" w:color="auto"/>
              <w:left w:val="single" w:sz="8" w:space="0" w:color="D9D9D9" w:themeColor="background1" w:themeShade="D9"/>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jc w:val="center"/>
              <w:outlineLvl w:val="9"/>
              <w:rPr>
                <w:rFonts w:cs="Arial"/>
                <w:sz w:val="20"/>
                <w:szCs w:val="20"/>
              </w:rPr>
            </w:pPr>
            <w:r w:rsidRPr="00812C6C">
              <w:rPr>
                <w:rFonts w:cs="Arial"/>
                <w:sz w:val="20"/>
                <w:szCs w:val="20"/>
              </w:rPr>
              <w:t>4</w:t>
            </w:r>
          </w:p>
        </w:tc>
        <w:tc>
          <w:tcPr>
            <w:tcW w:w="1800" w:type="dxa"/>
            <w:tcBorders>
              <w:top w:val="single" w:sz="8" w:space="0" w:color="auto"/>
              <w:left w:val="single" w:sz="8" w:space="0" w:color="D9D9D9" w:themeColor="background1" w:themeShade="D9"/>
              <w:bottom w:val="single" w:sz="8" w:space="0" w:color="auto"/>
              <w:right w:val="single" w:sz="8" w:space="0" w:color="auto"/>
            </w:tcBorders>
          </w:tcPr>
          <w:p w:rsidR="0072606E" w:rsidRPr="00812C6C" w:rsidRDefault="0072606E" w:rsidP="0093680E">
            <w:pPr>
              <w:tabs>
                <w:tab w:val="clear" w:pos="0"/>
              </w:tabs>
              <w:spacing w:line="240" w:lineRule="auto"/>
              <w:jc w:val="center"/>
              <w:outlineLvl w:val="9"/>
              <w:rPr>
                <w:rFonts w:cs="Arial"/>
                <w:sz w:val="20"/>
                <w:szCs w:val="20"/>
              </w:rPr>
            </w:pPr>
            <w:r w:rsidRPr="00812C6C">
              <w:rPr>
                <w:rFonts w:cs="Arial"/>
                <w:sz w:val="20"/>
                <w:szCs w:val="20"/>
              </w:rPr>
              <w:t>4</w:t>
            </w:r>
          </w:p>
        </w:tc>
        <w:tc>
          <w:tcPr>
            <w:tcW w:w="6570" w:type="dxa"/>
            <w:tcBorders>
              <w:top w:val="single" w:sz="8" w:space="0" w:color="auto"/>
              <w:left w:val="single" w:sz="8" w:space="0" w:color="auto"/>
              <w:bottom w:val="single" w:sz="8" w:space="0" w:color="auto"/>
              <w:right w:val="single" w:sz="8" w:space="0" w:color="auto"/>
            </w:tcBorders>
          </w:tcPr>
          <w:p w:rsidR="0072606E" w:rsidRPr="00812C6C" w:rsidRDefault="0072606E" w:rsidP="0093680E">
            <w:pPr>
              <w:tabs>
                <w:tab w:val="clear" w:pos="0"/>
              </w:tabs>
              <w:spacing w:line="240" w:lineRule="auto"/>
              <w:ind w:left="252" w:hanging="180"/>
              <w:outlineLvl w:val="9"/>
              <w:rPr>
                <w:rFonts w:cs="Arial"/>
                <w:sz w:val="20"/>
                <w:szCs w:val="20"/>
              </w:rPr>
            </w:pPr>
            <w:r w:rsidRPr="00812C6C">
              <w:rPr>
                <w:rFonts w:cs="Arial"/>
                <w:sz w:val="20"/>
                <w:szCs w:val="20"/>
              </w:rPr>
              <w:t xml:space="preserve">16 </w:t>
            </w:r>
            <w:proofErr w:type="spellStart"/>
            <w:r w:rsidRPr="00812C6C">
              <w:rPr>
                <w:rFonts w:cs="Arial"/>
                <w:sz w:val="20"/>
                <w:szCs w:val="20"/>
              </w:rPr>
              <w:t>yo</w:t>
            </w:r>
            <w:proofErr w:type="spellEnd"/>
            <w:r w:rsidRPr="00812C6C">
              <w:rPr>
                <w:rFonts w:cs="Arial"/>
                <w:sz w:val="20"/>
                <w:szCs w:val="20"/>
              </w:rPr>
              <w:t xml:space="preserve"> male, 35 mg/d; patient thought about cutting himself and planned a suicide note on study day 31. The event was not reported until study day 41. </w:t>
            </w:r>
            <w:r w:rsidRPr="00812C6C">
              <w:rPr>
                <w:sz w:val="20"/>
                <w:szCs w:val="20"/>
              </w:rPr>
              <w:t>The patient was discontinued from the treatment phase in response to this event on day 41.</w:t>
            </w:r>
            <w:r w:rsidRPr="00812C6C">
              <w:rPr>
                <w:sz w:val="23"/>
                <w:szCs w:val="23"/>
              </w:rPr>
              <w:t xml:space="preserve"> </w:t>
            </w:r>
            <w:r w:rsidRPr="00812C6C">
              <w:rPr>
                <w:sz w:val="20"/>
                <w:szCs w:val="20"/>
              </w:rPr>
              <w:t>The patient recovered from the event on the date of onset (day 31).</w:t>
            </w:r>
          </w:p>
          <w:p w:rsidR="0072606E" w:rsidRPr="00812C6C" w:rsidRDefault="0072606E" w:rsidP="0093680E">
            <w:pPr>
              <w:tabs>
                <w:tab w:val="clear" w:pos="0"/>
              </w:tabs>
              <w:spacing w:line="240" w:lineRule="auto"/>
              <w:ind w:left="252" w:hanging="180"/>
              <w:outlineLvl w:val="9"/>
              <w:rPr>
                <w:rFonts w:cs="Arial"/>
                <w:sz w:val="20"/>
                <w:szCs w:val="20"/>
              </w:rPr>
            </w:pPr>
            <w:r w:rsidRPr="00812C6C">
              <w:rPr>
                <w:rFonts w:cs="Arial"/>
                <w:sz w:val="20"/>
                <w:szCs w:val="20"/>
              </w:rPr>
              <w:t xml:space="preserve">11 </w:t>
            </w:r>
            <w:proofErr w:type="spellStart"/>
            <w:r w:rsidRPr="00812C6C">
              <w:rPr>
                <w:rFonts w:cs="Arial"/>
                <w:sz w:val="20"/>
                <w:szCs w:val="20"/>
              </w:rPr>
              <w:t>yo</w:t>
            </w:r>
            <w:proofErr w:type="spellEnd"/>
            <w:r w:rsidRPr="00812C6C">
              <w:rPr>
                <w:rFonts w:cs="Arial"/>
                <w:sz w:val="20"/>
                <w:szCs w:val="20"/>
              </w:rPr>
              <w:t xml:space="preserve"> female, 50 mg/d; the patient was hospitalized after an attempted overdose on study day 182. </w:t>
            </w:r>
            <w:r w:rsidRPr="00812C6C">
              <w:rPr>
                <w:sz w:val="20"/>
                <w:szCs w:val="20"/>
              </w:rPr>
              <w:t>Desvenlafaxine was discontinued in response to this event; the last dose was administered on day 181. The patient was discontinued from the study on day 189. The patient recovered from the event on day 192 and was discharged from the hospital on that date.</w:t>
            </w:r>
          </w:p>
          <w:p w:rsidR="0072606E" w:rsidRPr="00812C6C" w:rsidRDefault="0072606E" w:rsidP="0093680E">
            <w:pPr>
              <w:tabs>
                <w:tab w:val="clear" w:pos="0"/>
              </w:tabs>
              <w:spacing w:line="240" w:lineRule="auto"/>
              <w:ind w:left="252" w:hanging="180"/>
              <w:outlineLvl w:val="9"/>
              <w:rPr>
                <w:rFonts w:cs="Arial"/>
                <w:sz w:val="20"/>
                <w:szCs w:val="20"/>
              </w:rPr>
            </w:pPr>
            <w:r w:rsidRPr="00812C6C">
              <w:rPr>
                <w:rFonts w:cs="Arial"/>
                <w:sz w:val="20"/>
                <w:szCs w:val="20"/>
              </w:rPr>
              <w:t xml:space="preserve">10 </w:t>
            </w:r>
            <w:proofErr w:type="spellStart"/>
            <w:r w:rsidRPr="00812C6C">
              <w:rPr>
                <w:rFonts w:cs="Arial"/>
                <w:sz w:val="20"/>
                <w:szCs w:val="20"/>
              </w:rPr>
              <w:t>yo</w:t>
            </w:r>
            <w:proofErr w:type="spellEnd"/>
            <w:r w:rsidRPr="00812C6C">
              <w:rPr>
                <w:rFonts w:cs="Arial"/>
                <w:sz w:val="20"/>
                <w:szCs w:val="20"/>
              </w:rPr>
              <w:t xml:space="preserve"> female, 35 mg/d; the patient was discontinued (not hospitalized) on study day 9 after she climbed to her roof and threatened to jump. </w:t>
            </w:r>
            <w:r w:rsidRPr="00812C6C">
              <w:rPr>
                <w:sz w:val="20"/>
                <w:szCs w:val="20"/>
              </w:rPr>
              <w:t>The serious adverse event was considered to be resolved on the same day.</w:t>
            </w:r>
          </w:p>
          <w:p w:rsidR="0072606E" w:rsidRPr="00812C6C" w:rsidRDefault="0072606E" w:rsidP="0093680E">
            <w:pPr>
              <w:tabs>
                <w:tab w:val="clear" w:pos="0"/>
              </w:tabs>
              <w:spacing w:line="240" w:lineRule="auto"/>
              <w:ind w:left="252" w:hanging="180"/>
              <w:outlineLvl w:val="9"/>
              <w:rPr>
                <w:rFonts w:cs="Arial"/>
                <w:sz w:val="20"/>
                <w:szCs w:val="20"/>
              </w:rPr>
            </w:pPr>
            <w:r w:rsidRPr="00812C6C">
              <w:rPr>
                <w:rFonts w:cs="Arial"/>
                <w:sz w:val="20"/>
                <w:szCs w:val="20"/>
              </w:rPr>
              <w:t xml:space="preserve">15 </w:t>
            </w:r>
            <w:proofErr w:type="spellStart"/>
            <w:r w:rsidRPr="00812C6C">
              <w:rPr>
                <w:rFonts w:cs="Arial"/>
                <w:sz w:val="20"/>
                <w:szCs w:val="20"/>
              </w:rPr>
              <w:t>yo</w:t>
            </w:r>
            <w:proofErr w:type="spellEnd"/>
            <w:r w:rsidRPr="00812C6C">
              <w:rPr>
                <w:rFonts w:cs="Arial"/>
                <w:sz w:val="20"/>
                <w:szCs w:val="20"/>
              </w:rPr>
              <w:t xml:space="preserve"> female, 25 mg/d; patient was discontinued </w:t>
            </w:r>
            <w:r w:rsidRPr="00812C6C">
              <w:rPr>
                <w:sz w:val="20"/>
                <w:szCs w:val="20"/>
              </w:rPr>
              <w:t>from study on day 18 after planning to cut herself with a razor.</w:t>
            </w:r>
            <w:r w:rsidRPr="00812C6C">
              <w:rPr>
                <w:sz w:val="23"/>
                <w:szCs w:val="23"/>
              </w:rPr>
              <w:t xml:space="preserve"> </w:t>
            </w:r>
            <w:r w:rsidRPr="00812C6C">
              <w:rPr>
                <w:rFonts w:cs="Arial"/>
                <w:sz w:val="20"/>
                <w:szCs w:val="20"/>
              </w:rPr>
              <w:t>She was hospitalized for the event on day 19</w:t>
            </w:r>
            <w:r w:rsidRPr="00812C6C">
              <w:rPr>
                <w:sz w:val="20"/>
                <w:szCs w:val="20"/>
              </w:rPr>
              <w:t xml:space="preserve">, recovered from the event on day 25, and was discharged from the psychiatric hospital on this day. She was </w:t>
            </w:r>
            <w:r w:rsidRPr="00812C6C">
              <w:rPr>
                <w:rFonts w:cs="Arial"/>
                <w:sz w:val="20"/>
                <w:szCs w:val="20"/>
              </w:rPr>
              <w:t xml:space="preserve">hospitalized again after an attempted overdose at study day 43 (post-therapy). </w:t>
            </w:r>
            <w:r w:rsidRPr="00812C6C">
              <w:rPr>
                <w:sz w:val="20"/>
                <w:szCs w:val="20"/>
              </w:rPr>
              <w:t>The patient recovered from the event on day 52 and was discharged from the psychiatric hospital on this day.</w:t>
            </w:r>
          </w:p>
        </w:tc>
      </w:tr>
      <w:tr w:rsidR="0072606E" w:rsidRPr="00812C6C" w:rsidTr="0093680E">
        <w:trPr>
          <w:trHeight w:val="144"/>
        </w:trPr>
        <w:tc>
          <w:tcPr>
            <w:tcW w:w="3150" w:type="dxa"/>
            <w:tcBorders>
              <w:top w:val="single" w:sz="8" w:space="0" w:color="auto"/>
              <w:left w:val="single" w:sz="8" w:space="0" w:color="auto"/>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ind w:left="252"/>
              <w:outlineLvl w:val="9"/>
              <w:rPr>
                <w:rFonts w:cs="Arial"/>
                <w:sz w:val="20"/>
                <w:szCs w:val="20"/>
              </w:rPr>
            </w:pPr>
            <w:r w:rsidRPr="00812C6C">
              <w:rPr>
                <w:rFonts w:cs="Arial"/>
                <w:sz w:val="20"/>
                <w:szCs w:val="20"/>
              </w:rPr>
              <w:t>Aggression</w:t>
            </w:r>
          </w:p>
        </w:tc>
        <w:tc>
          <w:tcPr>
            <w:tcW w:w="1620" w:type="dxa"/>
            <w:tcBorders>
              <w:top w:val="single" w:sz="8" w:space="0" w:color="auto"/>
              <w:left w:val="single" w:sz="8" w:space="0" w:color="D9D9D9" w:themeColor="background1" w:themeShade="D9"/>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jc w:val="center"/>
              <w:outlineLvl w:val="9"/>
              <w:rPr>
                <w:rFonts w:cs="Arial"/>
                <w:sz w:val="20"/>
                <w:szCs w:val="20"/>
              </w:rPr>
            </w:pPr>
          </w:p>
        </w:tc>
        <w:tc>
          <w:tcPr>
            <w:tcW w:w="1800" w:type="dxa"/>
            <w:tcBorders>
              <w:top w:val="single" w:sz="8" w:space="0" w:color="auto"/>
              <w:left w:val="single" w:sz="8" w:space="0" w:color="D9D9D9" w:themeColor="background1" w:themeShade="D9"/>
              <w:bottom w:val="single" w:sz="8" w:space="0" w:color="auto"/>
              <w:right w:val="single" w:sz="8" w:space="0" w:color="auto"/>
            </w:tcBorders>
          </w:tcPr>
          <w:p w:rsidR="0072606E" w:rsidRPr="00812C6C" w:rsidRDefault="0072606E" w:rsidP="0093680E">
            <w:pPr>
              <w:tabs>
                <w:tab w:val="clear" w:pos="0"/>
              </w:tabs>
              <w:spacing w:line="240" w:lineRule="auto"/>
              <w:jc w:val="center"/>
              <w:outlineLvl w:val="9"/>
              <w:rPr>
                <w:rFonts w:cs="Arial"/>
                <w:sz w:val="20"/>
                <w:szCs w:val="20"/>
              </w:rPr>
            </w:pPr>
            <w:r w:rsidRPr="00812C6C">
              <w:rPr>
                <w:rFonts w:cs="Arial"/>
                <w:sz w:val="20"/>
                <w:szCs w:val="20"/>
              </w:rPr>
              <w:t>1</w:t>
            </w:r>
          </w:p>
        </w:tc>
        <w:tc>
          <w:tcPr>
            <w:tcW w:w="6570" w:type="dxa"/>
            <w:tcBorders>
              <w:top w:val="single" w:sz="8" w:space="0" w:color="auto"/>
              <w:left w:val="single" w:sz="8" w:space="0" w:color="auto"/>
              <w:bottom w:val="single" w:sz="8" w:space="0" w:color="auto"/>
              <w:right w:val="single" w:sz="8" w:space="0" w:color="auto"/>
            </w:tcBorders>
          </w:tcPr>
          <w:p w:rsidR="0072606E" w:rsidRPr="00812C6C" w:rsidRDefault="0072606E" w:rsidP="0093680E">
            <w:pPr>
              <w:tabs>
                <w:tab w:val="clear" w:pos="0"/>
              </w:tabs>
              <w:spacing w:line="240" w:lineRule="auto"/>
              <w:ind w:left="252" w:hanging="180"/>
              <w:outlineLvl w:val="9"/>
              <w:rPr>
                <w:rFonts w:cs="Arial"/>
                <w:sz w:val="20"/>
                <w:szCs w:val="20"/>
              </w:rPr>
            </w:pPr>
            <w:r w:rsidRPr="00812C6C">
              <w:rPr>
                <w:rFonts w:cs="Arial"/>
                <w:sz w:val="20"/>
                <w:szCs w:val="20"/>
              </w:rPr>
              <w:t xml:space="preserve">7 </w:t>
            </w:r>
            <w:proofErr w:type="spellStart"/>
            <w:r w:rsidRPr="00812C6C">
              <w:rPr>
                <w:rFonts w:cs="Arial"/>
                <w:sz w:val="20"/>
                <w:szCs w:val="20"/>
              </w:rPr>
              <w:t>yo</w:t>
            </w:r>
            <w:proofErr w:type="spellEnd"/>
            <w:r w:rsidRPr="00812C6C">
              <w:rPr>
                <w:rFonts w:cs="Arial"/>
                <w:sz w:val="20"/>
                <w:szCs w:val="20"/>
              </w:rPr>
              <w:t xml:space="preserve"> male, 25 mg/d; treatment was discontinued on study day 85 after an event of aggression on study day 77  </w:t>
            </w:r>
          </w:p>
        </w:tc>
      </w:tr>
      <w:tr w:rsidR="0072606E" w:rsidRPr="00812C6C" w:rsidTr="0093680E">
        <w:trPr>
          <w:trHeight w:val="144"/>
        </w:trPr>
        <w:tc>
          <w:tcPr>
            <w:tcW w:w="3150" w:type="dxa"/>
            <w:tcBorders>
              <w:top w:val="single" w:sz="8" w:space="0" w:color="auto"/>
              <w:left w:val="single" w:sz="8" w:space="0" w:color="auto"/>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ind w:left="252"/>
              <w:outlineLvl w:val="9"/>
              <w:rPr>
                <w:rFonts w:cs="Arial"/>
                <w:sz w:val="20"/>
                <w:szCs w:val="20"/>
              </w:rPr>
            </w:pPr>
            <w:r w:rsidRPr="00812C6C">
              <w:rPr>
                <w:rFonts w:cs="Arial"/>
                <w:sz w:val="20"/>
                <w:szCs w:val="20"/>
              </w:rPr>
              <w:t>Dyspepsia</w:t>
            </w:r>
          </w:p>
        </w:tc>
        <w:tc>
          <w:tcPr>
            <w:tcW w:w="1620" w:type="dxa"/>
            <w:tcBorders>
              <w:top w:val="single" w:sz="8" w:space="0" w:color="auto"/>
              <w:left w:val="single" w:sz="8" w:space="0" w:color="D9D9D9" w:themeColor="background1" w:themeShade="D9"/>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jc w:val="center"/>
              <w:outlineLvl w:val="9"/>
              <w:rPr>
                <w:rFonts w:cs="Arial"/>
                <w:sz w:val="20"/>
                <w:szCs w:val="20"/>
              </w:rPr>
            </w:pPr>
          </w:p>
        </w:tc>
        <w:tc>
          <w:tcPr>
            <w:tcW w:w="1800" w:type="dxa"/>
            <w:tcBorders>
              <w:top w:val="single" w:sz="8" w:space="0" w:color="auto"/>
              <w:left w:val="single" w:sz="8" w:space="0" w:color="D9D9D9" w:themeColor="background1" w:themeShade="D9"/>
              <w:bottom w:val="single" w:sz="8" w:space="0" w:color="auto"/>
              <w:right w:val="single" w:sz="8" w:space="0" w:color="auto"/>
            </w:tcBorders>
          </w:tcPr>
          <w:p w:rsidR="0072606E" w:rsidRPr="00812C6C" w:rsidRDefault="0072606E" w:rsidP="0093680E">
            <w:pPr>
              <w:tabs>
                <w:tab w:val="clear" w:pos="0"/>
              </w:tabs>
              <w:spacing w:line="240" w:lineRule="auto"/>
              <w:jc w:val="center"/>
              <w:outlineLvl w:val="9"/>
              <w:rPr>
                <w:rFonts w:cs="Arial"/>
                <w:sz w:val="20"/>
                <w:szCs w:val="20"/>
              </w:rPr>
            </w:pPr>
            <w:r w:rsidRPr="00812C6C">
              <w:rPr>
                <w:rFonts w:cs="Arial"/>
                <w:sz w:val="20"/>
                <w:szCs w:val="20"/>
              </w:rPr>
              <w:t>1</w:t>
            </w:r>
          </w:p>
        </w:tc>
        <w:tc>
          <w:tcPr>
            <w:tcW w:w="6570" w:type="dxa"/>
            <w:tcBorders>
              <w:top w:val="single" w:sz="8" w:space="0" w:color="auto"/>
              <w:left w:val="single" w:sz="8" w:space="0" w:color="auto"/>
              <w:bottom w:val="single" w:sz="8" w:space="0" w:color="auto"/>
              <w:right w:val="single" w:sz="8" w:space="0" w:color="auto"/>
            </w:tcBorders>
          </w:tcPr>
          <w:p w:rsidR="0072606E" w:rsidRPr="00812C6C" w:rsidRDefault="0072606E" w:rsidP="0093680E">
            <w:pPr>
              <w:tabs>
                <w:tab w:val="clear" w:pos="0"/>
              </w:tabs>
              <w:spacing w:line="240" w:lineRule="auto"/>
              <w:ind w:left="252" w:hanging="180"/>
              <w:outlineLvl w:val="9"/>
              <w:rPr>
                <w:rFonts w:cs="Arial"/>
                <w:sz w:val="20"/>
                <w:szCs w:val="20"/>
              </w:rPr>
            </w:pPr>
            <w:r w:rsidRPr="00812C6C">
              <w:rPr>
                <w:rFonts w:cs="Arial"/>
                <w:sz w:val="20"/>
                <w:szCs w:val="20"/>
              </w:rPr>
              <w:t xml:space="preserve">10 </w:t>
            </w:r>
            <w:proofErr w:type="spellStart"/>
            <w:r w:rsidRPr="00812C6C">
              <w:rPr>
                <w:rFonts w:cs="Arial"/>
                <w:sz w:val="20"/>
                <w:szCs w:val="20"/>
              </w:rPr>
              <w:t>yo</w:t>
            </w:r>
            <w:proofErr w:type="spellEnd"/>
            <w:r w:rsidRPr="00812C6C">
              <w:rPr>
                <w:rFonts w:cs="Arial"/>
                <w:sz w:val="20"/>
                <w:szCs w:val="20"/>
              </w:rPr>
              <w:t xml:space="preserve"> female, 25 mg/d; discontinued on study day 39 due to dyspepsia after a temporary dose decrease due to nausea and vomiting </w:t>
            </w:r>
          </w:p>
        </w:tc>
      </w:tr>
      <w:tr w:rsidR="0072606E" w:rsidRPr="00812C6C" w:rsidTr="0093680E">
        <w:trPr>
          <w:trHeight w:val="313"/>
        </w:trPr>
        <w:tc>
          <w:tcPr>
            <w:tcW w:w="3150" w:type="dxa"/>
            <w:tcBorders>
              <w:top w:val="single" w:sz="8" w:space="0" w:color="auto"/>
              <w:left w:val="single" w:sz="8" w:space="0" w:color="auto"/>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ind w:left="252"/>
              <w:outlineLvl w:val="9"/>
              <w:rPr>
                <w:rFonts w:cs="Arial"/>
                <w:sz w:val="20"/>
                <w:szCs w:val="20"/>
              </w:rPr>
            </w:pPr>
            <w:r w:rsidRPr="00812C6C">
              <w:rPr>
                <w:rFonts w:cs="Arial"/>
                <w:sz w:val="20"/>
                <w:szCs w:val="20"/>
              </w:rPr>
              <w:t>Galactorrhea</w:t>
            </w:r>
          </w:p>
        </w:tc>
        <w:tc>
          <w:tcPr>
            <w:tcW w:w="1620" w:type="dxa"/>
            <w:tcBorders>
              <w:top w:val="single" w:sz="8" w:space="0" w:color="auto"/>
              <w:left w:val="single" w:sz="8" w:space="0" w:color="D9D9D9" w:themeColor="background1" w:themeShade="D9"/>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jc w:val="center"/>
              <w:outlineLvl w:val="9"/>
              <w:rPr>
                <w:rFonts w:cs="Arial"/>
                <w:sz w:val="20"/>
                <w:szCs w:val="20"/>
              </w:rPr>
            </w:pPr>
          </w:p>
        </w:tc>
        <w:tc>
          <w:tcPr>
            <w:tcW w:w="1800" w:type="dxa"/>
            <w:tcBorders>
              <w:top w:val="single" w:sz="8" w:space="0" w:color="auto"/>
              <w:left w:val="single" w:sz="8" w:space="0" w:color="D9D9D9" w:themeColor="background1" w:themeShade="D9"/>
              <w:bottom w:val="single" w:sz="8" w:space="0" w:color="auto"/>
              <w:right w:val="single" w:sz="8" w:space="0" w:color="auto"/>
            </w:tcBorders>
          </w:tcPr>
          <w:p w:rsidR="0072606E" w:rsidRPr="00812C6C" w:rsidRDefault="0072606E" w:rsidP="0093680E">
            <w:pPr>
              <w:tabs>
                <w:tab w:val="clear" w:pos="0"/>
              </w:tabs>
              <w:spacing w:line="240" w:lineRule="auto"/>
              <w:jc w:val="center"/>
              <w:outlineLvl w:val="9"/>
              <w:rPr>
                <w:rFonts w:cs="Arial"/>
                <w:sz w:val="20"/>
                <w:szCs w:val="20"/>
              </w:rPr>
            </w:pPr>
            <w:r w:rsidRPr="00812C6C">
              <w:rPr>
                <w:rFonts w:cs="Arial"/>
                <w:sz w:val="20"/>
                <w:szCs w:val="20"/>
              </w:rPr>
              <w:t>1</w:t>
            </w:r>
          </w:p>
        </w:tc>
        <w:tc>
          <w:tcPr>
            <w:tcW w:w="6570" w:type="dxa"/>
            <w:tcBorders>
              <w:top w:val="single" w:sz="8" w:space="0" w:color="auto"/>
              <w:left w:val="single" w:sz="8" w:space="0" w:color="auto"/>
              <w:bottom w:val="single" w:sz="8" w:space="0" w:color="auto"/>
              <w:right w:val="single" w:sz="8" w:space="0" w:color="auto"/>
            </w:tcBorders>
          </w:tcPr>
          <w:p w:rsidR="0072606E" w:rsidRPr="00812C6C" w:rsidRDefault="0072606E" w:rsidP="0093680E">
            <w:pPr>
              <w:tabs>
                <w:tab w:val="clear" w:pos="0"/>
              </w:tabs>
              <w:spacing w:line="240" w:lineRule="auto"/>
              <w:ind w:left="252" w:hanging="180"/>
              <w:outlineLvl w:val="9"/>
              <w:rPr>
                <w:rFonts w:cs="Arial"/>
                <w:sz w:val="20"/>
                <w:szCs w:val="20"/>
              </w:rPr>
            </w:pPr>
            <w:r w:rsidRPr="00812C6C">
              <w:rPr>
                <w:rFonts w:cs="Arial"/>
                <w:sz w:val="20"/>
                <w:szCs w:val="20"/>
              </w:rPr>
              <w:t xml:space="preserve">17 </w:t>
            </w:r>
            <w:proofErr w:type="spellStart"/>
            <w:r w:rsidRPr="00812C6C">
              <w:rPr>
                <w:rFonts w:cs="Arial"/>
                <w:sz w:val="20"/>
                <w:szCs w:val="20"/>
              </w:rPr>
              <w:t>yo</w:t>
            </w:r>
            <w:proofErr w:type="spellEnd"/>
            <w:r w:rsidRPr="00812C6C">
              <w:rPr>
                <w:rFonts w:cs="Arial"/>
                <w:sz w:val="20"/>
                <w:szCs w:val="20"/>
              </w:rPr>
              <w:t xml:space="preserve"> female, 50 mg/d; discontinued on study day 61  </w:t>
            </w:r>
          </w:p>
        </w:tc>
      </w:tr>
      <w:tr w:rsidR="0072606E" w:rsidRPr="00812C6C" w:rsidTr="0093680E">
        <w:trPr>
          <w:trHeight w:val="144"/>
        </w:trPr>
        <w:tc>
          <w:tcPr>
            <w:tcW w:w="3150" w:type="dxa"/>
            <w:tcBorders>
              <w:top w:val="single" w:sz="8" w:space="0" w:color="auto"/>
              <w:left w:val="single" w:sz="8" w:space="0" w:color="auto"/>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ind w:left="252"/>
              <w:outlineLvl w:val="9"/>
              <w:rPr>
                <w:rFonts w:cs="Arial"/>
                <w:sz w:val="20"/>
                <w:szCs w:val="20"/>
              </w:rPr>
            </w:pPr>
            <w:r w:rsidRPr="00812C6C">
              <w:rPr>
                <w:rFonts w:cs="Arial"/>
                <w:sz w:val="20"/>
                <w:szCs w:val="20"/>
              </w:rPr>
              <w:t>Hallucination (auditory)</w:t>
            </w:r>
          </w:p>
        </w:tc>
        <w:tc>
          <w:tcPr>
            <w:tcW w:w="1620" w:type="dxa"/>
            <w:tcBorders>
              <w:top w:val="single" w:sz="8" w:space="0" w:color="auto"/>
              <w:left w:val="single" w:sz="8" w:space="0" w:color="D9D9D9" w:themeColor="background1" w:themeShade="D9"/>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jc w:val="center"/>
              <w:outlineLvl w:val="9"/>
              <w:rPr>
                <w:rFonts w:cs="Arial"/>
                <w:sz w:val="20"/>
                <w:szCs w:val="20"/>
              </w:rPr>
            </w:pPr>
          </w:p>
        </w:tc>
        <w:tc>
          <w:tcPr>
            <w:tcW w:w="1800" w:type="dxa"/>
            <w:tcBorders>
              <w:top w:val="single" w:sz="8" w:space="0" w:color="auto"/>
              <w:left w:val="single" w:sz="8" w:space="0" w:color="D9D9D9" w:themeColor="background1" w:themeShade="D9"/>
              <w:bottom w:val="single" w:sz="8" w:space="0" w:color="auto"/>
              <w:right w:val="single" w:sz="8" w:space="0" w:color="auto"/>
            </w:tcBorders>
          </w:tcPr>
          <w:p w:rsidR="0072606E" w:rsidRPr="00812C6C" w:rsidRDefault="0072606E" w:rsidP="0093680E">
            <w:pPr>
              <w:tabs>
                <w:tab w:val="clear" w:pos="0"/>
              </w:tabs>
              <w:spacing w:line="240" w:lineRule="auto"/>
              <w:jc w:val="center"/>
              <w:outlineLvl w:val="9"/>
              <w:rPr>
                <w:rFonts w:cs="Arial"/>
                <w:sz w:val="20"/>
                <w:szCs w:val="20"/>
              </w:rPr>
            </w:pPr>
            <w:r w:rsidRPr="00812C6C">
              <w:rPr>
                <w:rFonts w:cs="Arial"/>
                <w:sz w:val="20"/>
                <w:szCs w:val="20"/>
              </w:rPr>
              <w:t>1</w:t>
            </w:r>
          </w:p>
        </w:tc>
        <w:tc>
          <w:tcPr>
            <w:tcW w:w="6570" w:type="dxa"/>
            <w:tcBorders>
              <w:top w:val="single" w:sz="8" w:space="0" w:color="auto"/>
              <w:left w:val="single" w:sz="8" w:space="0" w:color="auto"/>
              <w:bottom w:val="single" w:sz="8" w:space="0" w:color="auto"/>
              <w:right w:val="single" w:sz="8" w:space="0" w:color="auto"/>
            </w:tcBorders>
          </w:tcPr>
          <w:p w:rsidR="0072606E" w:rsidRPr="00812C6C" w:rsidRDefault="0072606E" w:rsidP="0093680E">
            <w:pPr>
              <w:tabs>
                <w:tab w:val="clear" w:pos="0"/>
              </w:tabs>
              <w:spacing w:line="240" w:lineRule="auto"/>
              <w:ind w:left="252" w:hanging="180"/>
              <w:outlineLvl w:val="9"/>
              <w:rPr>
                <w:rFonts w:cs="Arial"/>
                <w:sz w:val="20"/>
                <w:szCs w:val="20"/>
              </w:rPr>
            </w:pPr>
            <w:r w:rsidRPr="00812C6C">
              <w:rPr>
                <w:rFonts w:cs="Arial"/>
                <w:sz w:val="20"/>
                <w:szCs w:val="20"/>
              </w:rPr>
              <w:t xml:space="preserve">9 </w:t>
            </w:r>
            <w:proofErr w:type="spellStart"/>
            <w:r w:rsidRPr="00812C6C">
              <w:rPr>
                <w:rFonts w:cs="Arial"/>
                <w:sz w:val="20"/>
                <w:szCs w:val="20"/>
              </w:rPr>
              <w:t>yo</w:t>
            </w:r>
            <w:proofErr w:type="spellEnd"/>
            <w:r w:rsidRPr="00812C6C">
              <w:rPr>
                <w:rFonts w:cs="Arial"/>
                <w:sz w:val="20"/>
                <w:szCs w:val="20"/>
              </w:rPr>
              <w:t xml:space="preserve"> female, 25 mg/d; discontinued on study day 10; last dose was day 6   </w:t>
            </w:r>
          </w:p>
        </w:tc>
      </w:tr>
      <w:tr w:rsidR="0072606E" w:rsidRPr="00812C6C" w:rsidTr="0093680E">
        <w:trPr>
          <w:trHeight w:val="144"/>
        </w:trPr>
        <w:tc>
          <w:tcPr>
            <w:tcW w:w="3150" w:type="dxa"/>
            <w:tcBorders>
              <w:top w:val="single" w:sz="8" w:space="0" w:color="auto"/>
              <w:left w:val="single" w:sz="8" w:space="0" w:color="auto"/>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ind w:left="252"/>
              <w:outlineLvl w:val="9"/>
              <w:rPr>
                <w:rFonts w:cs="Arial"/>
                <w:sz w:val="20"/>
                <w:szCs w:val="20"/>
              </w:rPr>
            </w:pPr>
            <w:r w:rsidRPr="00812C6C">
              <w:rPr>
                <w:rFonts w:cs="Arial"/>
                <w:sz w:val="20"/>
                <w:szCs w:val="20"/>
              </w:rPr>
              <w:t>Irritability</w:t>
            </w:r>
          </w:p>
        </w:tc>
        <w:tc>
          <w:tcPr>
            <w:tcW w:w="1620" w:type="dxa"/>
            <w:tcBorders>
              <w:top w:val="single" w:sz="8" w:space="0" w:color="auto"/>
              <w:left w:val="single" w:sz="8" w:space="0" w:color="D9D9D9" w:themeColor="background1" w:themeShade="D9"/>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jc w:val="center"/>
              <w:outlineLvl w:val="9"/>
              <w:rPr>
                <w:rFonts w:cs="Arial"/>
                <w:sz w:val="20"/>
                <w:szCs w:val="20"/>
              </w:rPr>
            </w:pPr>
          </w:p>
        </w:tc>
        <w:tc>
          <w:tcPr>
            <w:tcW w:w="1800" w:type="dxa"/>
            <w:tcBorders>
              <w:top w:val="single" w:sz="8" w:space="0" w:color="auto"/>
              <w:left w:val="single" w:sz="8" w:space="0" w:color="D9D9D9" w:themeColor="background1" w:themeShade="D9"/>
              <w:bottom w:val="single" w:sz="8" w:space="0" w:color="auto"/>
              <w:right w:val="single" w:sz="8" w:space="0" w:color="auto"/>
            </w:tcBorders>
          </w:tcPr>
          <w:p w:rsidR="0072606E" w:rsidRPr="00812C6C" w:rsidRDefault="0072606E" w:rsidP="0093680E">
            <w:pPr>
              <w:tabs>
                <w:tab w:val="clear" w:pos="0"/>
              </w:tabs>
              <w:spacing w:line="240" w:lineRule="auto"/>
              <w:jc w:val="center"/>
              <w:outlineLvl w:val="9"/>
              <w:rPr>
                <w:rFonts w:cs="Arial"/>
                <w:sz w:val="20"/>
                <w:szCs w:val="20"/>
              </w:rPr>
            </w:pPr>
            <w:r w:rsidRPr="00812C6C">
              <w:rPr>
                <w:rFonts w:cs="Arial"/>
                <w:sz w:val="20"/>
                <w:szCs w:val="20"/>
              </w:rPr>
              <w:t>1</w:t>
            </w:r>
          </w:p>
        </w:tc>
        <w:tc>
          <w:tcPr>
            <w:tcW w:w="6570" w:type="dxa"/>
            <w:tcBorders>
              <w:top w:val="single" w:sz="8" w:space="0" w:color="auto"/>
              <w:left w:val="single" w:sz="8" w:space="0" w:color="auto"/>
              <w:bottom w:val="single" w:sz="8" w:space="0" w:color="auto"/>
              <w:right w:val="single" w:sz="8" w:space="0" w:color="auto"/>
            </w:tcBorders>
          </w:tcPr>
          <w:p w:rsidR="0072606E" w:rsidRPr="00812C6C" w:rsidRDefault="0072606E" w:rsidP="0093680E">
            <w:pPr>
              <w:tabs>
                <w:tab w:val="clear" w:pos="0"/>
              </w:tabs>
              <w:spacing w:line="240" w:lineRule="auto"/>
              <w:ind w:left="252" w:hanging="180"/>
              <w:outlineLvl w:val="9"/>
              <w:rPr>
                <w:rFonts w:cs="Arial"/>
                <w:sz w:val="20"/>
                <w:szCs w:val="20"/>
              </w:rPr>
            </w:pPr>
            <w:r w:rsidRPr="00812C6C">
              <w:rPr>
                <w:rFonts w:cs="Arial"/>
                <w:sz w:val="20"/>
                <w:szCs w:val="20"/>
              </w:rPr>
              <w:t xml:space="preserve">7 </w:t>
            </w:r>
            <w:proofErr w:type="spellStart"/>
            <w:r w:rsidRPr="00812C6C">
              <w:rPr>
                <w:rFonts w:cs="Arial"/>
                <w:sz w:val="20"/>
                <w:szCs w:val="20"/>
              </w:rPr>
              <w:t>yo</w:t>
            </w:r>
            <w:proofErr w:type="spellEnd"/>
            <w:r w:rsidRPr="00812C6C">
              <w:rPr>
                <w:rFonts w:cs="Arial"/>
                <w:sz w:val="20"/>
                <w:szCs w:val="20"/>
              </w:rPr>
              <w:t xml:space="preserve"> male, 25 mg/d; discontinued study day 64  </w:t>
            </w:r>
          </w:p>
        </w:tc>
      </w:tr>
      <w:tr w:rsidR="0072606E" w:rsidRPr="00812C6C" w:rsidTr="0093680E">
        <w:trPr>
          <w:trHeight w:val="144"/>
        </w:trPr>
        <w:tc>
          <w:tcPr>
            <w:tcW w:w="3150" w:type="dxa"/>
            <w:tcBorders>
              <w:top w:val="single" w:sz="8" w:space="0" w:color="auto"/>
              <w:left w:val="single" w:sz="8" w:space="0" w:color="auto"/>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ind w:left="252"/>
              <w:outlineLvl w:val="9"/>
              <w:rPr>
                <w:rFonts w:cs="Arial"/>
                <w:sz w:val="20"/>
                <w:szCs w:val="20"/>
              </w:rPr>
            </w:pPr>
            <w:r w:rsidRPr="00812C6C">
              <w:rPr>
                <w:rFonts w:cs="Arial"/>
                <w:sz w:val="20"/>
                <w:szCs w:val="20"/>
              </w:rPr>
              <w:lastRenderedPageBreak/>
              <w:t>Suicidal ideation</w:t>
            </w:r>
          </w:p>
        </w:tc>
        <w:tc>
          <w:tcPr>
            <w:tcW w:w="1620" w:type="dxa"/>
            <w:tcBorders>
              <w:top w:val="single" w:sz="8" w:space="0" w:color="auto"/>
              <w:left w:val="single" w:sz="8" w:space="0" w:color="D9D9D9" w:themeColor="background1" w:themeShade="D9"/>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jc w:val="center"/>
              <w:outlineLvl w:val="9"/>
              <w:rPr>
                <w:rFonts w:cs="Arial"/>
                <w:sz w:val="20"/>
                <w:szCs w:val="20"/>
              </w:rPr>
            </w:pPr>
          </w:p>
        </w:tc>
        <w:tc>
          <w:tcPr>
            <w:tcW w:w="1800" w:type="dxa"/>
            <w:tcBorders>
              <w:top w:val="single" w:sz="8" w:space="0" w:color="auto"/>
              <w:left w:val="single" w:sz="8" w:space="0" w:color="D9D9D9" w:themeColor="background1" w:themeShade="D9"/>
              <w:bottom w:val="single" w:sz="8" w:space="0" w:color="auto"/>
              <w:right w:val="single" w:sz="8" w:space="0" w:color="auto"/>
            </w:tcBorders>
          </w:tcPr>
          <w:p w:rsidR="0072606E" w:rsidRPr="00812C6C" w:rsidRDefault="0072606E" w:rsidP="0093680E">
            <w:pPr>
              <w:tabs>
                <w:tab w:val="clear" w:pos="0"/>
              </w:tabs>
              <w:spacing w:line="240" w:lineRule="auto"/>
              <w:jc w:val="center"/>
              <w:outlineLvl w:val="9"/>
              <w:rPr>
                <w:rFonts w:cs="Arial"/>
                <w:sz w:val="20"/>
                <w:szCs w:val="20"/>
              </w:rPr>
            </w:pPr>
            <w:r w:rsidRPr="00812C6C">
              <w:rPr>
                <w:rFonts w:cs="Arial"/>
                <w:sz w:val="20"/>
                <w:szCs w:val="20"/>
              </w:rPr>
              <w:t>1</w:t>
            </w:r>
          </w:p>
        </w:tc>
        <w:tc>
          <w:tcPr>
            <w:tcW w:w="6570" w:type="dxa"/>
            <w:tcBorders>
              <w:top w:val="single" w:sz="8" w:space="0" w:color="auto"/>
              <w:left w:val="single" w:sz="8" w:space="0" w:color="auto"/>
              <w:bottom w:val="single" w:sz="8" w:space="0" w:color="auto"/>
              <w:right w:val="single" w:sz="8" w:space="0" w:color="auto"/>
            </w:tcBorders>
          </w:tcPr>
          <w:p w:rsidR="0072606E" w:rsidRPr="00812C6C" w:rsidRDefault="0072606E" w:rsidP="0093680E">
            <w:pPr>
              <w:tabs>
                <w:tab w:val="clear" w:pos="0"/>
              </w:tabs>
              <w:spacing w:line="240" w:lineRule="auto"/>
              <w:ind w:left="252" w:hanging="180"/>
              <w:outlineLvl w:val="9"/>
              <w:rPr>
                <w:rFonts w:cs="Arial"/>
                <w:sz w:val="20"/>
                <w:szCs w:val="20"/>
              </w:rPr>
            </w:pPr>
            <w:r w:rsidRPr="00812C6C">
              <w:rPr>
                <w:rFonts w:cs="Arial"/>
                <w:sz w:val="20"/>
                <w:szCs w:val="20"/>
              </w:rPr>
              <w:t xml:space="preserve">15 </w:t>
            </w:r>
            <w:proofErr w:type="spellStart"/>
            <w:r w:rsidRPr="00812C6C">
              <w:rPr>
                <w:rFonts w:cs="Arial"/>
                <w:sz w:val="20"/>
                <w:szCs w:val="20"/>
              </w:rPr>
              <w:t>yo</w:t>
            </w:r>
            <w:proofErr w:type="spellEnd"/>
            <w:r w:rsidRPr="00812C6C">
              <w:rPr>
                <w:rFonts w:cs="Arial"/>
                <w:sz w:val="20"/>
                <w:szCs w:val="20"/>
              </w:rPr>
              <w:t xml:space="preserve"> female, 50 mg/d; discontinued study day 53; last dose was day 51  </w:t>
            </w:r>
          </w:p>
        </w:tc>
      </w:tr>
      <w:tr w:rsidR="0072606E" w:rsidRPr="00812C6C" w:rsidTr="0093680E">
        <w:trPr>
          <w:trHeight w:val="144"/>
        </w:trPr>
        <w:tc>
          <w:tcPr>
            <w:tcW w:w="3150" w:type="dxa"/>
            <w:tcBorders>
              <w:top w:val="single" w:sz="8" w:space="0" w:color="auto"/>
              <w:left w:val="single" w:sz="8" w:space="0" w:color="auto"/>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ind w:left="252"/>
              <w:outlineLvl w:val="9"/>
              <w:rPr>
                <w:rFonts w:cs="Arial"/>
                <w:sz w:val="20"/>
                <w:szCs w:val="20"/>
              </w:rPr>
            </w:pPr>
            <w:r w:rsidRPr="00812C6C">
              <w:rPr>
                <w:rFonts w:cs="Arial"/>
                <w:sz w:val="20"/>
                <w:szCs w:val="20"/>
              </w:rPr>
              <w:t>Vomiting</w:t>
            </w:r>
          </w:p>
        </w:tc>
        <w:tc>
          <w:tcPr>
            <w:tcW w:w="1620" w:type="dxa"/>
            <w:tcBorders>
              <w:top w:val="single" w:sz="8" w:space="0" w:color="auto"/>
              <w:left w:val="single" w:sz="8" w:space="0" w:color="D9D9D9" w:themeColor="background1" w:themeShade="D9"/>
              <w:bottom w:val="single" w:sz="8" w:space="0" w:color="auto"/>
              <w:right w:val="single" w:sz="8" w:space="0" w:color="D9D9D9" w:themeColor="background1" w:themeShade="D9"/>
            </w:tcBorders>
          </w:tcPr>
          <w:p w:rsidR="0072606E" w:rsidRPr="00812C6C" w:rsidRDefault="0072606E" w:rsidP="0093680E">
            <w:pPr>
              <w:tabs>
                <w:tab w:val="clear" w:pos="0"/>
              </w:tabs>
              <w:spacing w:line="240" w:lineRule="auto"/>
              <w:jc w:val="center"/>
              <w:outlineLvl w:val="9"/>
              <w:rPr>
                <w:rFonts w:cs="Arial"/>
                <w:sz w:val="20"/>
                <w:szCs w:val="20"/>
              </w:rPr>
            </w:pPr>
          </w:p>
        </w:tc>
        <w:tc>
          <w:tcPr>
            <w:tcW w:w="1800" w:type="dxa"/>
            <w:tcBorders>
              <w:top w:val="single" w:sz="8" w:space="0" w:color="auto"/>
              <w:left w:val="single" w:sz="8" w:space="0" w:color="D9D9D9" w:themeColor="background1" w:themeShade="D9"/>
              <w:bottom w:val="single" w:sz="8" w:space="0" w:color="auto"/>
              <w:right w:val="single" w:sz="8" w:space="0" w:color="auto"/>
            </w:tcBorders>
          </w:tcPr>
          <w:p w:rsidR="0072606E" w:rsidRPr="00812C6C" w:rsidRDefault="0072606E" w:rsidP="0093680E">
            <w:pPr>
              <w:tabs>
                <w:tab w:val="clear" w:pos="0"/>
              </w:tabs>
              <w:spacing w:line="240" w:lineRule="auto"/>
              <w:jc w:val="center"/>
              <w:outlineLvl w:val="9"/>
              <w:rPr>
                <w:rFonts w:cs="Arial"/>
                <w:sz w:val="20"/>
                <w:szCs w:val="20"/>
              </w:rPr>
            </w:pPr>
            <w:r w:rsidRPr="00812C6C">
              <w:rPr>
                <w:rFonts w:cs="Arial"/>
                <w:sz w:val="20"/>
                <w:szCs w:val="20"/>
              </w:rPr>
              <w:t>1</w:t>
            </w:r>
          </w:p>
        </w:tc>
        <w:tc>
          <w:tcPr>
            <w:tcW w:w="6570" w:type="dxa"/>
            <w:tcBorders>
              <w:top w:val="single" w:sz="8" w:space="0" w:color="auto"/>
              <w:left w:val="single" w:sz="8" w:space="0" w:color="auto"/>
              <w:bottom w:val="single" w:sz="8" w:space="0" w:color="auto"/>
              <w:right w:val="single" w:sz="8" w:space="0" w:color="auto"/>
            </w:tcBorders>
          </w:tcPr>
          <w:p w:rsidR="0072606E" w:rsidRPr="00812C6C" w:rsidRDefault="0072606E" w:rsidP="0093680E">
            <w:pPr>
              <w:tabs>
                <w:tab w:val="clear" w:pos="0"/>
              </w:tabs>
              <w:spacing w:line="240" w:lineRule="auto"/>
              <w:ind w:left="252" w:hanging="180"/>
              <w:outlineLvl w:val="9"/>
              <w:rPr>
                <w:rFonts w:cs="Arial"/>
                <w:sz w:val="20"/>
                <w:szCs w:val="20"/>
              </w:rPr>
            </w:pPr>
            <w:r w:rsidRPr="00812C6C">
              <w:rPr>
                <w:rFonts w:cs="Arial"/>
                <w:sz w:val="20"/>
                <w:szCs w:val="20"/>
              </w:rPr>
              <w:t xml:space="preserve">14 </w:t>
            </w:r>
            <w:proofErr w:type="spellStart"/>
            <w:r w:rsidRPr="00812C6C">
              <w:rPr>
                <w:rFonts w:cs="Arial"/>
                <w:sz w:val="20"/>
                <w:szCs w:val="20"/>
              </w:rPr>
              <w:t>yo</w:t>
            </w:r>
            <w:proofErr w:type="spellEnd"/>
            <w:r w:rsidRPr="00812C6C">
              <w:rPr>
                <w:rFonts w:cs="Arial"/>
                <w:sz w:val="20"/>
                <w:szCs w:val="20"/>
              </w:rPr>
              <w:t xml:space="preserve"> female, 25 mg/d; discontinued study day 6; last dose was day 5  </w:t>
            </w:r>
          </w:p>
        </w:tc>
      </w:tr>
    </w:tbl>
    <w:p w:rsidR="0072606E" w:rsidRPr="00812C6C" w:rsidRDefault="0072606E" w:rsidP="0072606E">
      <w:pPr>
        <w:tabs>
          <w:tab w:val="clear" w:pos="0"/>
        </w:tabs>
        <w:spacing w:line="240" w:lineRule="auto"/>
        <w:outlineLvl w:val="9"/>
        <w:rPr>
          <w:rFonts w:cs="Arial"/>
          <w:sz w:val="20"/>
          <w:szCs w:val="20"/>
        </w:rPr>
      </w:pPr>
      <w:r w:rsidRPr="00812C6C">
        <w:rPr>
          <w:sz w:val="20"/>
          <w:szCs w:val="20"/>
        </w:rPr>
        <w:t xml:space="preserve">ER, </w:t>
      </w:r>
      <w:r w:rsidRPr="00812C6C">
        <w:rPr>
          <w:rFonts w:cs="Arial"/>
          <w:sz w:val="20"/>
          <w:szCs w:val="20"/>
        </w:rPr>
        <w:t xml:space="preserve">emergency room; </w:t>
      </w:r>
      <w:proofErr w:type="spellStart"/>
      <w:r w:rsidRPr="00812C6C">
        <w:rPr>
          <w:rFonts w:cs="Arial"/>
          <w:sz w:val="20"/>
          <w:szCs w:val="20"/>
        </w:rPr>
        <w:t>yo</w:t>
      </w:r>
      <w:proofErr w:type="spellEnd"/>
      <w:r w:rsidRPr="00812C6C">
        <w:rPr>
          <w:rFonts w:cs="Arial"/>
          <w:sz w:val="20"/>
          <w:szCs w:val="20"/>
        </w:rPr>
        <w:t>, year old.</w:t>
      </w:r>
    </w:p>
    <w:p w:rsidR="0072606E" w:rsidRPr="00812C6C" w:rsidRDefault="0072606E" w:rsidP="0072606E">
      <w:pPr>
        <w:tabs>
          <w:tab w:val="clear" w:pos="0"/>
        </w:tabs>
        <w:spacing w:line="240" w:lineRule="auto"/>
        <w:outlineLvl w:val="9"/>
        <w:rPr>
          <w:sz w:val="20"/>
          <w:szCs w:val="20"/>
        </w:rPr>
      </w:pPr>
      <w:r w:rsidRPr="00812C6C">
        <w:rPr>
          <w:sz w:val="20"/>
          <w:szCs w:val="20"/>
          <w:vertAlign w:val="superscript"/>
        </w:rPr>
        <w:t>*</w:t>
      </w:r>
      <w:r w:rsidRPr="00812C6C">
        <w:rPr>
          <w:sz w:val="20"/>
          <w:szCs w:val="20"/>
        </w:rPr>
        <w:t>Sites were instructed that if the reason for withdrawal included two or more adverse events, the most serious adverse event was considered the primary reason for withdrawal.</w:t>
      </w:r>
    </w:p>
    <w:p w:rsidR="0072606E" w:rsidRPr="00812C6C" w:rsidRDefault="0072606E" w:rsidP="0072606E">
      <w:pPr>
        <w:tabs>
          <w:tab w:val="clear" w:pos="0"/>
        </w:tabs>
        <w:spacing w:line="240" w:lineRule="auto"/>
        <w:outlineLvl w:val="9"/>
        <w:rPr>
          <w:sz w:val="20"/>
          <w:szCs w:val="20"/>
        </w:rPr>
      </w:pPr>
      <w:r w:rsidRPr="00812C6C">
        <w:rPr>
          <w:rFonts w:cs="Arial"/>
          <w:sz w:val="20"/>
          <w:szCs w:val="20"/>
          <w:vertAlign w:val="superscript"/>
        </w:rPr>
        <w:t>†</w:t>
      </w:r>
      <w:r w:rsidRPr="00812C6C">
        <w:rPr>
          <w:sz w:val="20"/>
          <w:szCs w:val="20"/>
        </w:rPr>
        <w:t>The dose listed is desvenlafaxine dose at the time of the event, or the last desvenlafaxine dose taken prior to the event for events that occurred post-therapy; day of last dose is reported where it differed from day of discontinuation.</w:t>
      </w:r>
    </w:p>
    <w:p w:rsidR="0072606E" w:rsidRPr="00812C6C" w:rsidRDefault="0072606E" w:rsidP="0072606E">
      <w:pPr>
        <w:tabs>
          <w:tab w:val="clear" w:pos="0"/>
        </w:tabs>
        <w:spacing w:line="240" w:lineRule="auto"/>
        <w:outlineLvl w:val="9"/>
      </w:pPr>
    </w:p>
    <w:p w:rsidR="00FC210C" w:rsidRDefault="00FC210C"/>
    <w:sectPr w:rsidR="00FC210C" w:rsidSect="0072606E">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3A8" w:rsidRDefault="000F73A8" w:rsidP="000F73A8">
      <w:pPr>
        <w:spacing w:line="240" w:lineRule="auto"/>
      </w:pPr>
      <w:r>
        <w:separator/>
      </w:r>
    </w:p>
  </w:endnote>
  <w:endnote w:type="continuationSeparator" w:id="0">
    <w:p w:rsidR="000F73A8" w:rsidRDefault="000F73A8" w:rsidP="000F7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3A8" w:rsidRDefault="000F73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3A8" w:rsidRDefault="000F73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3A8" w:rsidRDefault="000F7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3A8" w:rsidRDefault="000F73A8" w:rsidP="000F73A8">
      <w:pPr>
        <w:spacing w:line="240" w:lineRule="auto"/>
      </w:pPr>
      <w:r>
        <w:separator/>
      </w:r>
    </w:p>
  </w:footnote>
  <w:footnote w:type="continuationSeparator" w:id="0">
    <w:p w:rsidR="000F73A8" w:rsidRDefault="000F73A8" w:rsidP="000F73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3A8" w:rsidRDefault="000F73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3A8" w:rsidRDefault="000F73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3A8" w:rsidRDefault="000F73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06E"/>
    <w:rsid w:val="000F73A8"/>
    <w:rsid w:val="0072606E"/>
    <w:rsid w:val="00FC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06E"/>
    <w:pPr>
      <w:tabs>
        <w:tab w:val="left" w:pos="0"/>
      </w:tabs>
      <w:spacing w:after="0" w:line="480" w:lineRule="auto"/>
      <w:outlineLvl w:val="0"/>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A8"/>
    <w:pPr>
      <w:tabs>
        <w:tab w:val="clear" w:pos="0"/>
        <w:tab w:val="center" w:pos="4680"/>
        <w:tab w:val="right" w:pos="9360"/>
      </w:tabs>
      <w:spacing w:line="240" w:lineRule="auto"/>
    </w:pPr>
  </w:style>
  <w:style w:type="character" w:customStyle="1" w:styleId="HeaderChar">
    <w:name w:val="Header Char"/>
    <w:basedOn w:val="DefaultParagraphFont"/>
    <w:link w:val="Header"/>
    <w:uiPriority w:val="99"/>
    <w:rsid w:val="000F73A8"/>
    <w:rPr>
      <w:rFonts w:ascii="Arial" w:eastAsia="Times New Roman" w:hAnsi="Arial" w:cs="Times New Roman"/>
      <w:sz w:val="24"/>
      <w:szCs w:val="24"/>
    </w:rPr>
  </w:style>
  <w:style w:type="paragraph" w:styleId="Footer">
    <w:name w:val="footer"/>
    <w:basedOn w:val="Normal"/>
    <w:link w:val="FooterChar"/>
    <w:uiPriority w:val="99"/>
    <w:unhideWhenUsed/>
    <w:rsid w:val="000F73A8"/>
    <w:pPr>
      <w:tabs>
        <w:tab w:val="clear" w:pos="0"/>
        <w:tab w:val="center" w:pos="4680"/>
        <w:tab w:val="right" w:pos="9360"/>
      </w:tabs>
      <w:spacing w:line="240" w:lineRule="auto"/>
    </w:pPr>
  </w:style>
  <w:style w:type="character" w:customStyle="1" w:styleId="FooterChar">
    <w:name w:val="Footer Char"/>
    <w:basedOn w:val="DefaultParagraphFont"/>
    <w:link w:val="Footer"/>
    <w:uiPriority w:val="99"/>
    <w:rsid w:val="000F73A8"/>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06E"/>
    <w:pPr>
      <w:tabs>
        <w:tab w:val="left" w:pos="0"/>
      </w:tabs>
      <w:spacing w:after="0" w:line="480" w:lineRule="auto"/>
      <w:outlineLvl w:val="0"/>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A8"/>
    <w:pPr>
      <w:tabs>
        <w:tab w:val="clear" w:pos="0"/>
        <w:tab w:val="center" w:pos="4680"/>
        <w:tab w:val="right" w:pos="9360"/>
      </w:tabs>
      <w:spacing w:line="240" w:lineRule="auto"/>
    </w:pPr>
  </w:style>
  <w:style w:type="character" w:customStyle="1" w:styleId="HeaderChar">
    <w:name w:val="Header Char"/>
    <w:basedOn w:val="DefaultParagraphFont"/>
    <w:link w:val="Header"/>
    <w:uiPriority w:val="99"/>
    <w:rsid w:val="000F73A8"/>
    <w:rPr>
      <w:rFonts w:ascii="Arial" w:eastAsia="Times New Roman" w:hAnsi="Arial" w:cs="Times New Roman"/>
      <w:sz w:val="24"/>
      <w:szCs w:val="24"/>
    </w:rPr>
  </w:style>
  <w:style w:type="paragraph" w:styleId="Footer">
    <w:name w:val="footer"/>
    <w:basedOn w:val="Normal"/>
    <w:link w:val="FooterChar"/>
    <w:uiPriority w:val="99"/>
    <w:unhideWhenUsed/>
    <w:rsid w:val="000F73A8"/>
    <w:pPr>
      <w:tabs>
        <w:tab w:val="clear" w:pos="0"/>
        <w:tab w:val="center" w:pos="4680"/>
        <w:tab w:val="right" w:pos="9360"/>
      </w:tabs>
      <w:spacing w:line="240" w:lineRule="auto"/>
    </w:pPr>
  </w:style>
  <w:style w:type="character" w:customStyle="1" w:styleId="FooterChar">
    <w:name w:val="Footer Char"/>
    <w:basedOn w:val="DefaultParagraphFont"/>
    <w:link w:val="Footer"/>
    <w:uiPriority w:val="99"/>
    <w:rsid w:val="000F73A8"/>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2018-04-13T19:00:00Z</dcterms:created>
  <dcterms:modified xsi:type="dcterms:W3CDTF">2018-04-13T19:01:00Z</dcterms:modified>
</cp:coreProperties>
</file>