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835"/>
        <w:gridCol w:w="2627"/>
        <w:gridCol w:w="1774"/>
        <w:gridCol w:w="1774"/>
      </w:tblGrid>
      <w:tr w:rsidR="0030207F" w:rsidRPr="004A42CE" w14:paraId="4310B786" w14:textId="77777777" w:rsidTr="005771D6">
        <w:tc>
          <w:tcPr>
            <w:tcW w:w="3092" w:type="dxa"/>
            <w:shd w:val="clear" w:color="auto" w:fill="000000"/>
          </w:tcPr>
          <w:p w14:paraId="6B77A6BE" w14:textId="77777777" w:rsidR="00034448" w:rsidRPr="004A42CE" w:rsidRDefault="00034448" w:rsidP="005771D6">
            <w:bookmarkStart w:id="0" w:name="_GoBack"/>
            <w:r w:rsidRPr="004A42CE">
              <w:t>Site (Name or Number)</w:t>
            </w:r>
          </w:p>
        </w:tc>
        <w:tc>
          <w:tcPr>
            <w:tcW w:w="2086" w:type="dxa"/>
            <w:shd w:val="clear" w:color="auto" w:fill="000000"/>
          </w:tcPr>
          <w:p w14:paraId="6844AECC" w14:textId="77777777" w:rsidR="00034448" w:rsidRPr="004A42CE" w:rsidRDefault="00034448" w:rsidP="005771D6"/>
        </w:tc>
        <w:tc>
          <w:tcPr>
            <w:tcW w:w="2086" w:type="dxa"/>
            <w:shd w:val="clear" w:color="auto" w:fill="000000"/>
          </w:tcPr>
          <w:p w14:paraId="2DF2B7FB" w14:textId="77777777" w:rsidR="00034448" w:rsidRPr="004A42CE" w:rsidRDefault="00034448" w:rsidP="005771D6"/>
        </w:tc>
        <w:tc>
          <w:tcPr>
            <w:tcW w:w="2086" w:type="dxa"/>
            <w:shd w:val="clear" w:color="auto" w:fill="000000"/>
          </w:tcPr>
          <w:p w14:paraId="5388D2ED" w14:textId="77777777" w:rsidR="00034448" w:rsidRPr="004A42CE" w:rsidRDefault="00034448" w:rsidP="005771D6"/>
        </w:tc>
      </w:tr>
      <w:tr w:rsidR="0030207F" w:rsidRPr="004A42CE" w14:paraId="059874A1" w14:textId="77777777" w:rsidTr="005771D6">
        <w:tc>
          <w:tcPr>
            <w:tcW w:w="3092" w:type="dxa"/>
            <w:shd w:val="clear" w:color="auto" w:fill="000000"/>
          </w:tcPr>
          <w:p w14:paraId="735D58F5" w14:textId="77777777" w:rsidR="00034448" w:rsidRPr="004A42CE" w:rsidRDefault="00034448" w:rsidP="005771D6">
            <w:r w:rsidRPr="004A42CE">
              <w:t>1. Hardware</w:t>
            </w:r>
          </w:p>
        </w:tc>
        <w:tc>
          <w:tcPr>
            <w:tcW w:w="2086" w:type="dxa"/>
            <w:shd w:val="clear" w:color="auto" w:fill="000000"/>
          </w:tcPr>
          <w:p w14:paraId="5F2AA191" w14:textId="77777777" w:rsidR="00034448" w:rsidRPr="004A42CE" w:rsidRDefault="00034448" w:rsidP="005771D6"/>
        </w:tc>
        <w:tc>
          <w:tcPr>
            <w:tcW w:w="2086" w:type="dxa"/>
            <w:shd w:val="clear" w:color="auto" w:fill="000000"/>
          </w:tcPr>
          <w:p w14:paraId="01852D8B" w14:textId="77777777" w:rsidR="00034448" w:rsidRPr="004A42CE" w:rsidRDefault="00034448" w:rsidP="005771D6"/>
        </w:tc>
        <w:tc>
          <w:tcPr>
            <w:tcW w:w="2086" w:type="dxa"/>
            <w:shd w:val="clear" w:color="auto" w:fill="000000"/>
          </w:tcPr>
          <w:p w14:paraId="6D30D641" w14:textId="77777777" w:rsidR="00034448" w:rsidRPr="004A42CE" w:rsidRDefault="00034448" w:rsidP="005771D6"/>
        </w:tc>
      </w:tr>
      <w:tr w:rsidR="0030207F" w:rsidRPr="004A42CE" w14:paraId="1C8E409E" w14:textId="77777777" w:rsidTr="005771D6">
        <w:tc>
          <w:tcPr>
            <w:tcW w:w="3092" w:type="dxa"/>
          </w:tcPr>
          <w:p w14:paraId="44BEEAA0" w14:textId="77777777" w:rsidR="00034448" w:rsidRPr="004A42CE" w:rsidRDefault="00034448" w:rsidP="005771D6">
            <w:r w:rsidRPr="004A42CE">
              <w:t>a. Field strength [T]</w:t>
            </w:r>
          </w:p>
        </w:tc>
        <w:tc>
          <w:tcPr>
            <w:tcW w:w="2086" w:type="dxa"/>
          </w:tcPr>
          <w:p w14:paraId="6B3BE76C" w14:textId="4E051296" w:rsidR="00034448" w:rsidRPr="004A42CE" w:rsidRDefault="0030207F" w:rsidP="005771D6">
            <w:r w:rsidRPr="004A42CE">
              <w:t xml:space="preserve">3 T </w:t>
            </w:r>
          </w:p>
        </w:tc>
        <w:tc>
          <w:tcPr>
            <w:tcW w:w="2086" w:type="dxa"/>
          </w:tcPr>
          <w:p w14:paraId="7429F844" w14:textId="77777777" w:rsidR="00034448" w:rsidRPr="004A42CE" w:rsidRDefault="00034448" w:rsidP="005771D6"/>
        </w:tc>
        <w:tc>
          <w:tcPr>
            <w:tcW w:w="2086" w:type="dxa"/>
          </w:tcPr>
          <w:p w14:paraId="09264769" w14:textId="77777777" w:rsidR="00034448" w:rsidRPr="004A42CE" w:rsidRDefault="00034448" w:rsidP="005771D6"/>
        </w:tc>
      </w:tr>
      <w:tr w:rsidR="0030207F" w:rsidRPr="004A42CE" w14:paraId="171BE6B9" w14:textId="77777777" w:rsidTr="005771D6">
        <w:tc>
          <w:tcPr>
            <w:tcW w:w="3092" w:type="dxa"/>
          </w:tcPr>
          <w:p w14:paraId="1851AD17" w14:textId="77777777" w:rsidR="00034448" w:rsidRPr="004A42CE" w:rsidRDefault="00034448" w:rsidP="005771D6">
            <w:r w:rsidRPr="004A42CE">
              <w:t xml:space="preserve">b. Manufacturer </w:t>
            </w:r>
          </w:p>
        </w:tc>
        <w:tc>
          <w:tcPr>
            <w:tcW w:w="2086" w:type="dxa"/>
          </w:tcPr>
          <w:p w14:paraId="106A0DF8" w14:textId="169BBECD" w:rsidR="00034448" w:rsidRPr="004A42CE" w:rsidRDefault="0030207F" w:rsidP="005771D6">
            <w:r w:rsidRPr="004A42CE">
              <w:t>Siemens</w:t>
            </w:r>
          </w:p>
        </w:tc>
        <w:tc>
          <w:tcPr>
            <w:tcW w:w="2086" w:type="dxa"/>
          </w:tcPr>
          <w:p w14:paraId="4FA6A8ED" w14:textId="77777777" w:rsidR="00034448" w:rsidRPr="004A42CE" w:rsidRDefault="00034448" w:rsidP="005771D6"/>
        </w:tc>
        <w:tc>
          <w:tcPr>
            <w:tcW w:w="2086" w:type="dxa"/>
          </w:tcPr>
          <w:p w14:paraId="47AB7107" w14:textId="77777777" w:rsidR="00034448" w:rsidRPr="004A42CE" w:rsidRDefault="00034448" w:rsidP="005771D6"/>
        </w:tc>
      </w:tr>
      <w:tr w:rsidR="0030207F" w:rsidRPr="004A42CE" w14:paraId="4C12138B" w14:textId="77777777" w:rsidTr="005771D6">
        <w:tc>
          <w:tcPr>
            <w:tcW w:w="3092" w:type="dxa"/>
          </w:tcPr>
          <w:p w14:paraId="246EFE22" w14:textId="77777777" w:rsidR="00034448" w:rsidRPr="004A42CE" w:rsidRDefault="00034448" w:rsidP="005771D6">
            <w:r w:rsidRPr="004A42CE">
              <w:t>c. Model (software version if available)</w:t>
            </w:r>
          </w:p>
        </w:tc>
        <w:tc>
          <w:tcPr>
            <w:tcW w:w="2086" w:type="dxa"/>
          </w:tcPr>
          <w:p w14:paraId="5118174C" w14:textId="05A7C615" w:rsidR="00034448" w:rsidRPr="004A42CE" w:rsidRDefault="0030207F" w:rsidP="005771D6">
            <w:proofErr w:type="spellStart"/>
            <w:r w:rsidRPr="004A42CE">
              <w:rPr>
                <w:lang w:val="en-GB"/>
              </w:rPr>
              <w:t>Magnetom</w:t>
            </w:r>
            <w:proofErr w:type="spellEnd"/>
            <w:r w:rsidRPr="004A42CE">
              <w:rPr>
                <w:lang w:val="en-GB"/>
              </w:rPr>
              <w:t xml:space="preserve"> </w:t>
            </w:r>
            <w:proofErr w:type="spellStart"/>
            <w:r w:rsidRPr="004A42CE">
              <w:rPr>
                <w:lang w:val="en-GB"/>
              </w:rPr>
              <w:t>Skyra</w:t>
            </w:r>
            <w:proofErr w:type="spellEnd"/>
            <w:r w:rsidRPr="004A42CE">
              <w:rPr>
                <w:lang w:val="en-GB"/>
              </w:rPr>
              <w:t xml:space="preserve"> Software version </w:t>
            </w:r>
            <w:r w:rsidRPr="004A42CE">
              <w:t>VD13</w:t>
            </w:r>
          </w:p>
        </w:tc>
        <w:tc>
          <w:tcPr>
            <w:tcW w:w="2086" w:type="dxa"/>
          </w:tcPr>
          <w:p w14:paraId="24429A40" w14:textId="77777777" w:rsidR="00034448" w:rsidRPr="004A42CE" w:rsidRDefault="00034448" w:rsidP="005771D6"/>
        </w:tc>
        <w:tc>
          <w:tcPr>
            <w:tcW w:w="2086" w:type="dxa"/>
          </w:tcPr>
          <w:p w14:paraId="2A244259" w14:textId="77777777" w:rsidR="00034448" w:rsidRPr="004A42CE" w:rsidRDefault="00034448" w:rsidP="005771D6"/>
        </w:tc>
      </w:tr>
      <w:tr w:rsidR="0030207F" w:rsidRPr="004A42CE" w14:paraId="7CB0CC08" w14:textId="77777777" w:rsidTr="005771D6">
        <w:tc>
          <w:tcPr>
            <w:tcW w:w="3092" w:type="dxa"/>
          </w:tcPr>
          <w:p w14:paraId="6C8492B6" w14:textId="77777777" w:rsidR="00034448" w:rsidRPr="004A42CE" w:rsidRDefault="00034448" w:rsidP="005771D6">
            <w:r w:rsidRPr="004A42CE">
              <w:t>d. RF coils: nuclei (transmit/ receive), number of channels, type, body part</w:t>
            </w:r>
          </w:p>
        </w:tc>
        <w:tc>
          <w:tcPr>
            <w:tcW w:w="2086" w:type="dxa"/>
          </w:tcPr>
          <w:p w14:paraId="34FD3A71" w14:textId="3B684E36" w:rsidR="00034448" w:rsidRPr="004A42CE" w:rsidRDefault="0030207F" w:rsidP="005771D6">
            <w:r w:rsidRPr="004A42CE">
              <w:t xml:space="preserve">Body transmit, 32 channel head </w:t>
            </w:r>
            <w:proofErr w:type="gramStart"/>
            <w:r w:rsidRPr="004A42CE">
              <w:t>coil</w:t>
            </w:r>
            <w:proofErr w:type="gramEnd"/>
          </w:p>
        </w:tc>
        <w:tc>
          <w:tcPr>
            <w:tcW w:w="2086" w:type="dxa"/>
          </w:tcPr>
          <w:p w14:paraId="71B7D14C" w14:textId="77777777" w:rsidR="00034448" w:rsidRPr="004A42CE" w:rsidRDefault="00034448" w:rsidP="005771D6"/>
        </w:tc>
        <w:tc>
          <w:tcPr>
            <w:tcW w:w="2086" w:type="dxa"/>
          </w:tcPr>
          <w:p w14:paraId="33E53F0E" w14:textId="77777777" w:rsidR="00034448" w:rsidRPr="004A42CE" w:rsidRDefault="00034448" w:rsidP="005771D6"/>
        </w:tc>
      </w:tr>
      <w:tr w:rsidR="0030207F" w:rsidRPr="004A42CE" w14:paraId="70202E2B" w14:textId="77777777" w:rsidTr="005771D6">
        <w:tc>
          <w:tcPr>
            <w:tcW w:w="3092" w:type="dxa"/>
          </w:tcPr>
          <w:p w14:paraId="259047D8" w14:textId="77777777" w:rsidR="00034448" w:rsidRPr="004A42CE" w:rsidRDefault="00034448" w:rsidP="005771D6">
            <w:r w:rsidRPr="004A42CE">
              <w:t>e. Additional hardware</w:t>
            </w:r>
          </w:p>
        </w:tc>
        <w:tc>
          <w:tcPr>
            <w:tcW w:w="2086" w:type="dxa"/>
          </w:tcPr>
          <w:p w14:paraId="2B20E38A" w14:textId="77777777" w:rsidR="00034448" w:rsidRPr="004A42CE" w:rsidRDefault="00034448" w:rsidP="005771D6"/>
        </w:tc>
        <w:tc>
          <w:tcPr>
            <w:tcW w:w="2086" w:type="dxa"/>
          </w:tcPr>
          <w:p w14:paraId="27C5F635" w14:textId="77777777" w:rsidR="00034448" w:rsidRPr="004A42CE" w:rsidRDefault="00034448" w:rsidP="005771D6"/>
        </w:tc>
        <w:tc>
          <w:tcPr>
            <w:tcW w:w="2086" w:type="dxa"/>
          </w:tcPr>
          <w:p w14:paraId="70831742" w14:textId="77777777" w:rsidR="00034448" w:rsidRPr="004A42CE" w:rsidRDefault="00034448" w:rsidP="005771D6"/>
        </w:tc>
      </w:tr>
      <w:tr w:rsidR="0030207F" w:rsidRPr="004A42CE" w14:paraId="4984F6C6" w14:textId="77777777" w:rsidTr="005771D6">
        <w:tc>
          <w:tcPr>
            <w:tcW w:w="3092" w:type="dxa"/>
            <w:shd w:val="clear" w:color="auto" w:fill="000000"/>
          </w:tcPr>
          <w:p w14:paraId="1D9816BE" w14:textId="77777777" w:rsidR="00034448" w:rsidRPr="004A42CE" w:rsidRDefault="00034448" w:rsidP="005771D6">
            <w:r w:rsidRPr="004A42CE">
              <w:t xml:space="preserve">2. Acquisition </w:t>
            </w:r>
          </w:p>
        </w:tc>
        <w:tc>
          <w:tcPr>
            <w:tcW w:w="2086" w:type="dxa"/>
            <w:shd w:val="clear" w:color="auto" w:fill="000000"/>
          </w:tcPr>
          <w:p w14:paraId="6EAD38E2" w14:textId="77777777" w:rsidR="00034448" w:rsidRPr="004A42CE" w:rsidRDefault="00034448" w:rsidP="005771D6"/>
        </w:tc>
        <w:tc>
          <w:tcPr>
            <w:tcW w:w="2086" w:type="dxa"/>
            <w:shd w:val="clear" w:color="auto" w:fill="000000"/>
          </w:tcPr>
          <w:p w14:paraId="066C2958" w14:textId="77777777" w:rsidR="00034448" w:rsidRPr="004A42CE" w:rsidRDefault="00034448" w:rsidP="005771D6"/>
        </w:tc>
        <w:tc>
          <w:tcPr>
            <w:tcW w:w="2086" w:type="dxa"/>
            <w:shd w:val="clear" w:color="auto" w:fill="000000"/>
          </w:tcPr>
          <w:p w14:paraId="7E7AD687" w14:textId="77777777" w:rsidR="00034448" w:rsidRPr="004A42CE" w:rsidRDefault="00034448" w:rsidP="005771D6"/>
        </w:tc>
      </w:tr>
      <w:tr w:rsidR="0030207F" w:rsidRPr="004A42CE" w14:paraId="34660728" w14:textId="77777777" w:rsidTr="005771D6">
        <w:tc>
          <w:tcPr>
            <w:tcW w:w="3092" w:type="dxa"/>
          </w:tcPr>
          <w:p w14:paraId="0CFBDBFB" w14:textId="77777777" w:rsidR="00034448" w:rsidRPr="004A42CE" w:rsidRDefault="00034448" w:rsidP="005771D6">
            <w:r w:rsidRPr="004A42CE">
              <w:t xml:space="preserve">a. Pulse sequence </w:t>
            </w:r>
          </w:p>
        </w:tc>
        <w:tc>
          <w:tcPr>
            <w:tcW w:w="2086" w:type="dxa"/>
          </w:tcPr>
          <w:p w14:paraId="3532DBB0" w14:textId="5E38855B" w:rsidR="00034448" w:rsidRPr="004A42CE" w:rsidRDefault="0030207F" w:rsidP="005771D6">
            <w:r w:rsidRPr="004A42CE">
              <w:t>MEGA-PRESS (</w:t>
            </w:r>
            <w:r w:rsidRPr="004A42CE">
              <w:rPr>
                <w:lang w:val="en-GB"/>
              </w:rPr>
              <w:t>provided by the CMRR at the University of Minnesota under a C2P agreement)</w:t>
            </w:r>
          </w:p>
        </w:tc>
        <w:tc>
          <w:tcPr>
            <w:tcW w:w="2086" w:type="dxa"/>
          </w:tcPr>
          <w:p w14:paraId="7B22CEEB" w14:textId="77777777" w:rsidR="00034448" w:rsidRPr="004A42CE" w:rsidRDefault="00034448" w:rsidP="005771D6"/>
        </w:tc>
        <w:tc>
          <w:tcPr>
            <w:tcW w:w="2086" w:type="dxa"/>
          </w:tcPr>
          <w:p w14:paraId="0169015D" w14:textId="77777777" w:rsidR="00034448" w:rsidRPr="004A42CE" w:rsidRDefault="00034448" w:rsidP="005771D6"/>
        </w:tc>
      </w:tr>
      <w:tr w:rsidR="0030207F" w:rsidRPr="004A42CE" w14:paraId="6EAABE7E" w14:textId="77777777" w:rsidTr="005771D6">
        <w:tc>
          <w:tcPr>
            <w:tcW w:w="3092" w:type="dxa"/>
          </w:tcPr>
          <w:p w14:paraId="492D501D" w14:textId="77777777" w:rsidR="00034448" w:rsidRPr="004A42CE" w:rsidRDefault="00034448" w:rsidP="005771D6">
            <w:r w:rsidRPr="004A42CE">
              <w:t xml:space="preserve">b. Volume of Interest (VOI) locations </w:t>
            </w:r>
          </w:p>
        </w:tc>
        <w:tc>
          <w:tcPr>
            <w:tcW w:w="2086" w:type="dxa"/>
          </w:tcPr>
          <w:p w14:paraId="1F425911" w14:textId="4C6E3EB2" w:rsidR="00034448" w:rsidRPr="004A42CE" w:rsidRDefault="0030207F" w:rsidP="005771D6">
            <w:r w:rsidRPr="004A42CE">
              <w:t>Dorsal ACC, Right DLPFC, Bilaterally in the occipital lobe.</w:t>
            </w:r>
          </w:p>
          <w:p w14:paraId="6A6751EB" w14:textId="58A56FFB" w:rsidR="0030207F" w:rsidRPr="004A42CE" w:rsidRDefault="0030207F" w:rsidP="005771D6">
            <w:r w:rsidRPr="004A42CE">
              <w:t>See figure 1 for mean voxel locations across all participants</w:t>
            </w:r>
          </w:p>
        </w:tc>
        <w:tc>
          <w:tcPr>
            <w:tcW w:w="2086" w:type="dxa"/>
          </w:tcPr>
          <w:p w14:paraId="18BEA3C0" w14:textId="77777777" w:rsidR="00034448" w:rsidRPr="004A42CE" w:rsidRDefault="00034448" w:rsidP="005771D6"/>
        </w:tc>
        <w:tc>
          <w:tcPr>
            <w:tcW w:w="2086" w:type="dxa"/>
          </w:tcPr>
          <w:p w14:paraId="649CCE7F" w14:textId="77777777" w:rsidR="00034448" w:rsidRPr="004A42CE" w:rsidRDefault="00034448" w:rsidP="005771D6"/>
        </w:tc>
      </w:tr>
      <w:tr w:rsidR="0030207F" w:rsidRPr="004A42CE" w14:paraId="547CEC83" w14:textId="77777777" w:rsidTr="005771D6">
        <w:tc>
          <w:tcPr>
            <w:tcW w:w="3092" w:type="dxa"/>
          </w:tcPr>
          <w:p w14:paraId="275AD83E" w14:textId="77777777" w:rsidR="00034448" w:rsidRPr="004A42CE" w:rsidRDefault="00034448" w:rsidP="005771D6">
            <w:pPr>
              <w:rPr>
                <w:lang w:val="fr-FR"/>
              </w:rPr>
            </w:pPr>
            <w:r w:rsidRPr="004A42CE">
              <w:rPr>
                <w:lang w:val="fr-FR"/>
              </w:rPr>
              <w:t>c. Nominal VOI size [cm</w:t>
            </w:r>
            <w:r w:rsidRPr="004A42CE">
              <w:rPr>
                <w:vertAlign w:val="superscript"/>
                <w:lang w:val="fr-FR"/>
              </w:rPr>
              <w:t>3</w:t>
            </w:r>
            <w:r w:rsidRPr="004A42CE">
              <w:rPr>
                <w:lang w:val="fr-FR"/>
              </w:rPr>
              <w:t>, mm</w:t>
            </w:r>
            <w:r w:rsidRPr="004A42CE">
              <w:rPr>
                <w:vertAlign w:val="superscript"/>
                <w:lang w:val="fr-FR"/>
              </w:rPr>
              <w:t>3</w:t>
            </w:r>
            <w:r w:rsidRPr="004A42CE">
              <w:rPr>
                <w:lang w:val="fr-FR"/>
              </w:rPr>
              <w:t>]</w:t>
            </w:r>
          </w:p>
        </w:tc>
        <w:tc>
          <w:tcPr>
            <w:tcW w:w="2086" w:type="dxa"/>
          </w:tcPr>
          <w:p w14:paraId="0A96ACB8" w14:textId="77777777" w:rsidR="00034448" w:rsidRPr="004A42CE" w:rsidRDefault="0030207F" w:rsidP="005771D6">
            <w:pPr>
              <w:rPr>
                <w:lang w:val="en-GB"/>
              </w:rPr>
            </w:pPr>
            <w:r w:rsidRPr="004A42CE">
              <w:rPr>
                <w:lang w:val="en-GB"/>
              </w:rPr>
              <w:t>dorsal ACC (30x30x20 mm)</w:t>
            </w:r>
          </w:p>
          <w:p w14:paraId="0D7C311E" w14:textId="77777777" w:rsidR="0030207F" w:rsidRPr="004A42CE" w:rsidRDefault="0030207F" w:rsidP="005771D6">
            <w:pPr>
              <w:rPr>
                <w:lang w:val="en-GB"/>
              </w:rPr>
            </w:pPr>
            <w:r w:rsidRPr="004A42CE">
              <w:rPr>
                <w:lang w:val="en-GB"/>
              </w:rPr>
              <w:t xml:space="preserve">right </w:t>
            </w:r>
            <w:proofErr w:type="spellStart"/>
            <w:r w:rsidRPr="004A42CE">
              <w:rPr>
                <w:lang w:val="en-GB"/>
              </w:rPr>
              <w:t>dlPFC</w:t>
            </w:r>
            <w:proofErr w:type="spellEnd"/>
            <w:r w:rsidRPr="004A42CE">
              <w:rPr>
                <w:lang w:val="en-GB"/>
              </w:rPr>
              <w:t xml:space="preserve"> (</w:t>
            </w:r>
            <w:proofErr w:type="spellStart"/>
            <w:r w:rsidRPr="004A42CE">
              <w:rPr>
                <w:lang w:val="en-GB"/>
              </w:rPr>
              <w:t>30x20x20</w:t>
            </w:r>
            <w:proofErr w:type="spellEnd"/>
            <w:r w:rsidRPr="004A42CE">
              <w:rPr>
                <w:lang w:val="en-GB"/>
              </w:rPr>
              <w:t xml:space="preserve"> mm)</w:t>
            </w:r>
          </w:p>
          <w:p w14:paraId="63268EB9" w14:textId="468FB8B2" w:rsidR="0030207F" w:rsidRPr="004A42CE" w:rsidRDefault="0030207F" w:rsidP="005771D6">
            <w:pPr>
              <w:rPr>
                <w:lang w:val="fr-FR"/>
              </w:rPr>
            </w:pPr>
            <w:proofErr w:type="gramStart"/>
            <w:r w:rsidRPr="004A42CE">
              <w:rPr>
                <w:lang w:val="fr-FR"/>
              </w:rPr>
              <w:t>occipital</w:t>
            </w:r>
            <w:proofErr w:type="gramEnd"/>
            <w:r w:rsidRPr="004A42CE">
              <w:rPr>
                <w:lang w:val="fr-FR"/>
              </w:rPr>
              <w:t xml:space="preserve"> lobe (</w:t>
            </w:r>
            <w:r w:rsidRPr="004A42CE">
              <w:rPr>
                <w:lang w:val="en-GB"/>
              </w:rPr>
              <w:t>20x30x25 mm)</w:t>
            </w:r>
          </w:p>
        </w:tc>
        <w:tc>
          <w:tcPr>
            <w:tcW w:w="2086" w:type="dxa"/>
          </w:tcPr>
          <w:p w14:paraId="593E44FE" w14:textId="77777777" w:rsidR="00034448" w:rsidRPr="004A42CE" w:rsidRDefault="00034448" w:rsidP="005771D6">
            <w:pPr>
              <w:rPr>
                <w:lang w:val="fr-FR"/>
              </w:rPr>
            </w:pPr>
          </w:p>
        </w:tc>
        <w:tc>
          <w:tcPr>
            <w:tcW w:w="2086" w:type="dxa"/>
          </w:tcPr>
          <w:p w14:paraId="44E9B2CB" w14:textId="77777777" w:rsidR="00034448" w:rsidRPr="004A42CE" w:rsidRDefault="00034448" w:rsidP="005771D6">
            <w:pPr>
              <w:rPr>
                <w:lang w:val="fr-FR"/>
              </w:rPr>
            </w:pPr>
          </w:p>
        </w:tc>
      </w:tr>
      <w:tr w:rsidR="0030207F" w:rsidRPr="004A42CE" w14:paraId="2A8E1394" w14:textId="77777777" w:rsidTr="005771D6">
        <w:tc>
          <w:tcPr>
            <w:tcW w:w="3092" w:type="dxa"/>
          </w:tcPr>
          <w:p w14:paraId="578A4477" w14:textId="77777777" w:rsidR="00034448" w:rsidRPr="004A42CE" w:rsidRDefault="00034448" w:rsidP="005771D6">
            <w:r w:rsidRPr="004A42CE">
              <w:t>d. Repetition Time (TR), Echo Time (</w:t>
            </w:r>
            <w:proofErr w:type="spellStart"/>
            <w:r w:rsidRPr="004A42CE">
              <w:t>TE</w:t>
            </w:r>
            <w:proofErr w:type="spellEnd"/>
            <w:r w:rsidRPr="004A42CE">
              <w:t>) [</w:t>
            </w:r>
            <w:proofErr w:type="spellStart"/>
            <w:r w:rsidRPr="004A42CE">
              <w:t>ms</w:t>
            </w:r>
            <w:proofErr w:type="spellEnd"/>
            <w:r w:rsidRPr="004A42CE">
              <w:t>, s]</w:t>
            </w:r>
          </w:p>
        </w:tc>
        <w:tc>
          <w:tcPr>
            <w:tcW w:w="2086" w:type="dxa"/>
          </w:tcPr>
          <w:p w14:paraId="6E717221" w14:textId="3C03DA6E" w:rsidR="00034448" w:rsidRPr="004A42CE" w:rsidRDefault="00610680" w:rsidP="005771D6">
            <w:r w:rsidRPr="004A42CE">
              <w:t xml:space="preserve">TR = 1800 </w:t>
            </w:r>
            <w:proofErr w:type="spellStart"/>
            <w:r w:rsidRPr="004A42CE">
              <w:t>ms</w:t>
            </w:r>
            <w:proofErr w:type="spellEnd"/>
            <w:r w:rsidRPr="004A42CE">
              <w:t xml:space="preserve">, </w:t>
            </w:r>
            <w:proofErr w:type="spellStart"/>
            <w:r w:rsidRPr="004A42CE">
              <w:t>TE</w:t>
            </w:r>
            <w:proofErr w:type="spellEnd"/>
            <w:r w:rsidRPr="004A42CE">
              <w:t xml:space="preserve"> = 68 </w:t>
            </w:r>
            <w:proofErr w:type="spellStart"/>
            <w:r w:rsidRPr="004A42CE">
              <w:t>ms</w:t>
            </w:r>
            <w:proofErr w:type="spellEnd"/>
          </w:p>
        </w:tc>
        <w:tc>
          <w:tcPr>
            <w:tcW w:w="2086" w:type="dxa"/>
          </w:tcPr>
          <w:p w14:paraId="11344138" w14:textId="77777777" w:rsidR="00034448" w:rsidRPr="004A42CE" w:rsidRDefault="00034448" w:rsidP="005771D6"/>
        </w:tc>
        <w:tc>
          <w:tcPr>
            <w:tcW w:w="2086" w:type="dxa"/>
          </w:tcPr>
          <w:p w14:paraId="1CB6C41B" w14:textId="77777777" w:rsidR="00034448" w:rsidRPr="004A42CE" w:rsidRDefault="00034448" w:rsidP="005771D6"/>
        </w:tc>
      </w:tr>
      <w:tr w:rsidR="0030207F" w:rsidRPr="004A42CE" w14:paraId="48D49818" w14:textId="77777777" w:rsidTr="005771D6">
        <w:trPr>
          <w:trHeight w:val="1904"/>
        </w:trPr>
        <w:tc>
          <w:tcPr>
            <w:tcW w:w="3092" w:type="dxa"/>
          </w:tcPr>
          <w:p w14:paraId="2791F174" w14:textId="77777777" w:rsidR="00034448" w:rsidRPr="004A42CE" w:rsidRDefault="00034448" w:rsidP="005771D6">
            <w:r w:rsidRPr="004A42CE">
              <w:t>e. Total number of Excitations or acquisitions per spectrum</w:t>
            </w:r>
          </w:p>
          <w:p w14:paraId="24E8BD11" w14:textId="77777777" w:rsidR="00034448" w:rsidRPr="004A42CE" w:rsidRDefault="00034448" w:rsidP="005771D6">
            <w:r w:rsidRPr="004A42CE">
              <w:t xml:space="preserve">In time series for kinetic studies </w:t>
            </w:r>
          </w:p>
          <w:p w14:paraId="0FAA0B6C" w14:textId="77777777" w:rsidR="00034448" w:rsidRPr="004A42CE" w:rsidRDefault="00034448" w:rsidP="00034448">
            <w:pPr>
              <w:numPr>
                <w:ilvl w:val="0"/>
                <w:numId w:val="1"/>
              </w:numPr>
              <w:spacing w:after="0" w:line="240" w:lineRule="auto"/>
              <w:contextualSpacing/>
            </w:pPr>
            <w:r w:rsidRPr="004A42CE">
              <w:lastRenderedPageBreak/>
              <w:t>Number of Averaged spectra (NA) per time-point</w:t>
            </w:r>
          </w:p>
          <w:p w14:paraId="0984E456" w14:textId="77777777" w:rsidR="00034448" w:rsidRPr="004A42CE" w:rsidRDefault="00034448" w:rsidP="00034448">
            <w:pPr>
              <w:numPr>
                <w:ilvl w:val="0"/>
                <w:numId w:val="1"/>
              </w:numPr>
              <w:spacing w:after="0" w:line="240" w:lineRule="auto"/>
              <w:contextualSpacing/>
            </w:pPr>
            <w:r w:rsidRPr="004A42CE">
              <w:t>Averaging method (e.g. block-wise or moving average)</w:t>
            </w:r>
          </w:p>
          <w:p w14:paraId="4A387043" w14:textId="77777777" w:rsidR="00034448" w:rsidRPr="004A42CE" w:rsidRDefault="00034448" w:rsidP="00034448">
            <w:pPr>
              <w:numPr>
                <w:ilvl w:val="0"/>
                <w:numId w:val="1"/>
              </w:numPr>
              <w:spacing w:after="0" w:line="240" w:lineRule="auto"/>
              <w:contextualSpacing/>
            </w:pPr>
            <w:r w:rsidRPr="004A42CE">
              <w:t>Total number of spectra (acquired / in time-series)</w:t>
            </w:r>
          </w:p>
        </w:tc>
        <w:tc>
          <w:tcPr>
            <w:tcW w:w="2086" w:type="dxa"/>
          </w:tcPr>
          <w:p w14:paraId="2FF5A5A4" w14:textId="77777777" w:rsidR="00034448" w:rsidRPr="004A42CE" w:rsidRDefault="00610680" w:rsidP="005771D6">
            <w:r w:rsidRPr="004A42CE">
              <w:lastRenderedPageBreak/>
              <w:t>Number of averages = 200 On and Off spectra (400 total)</w:t>
            </w:r>
          </w:p>
          <w:p w14:paraId="72379CF1" w14:textId="544A5466" w:rsidR="00610680" w:rsidRPr="004A42CE" w:rsidRDefault="00610680" w:rsidP="005771D6">
            <w:r w:rsidRPr="004A42CE">
              <w:lastRenderedPageBreak/>
              <w:t>ON and OFF sub-spectra were averaged on the scanner before export.</w:t>
            </w:r>
          </w:p>
        </w:tc>
        <w:tc>
          <w:tcPr>
            <w:tcW w:w="2086" w:type="dxa"/>
          </w:tcPr>
          <w:p w14:paraId="5A8CCB40" w14:textId="77777777" w:rsidR="00034448" w:rsidRPr="004A42CE" w:rsidRDefault="00034448" w:rsidP="005771D6"/>
        </w:tc>
        <w:tc>
          <w:tcPr>
            <w:tcW w:w="2086" w:type="dxa"/>
          </w:tcPr>
          <w:p w14:paraId="665E4046" w14:textId="77777777" w:rsidR="00034448" w:rsidRPr="004A42CE" w:rsidRDefault="00034448" w:rsidP="005771D6"/>
        </w:tc>
      </w:tr>
      <w:tr w:rsidR="0030207F" w:rsidRPr="004A42CE" w14:paraId="7C88A9BE" w14:textId="77777777" w:rsidTr="005771D6">
        <w:trPr>
          <w:trHeight w:val="1094"/>
        </w:trPr>
        <w:tc>
          <w:tcPr>
            <w:tcW w:w="3092" w:type="dxa"/>
          </w:tcPr>
          <w:p w14:paraId="1EDBA251" w14:textId="77777777" w:rsidR="00034448" w:rsidRPr="004A42CE" w:rsidRDefault="00034448" w:rsidP="005771D6">
            <w:r w:rsidRPr="004A42CE">
              <w:t>f. Additional sequence parameters</w:t>
            </w:r>
          </w:p>
          <w:p w14:paraId="6AEECFD8" w14:textId="77777777" w:rsidR="00034448" w:rsidRPr="004A42CE" w:rsidRDefault="00034448" w:rsidP="005771D6">
            <w:r w:rsidRPr="004A42CE">
              <w:t>(spectral width in Hz, number of spectral points, frequency offsets)</w:t>
            </w:r>
          </w:p>
          <w:p w14:paraId="66A88A2D" w14:textId="77777777" w:rsidR="00034448" w:rsidRPr="004A42CE" w:rsidRDefault="00034448" w:rsidP="005771D6">
            <w:r w:rsidRPr="004A42CE">
              <w:t xml:space="preserve">If </w:t>
            </w:r>
            <w:proofErr w:type="gramStart"/>
            <w:r w:rsidRPr="004A42CE">
              <w:t>STEAM:,</w:t>
            </w:r>
            <w:proofErr w:type="gramEnd"/>
            <w:r w:rsidRPr="004A42CE">
              <w:t xml:space="preserve"> Mixing Time (TM)</w:t>
            </w:r>
          </w:p>
          <w:p w14:paraId="6AC9D229" w14:textId="77777777" w:rsidR="00034448" w:rsidRPr="004A42CE" w:rsidRDefault="00034448" w:rsidP="005771D6">
            <w:r w:rsidRPr="004A42CE">
              <w:t>If MRSI: 2D or 3D, FOV in all directions, matrix size, acceleration factors, sampling method</w:t>
            </w:r>
          </w:p>
        </w:tc>
        <w:tc>
          <w:tcPr>
            <w:tcW w:w="2086" w:type="dxa"/>
          </w:tcPr>
          <w:p w14:paraId="3B12C53A" w14:textId="77777777" w:rsidR="00034448" w:rsidRPr="004A42CE" w:rsidRDefault="00610680" w:rsidP="005771D6">
            <w:r w:rsidRPr="004A42CE">
              <w:t xml:space="preserve">Spectral Width = 1600 </w:t>
            </w:r>
            <w:proofErr w:type="spellStart"/>
            <w:r w:rsidRPr="004A42CE">
              <w:t>hz</w:t>
            </w:r>
            <w:proofErr w:type="spellEnd"/>
          </w:p>
          <w:p w14:paraId="0A51D3D6" w14:textId="77777777" w:rsidR="00610680" w:rsidRPr="004A42CE" w:rsidRDefault="00610680" w:rsidP="005771D6">
            <w:r w:rsidRPr="004A42CE">
              <w:t>Spectral points = 1024</w:t>
            </w:r>
          </w:p>
          <w:p w14:paraId="6451F9FC" w14:textId="3CCBF8A3" w:rsidR="00610680" w:rsidRPr="004A42CE" w:rsidRDefault="00610680" w:rsidP="005771D6">
            <w:r w:rsidRPr="004A42CE">
              <w:t>Excitation frequency corresponds to a chemical shift of 3.00 ppm (referred to as offset frequency on scanner)</w:t>
            </w:r>
          </w:p>
          <w:p w14:paraId="5B906BB9" w14:textId="09A0B823" w:rsidR="00610680" w:rsidRPr="004A42CE" w:rsidRDefault="00610680" w:rsidP="005771D6">
            <w:r w:rsidRPr="004A42CE">
              <w:t>Editing ON pulse frequency corresponds to 1.9 ppm, while edit off corresponds to 7.35 ppm.</w:t>
            </w:r>
          </w:p>
        </w:tc>
        <w:tc>
          <w:tcPr>
            <w:tcW w:w="2086" w:type="dxa"/>
          </w:tcPr>
          <w:p w14:paraId="4E8189B9" w14:textId="77777777" w:rsidR="00034448" w:rsidRPr="004A42CE" w:rsidRDefault="00034448" w:rsidP="005771D6"/>
        </w:tc>
        <w:tc>
          <w:tcPr>
            <w:tcW w:w="2086" w:type="dxa"/>
          </w:tcPr>
          <w:p w14:paraId="5A8D5F2A" w14:textId="77777777" w:rsidR="00034448" w:rsidRPr="004A42CE" w:rsidRDefault="00034448" w:rsidP="005771D6"/>
        </w:tc>
      </w:tr>
      <w:tr w:rsidR="0030207F" w:rsidRPr="004A42CE" w14:paraId="5619B017" w14:textId="77777777" w:rsidTr="005771D6">
        <w:tc>
          <w:tcPr>
            <w:tcW w:w="3092" w:type="dxa"/>
          </w:tcPr>
          <w:p w14:paraId="21E4D5E9" w14:textId="77777777" w:rsidR="00034448" w:rsidRPr="004A42CE" w:rsidRDefault="00034448" w:rsidP="005771D6">
            <w:r w:rsidRPr="004A42CE">
              <w:t>g. Water Suppression Method</w:t>
            </w:r>
          </w:p>
        </w:tc>
        <w:tc>
          <w:tcPr>
            <w:tcW w:w="2086" w:type="dxa"/>
          </w:tcPr>
          <w:p w14:paraId="62EF1718" w14:textId="28D81676" w:rsidR="00034448" w:rsidRPr="004A42CE" w:rsidRDefault="00610680" w:rsidP="005771D6">
            <w:r w:rsidRPr="004A42CE">
              <w:t>VAPOR</w:t>
            </w:r>
          </w:p>
        </w:tc>
        <w:tc>
          <w:tcPr>
            <w:tcW w:w="2086" w:type="dxa"/>
          </w:tcPr>
          <w:p w14:paraId="0955F08E" w14:textId="77777777" w:rsidR="00034448" w:rsidRPr="004A42CE" w:rsidRDefault="00034448" w:rsidP="005771D6"/>
        </w:tc>
        <w:tc>
          <w:tcPr>
            <w:tcW w:w="2086" w:type="dxa"/>
          </w:tcPr>
          <w:p w14:paraId="40FA1C3A" w14:textId="77777777" w:rsidR="00034448" w:rsidRPr="004A42CE" w:rsidRDefault="00034448" w:rsidP="005771D6"/>
        </w:tc>
      </w:tr>
      <w:tr w:rsidR="0030207F" w:rsidRPr="004A42CE" w14:paraId="34819E3A" w14:textId="77777777" w:rsidTr="005771D6">
        <w:tc>
          <w:tcPr>
            <w:tcW w:w="3092" w:type="dxa"/>
          </w:tcPr>
          <w:p w14:paraId="32854616" w14:textId="77777777" w:rsidR="00034448" w:rsidRPr="004A42CE" w:rsidRDefault="00034448" w:rsidP="005771D6">
            <w:r w:rsidRPr="004A42CE">
              <w:t>h. Shimming Method, reference peak, and thresholds for “acceptance of shim” chosen</w:t>
            </w:r>
          </w:p>
        </w:tc>
        <w:tc>
          <w:tcPr>
            <w:tcW w:w="2086" w:type="dxa"/>
          </w:tcPr>
          <w:p w14:paraId="3DDE8AC4" w14:textId="73B20342" w:rsidR="00034448" w:rsidRPr="004A42CE" w:rsidRDefault="00EB35BE" w:rsidP="005771D6">
            <w:r w:rsidRPr="004A42CE">
              <w:rPr>
                <w:lang w:val="en-GB"/>
              </w:rPr>
              <w:t xml:space="preserve">Higher-order shimming was performed manually using iterative shimming after the system initial set shim using a 3D field map. </w:t>
            </w:r>
            <w:r w:rsidR="00DD00DE" w:rsidRPr="004A42CE">
              <w:t xml:space="preserve">We aimed for &gt; 13 </w:t>
            </w:r>
            <w:r w:rsidR="00427EDF" w:rsidRPr="004A42CE">
              <w:t>Hz</w:t>
            </w:r>
            <w:r w:rsidR="00DD00DE" w:rsidRPr="004A42CE">
              <w:t xml:space="preserve"> with the shim, but to </w:t>
            </w:r>
            <w:proofErr w:type="spellStart"/>
            <w:r w:rsidR="00DD00DE" w:rsidRPr="004A42CE">
              <w:t>maximise</w:t>
            </w:r>
            <w:proofErr w:type="spellEnd"/>
            <w:r w:rsidR="00DD00DE" w:rsidRPr="004A42CE">
              <w:t xml:space="preserve"> data inclusion, went for as low as we could achieve.</w:t>
            </w:r>
          </w:p>
        </w:tc>
        <w:tc>
          <w:tcPr>
            <w:tcW w:w="2086" w:type="dxa"/>
          </w:tcPr>
          <w:p w14:paraId="1D7E53B4" w14:textId="77777777" w:rsidR="00034448" w:rsidRPr="004A42CE" w:rsidRDefault="00034448" w:rsidP="005771D6"/>
        </w:tc>
        <w:tc>
          <w:tcPr>
            <w:tcW w:w="2086" w:type="dxa"/>
          </w:tcPr>
          <w:p w14:paraId="125DD358" w14:textId="77777777" w:rsidR="00034448" w:rsidRPr="004A42CE" w:rsidRDefault="00034448" w:rsidP="005771D6"/>
        </w:tc>
      </w:tr>
      <w:tr w:rsidR="0030207F" w:rsidRPr="004A42CE" w14:paraId="312BF01F" w14:textId="77777777" w:rsidTr="005771D6">
        <w:trPr>
          <w:trHeight w:val="1221"/>
        </w:trPr>
        <w:tc>
          <w:tcPr>
            <w:tcW w:w="3092" w:type="dxa"/>
          </w:tcPr>
          <w:p w14:paraId="6B9FE6F1" w14:textId="77777777" w:rsidR="00034448" w:rsidRPr="004A42CE" w:rsidRDefault="00034448" w:rsidP="005771D6">
            <w:proofErr w:type="spellStart"/>
            <w:r w:rsidRPr="004A42CE">
              <w:t>i</w:t>
            </w:r>
            <w:proofErr w:type="spellEnd"/>
            <w:r w:rsidRPr="004A42CE">
              <w:t>. Triggering or motion correction method</w:t>
            </w:r>
          </w:p>
          <w:p w14:paraId="706B9D84" w14:textId="77777777" w:rsidR="00034448" w:rsidRPr="004A42CE" w:rsidRDefault="00034448" w:rsidP="005771D6">
            <w:r w:rsidRPr="004A42CE">
              <w:t>(respiratory, peripheral, cardiac triggering, incl. device used and delays)</w:t>
            </w:r>
          </w:p>
        </w:tc>
        <w:tc>
          <w:tcPr>
            <w:tcW w:w="2086" w:type="dxa"/>
          </w:tcPr>
          <w:p w14:paraId="6B86B56E" w14:textId="445154CD" w:rsidR="00034448" w:rsidRPr="004A42CE" w:rsidRDefault="00EB35BE" w:rsidP="005771D6">
            <w:r w:rsidRPr="004A42CE">
              <w:t>None</w:t>
            </w:r>
          </w:p>
        </w:tc>
        <w:tc>
          <w:tcPr>
            <w:tcW w:w="2086" w:type="dxa"/>
          </w:tcPr>
          <w:p w14:paraId="29EB2D21" w14:textId="77777777" w:rsidR="00034448" w:rsidRPr="004A42CE" w:rsidRDefault="00034448" w:rsidP="005771D6"/>
        </w:tc>
        <w:tc>
          <w:tcPr>
            <w:tcW w:w="2086" w:type="dxa"/>
          </w:tcPr>
          <w:p w14:paraId="3E2F21AE" w14:textId="77777777" w:rsidR="00034448" w:rsidRPr="004A42CE" w:rsidRDefault="00034448" w:rsidP="005771D6"/>
        </w:tc>
      </w:tr>
      <w:tr w:rsidR="0030207F" w:rsidRPr="004A42CE" w14:paraId="49A32E3E" w14:textId="77777777" w:rsidTr="005771D6">
        <w:tc>
          <w:tcPr>
            <w:tcW w:w="3092" w:type="dxa"/>
            <w:shd w:val="clear" w:color="auto" w:fill="000000"/>
          </w:tcPr>
          <w:p w14:paraId="7DA79BEA" w14:textId="77777777" w:rsidR="00034448" w:rsidRPr="004A42CE" w:rsidRDefault="00034448" w:rsidP="005771D6">
            <w:r w:rsidRPr="004A42CE">
              <w:t>3. Data analysis methods and outputs</w:t>
            </w:r>
          </w:p>
        </w:tc>
        <w:tc>
          <w:tcPr>
            <w:tcW w:w="2086" w:type="dxa"/>
            <w:shd w:val="clear" w:color="auto" w:fill="000000"/>
          </w:tcPr>
          <w:p w14:paraId="22156B3A" w14:textId="77777777" w:rsidR="00034448" w:rsidRPr="004A42CE" w:rsidRDefault="00034448" w:rsidP="005771D6"/>
        </w:tc>
        <w:tc>
          <w:tcPr>
            <w:tcW w:w="2086" w:type="dxa"/>
            <w:shd w:val="clear" w:color="auto" w:fill="000000"/>
          </w:tcPr>
          <w:p w14:paraId="2ABF566E" w14:textId="77777777" w:rsidR="00034448" w:rsidRPr="004A42CE" w:rsidRDefault="00034448" w:rsidP="005771D6"/>
        </w:tc>
        <w:tc>
          <w:tcPr>
            <w:tcW w:w="2086" w:type="dxa"/>
            <w:shd w:val="clear" w:color="auto" w:fill="000000"/>
          </w:tcPr>
          <w:p w14:paraId="096382F2" w14:textId="77777777" w:rsidR="00034448" w:rsidRPr="004A42CE" w:rsidRDefault="00034448" w:rsidP="005771D6"/>
        </w:tc>
      </w:tr>
      <w:tr w:rsidR="0030207F" w:rsidRPr="004A42CE" w14:paraId="76E72482" w14:textId="77777777" w:rsidTr="005771D6">
        <w:tc>
          <w:tcPr>
            <w:tcW w:w="3092" w:type="dxa"/>
          </w:tcPr>
          <w:p w14:paraId="1431E06F" w14:textId="77777777" w:rsidR="00034448" w:rsidRPr="004A42CE" w:rsidRDefault="00034448" w:rsidP="005771D6">
            <w:r w:rsidRPr="004A42CE">
              <w:lastRenderedPageBreak/>
              <w:t>a. Analysis software</w:t>
            </w:r>
          </w:p>
        </w:tc>
        <w:tc>
          <w:tcPr>
            <w:tcW w:w="2086" w:type="dxa"/>
          </w:tcPr>
          <w:p w14:paraId="587BC8FB" w14:textId="194B9282" w:rsidR="00034448" w:rsidRPr="004A42CE" w:rsidRDefault="00EB35BE" w:rsidP="005771D6">
            <w:pPr>
              <w:rPr>
                <w:lang w:val="de-DE"/>
              </w:rPr>
            </w:pPr>
            <w:r w:rsidRPr="004A42CE">
              <w:rPr>
                <w:lang w:val="de-DE"/>
              </w:rPr>
              <w:t>GANNET 3.0 (Baltimore, MD, USA) in MATLAB</w:t>
            </w:r>
          </w:p>
        </w:tc>
        <w:tc>
          <w:tcPr>
            <w:tcW w:w="2086" w:type="dxa"/>
          </w:tcPr>
          <w:p w14:paraId="1FDA2A0A" w14:textId="77777777" w:rsidR="00034448" w:rsidRPr="004A42CE" w:rsidRDefault="00034448" w:rsidP="005771D6">
            <w:pPr>
              <w:rPr>
                <w:lang w:val="de-DE"/>
              </w:rPr>
            </w:pPr>
          </w:p>
        </w:tc>
        <w:tc>
          <w:tcPr>
            <w:tcW w:w="2086" w:type="dxa"/>
          </w:tcPr>
          <w:p w14:paraId="0F8B87D8" w14:textId="77777777" w:rsidR="00034448" w:rsidRPr="004A42CE" w:rsidRDefault="00034448" w:rsidP="005771D6">
            <w:pPr>
              <w:rPr>
                <w:lang w:val="de-DE"/>
              </w:rPr>
            </w:pPr>
          </w:p>
        </w:tc>
      </w:tr>
      <w:tr w:rsidR="0030207F" w:rsidRPr="004A42CE" w14:paraId="5CB42ECC" w14:textId="77777777" w:rsidTr="005771D6">
        <w:tc>
          <w:tcPr>
            <w:tcW w:w="3092" w:type="dxa"/>
          </w:tcPr>
          <w:p w14:paraId="1C709487" w14:textId="77777777" w:rsidR="00034448" w:rsidRPr="004A42CE" w:rsidRDefault="00034448" w:rsidP="005771D6">
            <w:r w:rsidRPr="004A42CE">
              <w:t>b. Processing steps deviating from quoted reference or product</w:t>
            </w:r>
          </w:p>
        </w:tc>
        <w:tc>
          <w:tcPr>
            <w:tcW w:w="2086" w:type="dxa"/>
          </w:tcPr>
          <w:p w14:paraId="25FEB7EA" w14:textId="094A8577" w:rsidR="00034448" w:rsidRPr="004A42CE" w:rsidRDefault="00EB35BE" w:rsidP="005771D6">
            <w:r w:rsidRPr="004A42CE">
              <w:rPr>
                <w:lang w:val="en-GB"/>
              </w:rPr>
              <w:t>standard processing steps, inbuilt models and assumptions for this software were used (details at http://www.gabamrs.com)</w:t>
            </w:r>
          </w:p>
        </w:tc>
        <w:tc>
          <w:tcPr>
            <w:tcW w:w="2086" w:type="dxa"/>
          </w:tcPr>
          <w:p w14:paraId="37E260AD" w14:textId="77777777" w:rsidR="00034448" w:rsidRPr="004A42CE" w:rsidRDefault="00034448" w:rsidP="005771D6"/>
        </w:tc>
        <w:tc>
          <w:tcPr>
            <w:tcW w:w="2086" w:type="dxa"/>
          </w:tcPr>
          <w:p w14:paraId="02A3B06E" w14:textId="77777777" w:rsidR="00034448" w:rsidRPr="004A42CE" w:rsidRDefault="00034448" w:rsidP="005771D6"/>
        </w:tc>
      </w:tr>
      <w:tr w:rsidR="0030207F" w:rsidRPr="004A42CE" w14:paraId="2AA54048" w14:textId="77777777" w:rsidTr="005771D6">
        <w:trPr>
          <w:trHeight w:val="1221"/>
        </w:trPr>
        <w:tc>
          <w:tcPr>
            <w:tcW w:w="3092" w:type="dxa"/>
          </w:tcPr>
          <w:p w14:paraId="077422DB" w14:textId="77777777" w:rsidR="00034448" w:rsidRPr="004A42CE" w:rsidRDefault="00034448" w:rsidP="005771D6">
            <w:r w:rsidRPr="004A42CE">
              <w:t>c. Output measure</w:t>
            </w:r>
          </w:p>
          <w:p w14:paraId="0D69CE67" w14:textId="7F1D694D" w:rsidR="00034448" w:rsidRPr="004A42CE" w:rsidRDefault="00034448" w:rsidP="005771D6">
            <w:r w:rsidRPr="004A42CE">
              <w:t>(e.g. absolute concentration, institutional units, ratio)</w:t>
            </w:r>
            <w:r w:rsidR="004A42CE" w:rsidRPr="004A42CE">
              <w:t xml:space="preserve"> </w:t>
            </w:r>
            <w:r w:rsidRPr="004A42CE">
              <w:t>Processing steps deviating from quoted reference or product</w:t>
            </w:r>
          </w:p>
        </w:tc>
        <w:tc>
          <w:tcPr>
            <w:tcW w:w="2086" w:type="dxa"/>
          </w:tcPr>
          <w:p w14:paraId="2F200AA7" w14:textId="5A39794A" w:rsidR="00034448" w:rsidRPr="004A42CE" w:rsidRDefault="00EB35BE" w:rsidP="005771D6">
            <w:r w:rsidRPr="004A42CE">
              <w:t xml:space="preserve">Ratio’s to Creatine. GABA is reported as GABA+ </w:t>
            </w:r>
          </w:p>
        </w:tc>
        <w:tc>
          <w:tcPr>
            <w:tcW w:w="2086" w:type="dxa"/>
          </w:tcPr>
          <w:p w14:paraId="7B457C36" w14:textId="77777777" w:rsidR="00034448" w:rsidRPr="004A42CE" w:rsidRDefault="00034448" w:rsidP="005771D6"/>
        </w:tc>
        <w:tc>
          <w:tcPr>
            <w:tcW w:w="2086" w:type="dxa"/>
          </w:tcPr>
          <w:p w14:paraId="33BB11C3" w14:textId="77777777" w:rsidR="00034448" w:rsidRPr="004A42CE" w:rsidRDefault="00034448" w:rsidP="005771D6"/>
        </w:tc>
      </w:tr>
      <w:tr w:rsidR="0030207F" w:rsidRPr="004A42CE" w14:paraId="6C91C857" w14:textId="77777777" w:rsidTr="005771D6">
        <w:tc>
          <w:tcPr>
            <w:tcW w:w="3092" w:type="dxa"/>
          </w:tcPr>
          <w:p w14:paraId="209FC6DA" w14:textId="77777777" w:rsidR="00034448" w:rsidRPr="004A42CE" w:rsidRDefault="00034448" w:rsidP="005771D6">
            <w:r w:rsidRPr="004A42CE">
              <w:t>d. Quantification references and assumptions, fitting model assumptions</w:t>
            </w:r>
          </w:p>
        </w:tc>
        <w:tc>
          <w:tcPr>
            <w:tcW w:w="2086" w:type="dxa"/>
          </w:tcPr>
          <w:p w14:paraId="2C9C519E" w14:textId="5F373C84" w:rsidR="00034448" w:rsidRPr="004A42CE" w:rsidRDefault="00EB35BE" w:rsidP="005771D6">
            <w:r w:rsidRPr="004A42CE">
              <w:rPr>
                <w:lang w:val="en-GB"/>
              </w:rPr>
              <w:t xml:space="preserve">The GANNET pipeline models GABA+, </w:t>
            </w:r>
            <w:proofErr w:type="spellStart"/>
            <w:r w:rsidRPr="004A42CE">
              <w:rPr>
                <w:lang w:val="en-GB"/>
              </w:rPr>
              <w:t>Glx</w:t>
            </w:r>
            <w:proofErr w:type="spellEnd"/>
            <w:r w:rsidRPr="004A42CE">
              <w:rPr>
                <w:lang w:val="en-GB"/>
              </w:rPr>
              <w:t xml:space="preserve"> and the creatine (Cr) reference as a single-Gaussian, doublet, and singlet, respectively. Data is reported as a raw ratio of area under the fitted curve (institutional units; </w:t>
            </w:r>
            <w:proofErr w:type="spellStart"/>
            <w:r w:rsidRPr="004A42CE">
              <w:rPr>
                <w:lang w:val="en-GB"/>
              </w:rPr>
              <w:t>i.u.</w:t>
            </w:r>
            <w:proofErr w:type="spellEnd"/>
            <w:r w:rsidRPr="004A42CE">
              <w:rPr>
                <w:lang w:val="en-GB"/>
              </w:rPr>
              <w:t xml:space="preserve">) referenced to Cr (aligned with our previous report on this sample), for each metabolite, and does not account for differential proton densities, metabolite-specific relaxation properties, or tissue make up. While CSF correction is not necessary when using Cr as reference, grey matter (GM) contribution may however be of influence and is therefore controlled for in each analysis via partial Pearson </w:t>
            </w:r>
            <w:r w:rsidRPr="004A42CE">
              <w:rPr>
                <w:lang w:val="en-GB"/>
              </w:rPr>
              <w:lastRenderedPageBreak/>
              <w:t>correlations using GM as covariate.</w:t>
            </w:r>
          </w:p>
        </w:tc>
        <w:tc>
          <w:tcPr>
            <w:tcW w:w="2086" w:type="dxa"/>
          </w:tcPr>
          <w:p w14:paraId="03F3EBA0" w14:textId="77777777" w:rsidR="00034448" w:rsidRPr="004A42CE" w:rsidRDefault="00034448" w:rsidP="005771D6"/>
        </w:tc>
        <w:tc>
          <w:tcPr>
            <w:tcW w:w="2086" w:type="dxa"/>
          </w:tcPr>
          <w:p w14:paraId="3FA308B4" w14:textId="77777777" w:rsidR="00034448" w:rsidRPr="004A42CE" w:rsidRDefault="00034448" w:rsidP="005771D6"/>
        </w:tc>
      </w:tr>
      <w:tr w:rsidR="0030207F" w:rsidRPr="004A42CE" w14:paraId="2413AB75" w14:textId="77777777" w:rsidTr="005771D6">
        <w:tc>
          <w:tcPr>
            <w:tcW w:w="3092" w:type="dxa"/>
            <w:shd w:val="clear" w:color="auto" w:fill="000000"/>
          </w:tcPr>
          <w:p w14:paraId="2FBFA17A" w14:textId="77777777" w:rsidR="00034448" w:rsidRPr="004A42CE" w:rsidRDefault="00034448" w:rsidP="005771D6">
            <w:r w:rsidRPr="004A42CE">
              <w:t xml:space="preserve">4. Data Quality </w:t>
            </w:r>
          </w:p>
        </w:tc>
        <w:tc>
          <w:tcPr>
            <w:tcW w:w="2086" w:type="dxa"/>
            <w:shd w:val="clear" w:color="auto" w:fill="000000"/>
          </w:tcPr>
          <w:p w14:paraId="65A28023" w14:textId="77777777" w:rsidR="00034448" w:rsidRPr="004A42CE" w:rsidRDefault="00034448" w:rsidP="005771D6"/>
        </w:tc>
        <w:tc>
          <w:tcPr>
            <w:tcW w:w="2086" w:type="dxa"/>
            <w:shd w:val="clear" w:color="auto" w:fill="000000"/>
          </w:tcPr>
          <w:p w14:paraId="261AAF1C" w14:textId="77777777" w:rsidR="00034448" w:rsidRPr="004A42CE" w:rsidRDefault="00034448" w:rsidP="005771D6"/>
        </w:tc>
        <w:tc>
          <w:tcPr>
            <w:tcW w:w="2086" w:type="dxa"/>
            <w:shd w:val="clear" w:color="auto" w:fill="000000"/>
          </w:tcPr>
          <w:p w14:paraId="68BC8A54" w14:textId="77777777" w:rsidR="00034448" w:rsidRPr="004A42CE" w:rsidRDefault="00034448" w:rsidP="005771D6"/>
        </w:tc>
      </w:tr>
      <w:tr w:rsidR="0030207F" w:rsidRPr="004A42CE" w14:paraId="3614B6E0" w14:textId="77777777" w:rsidTr="005771D6">
        <w:trPr>
          <w:trHeight w:val="732"/>
        </w:trPr>
        <w:tc>
          <w:tcPr>
            <w:tcW w:w="3092" w:type="dxa"/>
          </w:tcPr>
          <w:p w14:paraId="21A57369" w14:textId="77777777" w:rsidR="00034448" w:rsidRPr="004A42CE" w:rsidRDefault="00034448" w:rsidP="005771D6">
            <w:r w:rsidRPr="004A42CE">
              <w:t xml:space="preserve">a. Reported variables </w:t>
            </w:r>
          </w:p>
          <w:p w14:paraId="634936B2" w14:textId="77777777" w:rsidR="00034448" w:rsidRPr="004A42CE" w:rsidRDefault="00034448" w:rsidP="005771D6">
            <w:r w:rsidRPr="004A42CE">
              <w:t>(SNR, Linewidth (with reference peaks))</w:t>
            </w:r>
          </w:p>
        </w:tc>
        <w:tc>
          <w:tcPr>
            <w:tcW w:w="2086" w:type="dxa"/>
          </w:tcPr>
          <w:p w14:paraId="0AC4234F" w14:textId="6AD9AA47" w:rsidR="00034448" w:rsidRPr="004A42CE" w:rsidRDefault="000A7CBF" w:rsidP="005771D6">
            <w:pPr>
              <w:rPr>
                <w:lang w:val="en-GB"/>
              </w:rPr>
            </w:pPr>
            <w:bookmarkStart w:id="1" w:name="_Hlk65762630"/>
            <w:r w:rsidRPr="004A42CE">
              <w:t xml:space="preserve">Data was included from 9 participants in GD and 13 in non-GD for the </w:t>
            </w:r>
            <w:proofErr w:type="spellStart"/>
            <w:r w:rsidRPr="004A42CE">
              <w:t>dACC</w:t>
            </w:r>
            <w:proofErr w:type="spellEnd"/>
            <w:r w:rsidRPr="004A42CE">
              <w:t xml:space="preserve"> voxel</w:t>
            </w:r>
            <w:bookmarkEnd w:id="1"/>
            <w:r w:rsidRPr="004A42CE">
              <w:t xml:space="preserve">, leading to mean (and </w:t>
            </w:r>
            <w:proofErr w:type="spellStart"/>
            <w:r w:rsidRPr="004A42CE">
              <w:rPr>
                <w:i/>
                <w:iCs/>
              </w:rPr>
              <w:t>SD</w:t>
            </w:r>
            <w:r w:rsidRPr="004A42CE">
              <w:t>s</w:t>
            </w:r>
            <w:proofErr w:type="spellEnd"/>
            <w:r w:rsidRPr="004A42CE">
              <w:t>)</w:t>
            </w:r>
            <w:r w:rsidRPr="004A42CE">
              <w:rPr>
                <w:i/>
                <w:iCs/>
              </w:rPr>
              <w:t xml:space="preserve"> </w:t>
            </w:r>
            <w:r w:rsidRPr="004A42CE">
              <w:t>of the</w:t>
            </w:r>
            <w:r w:rsidRPr="004A42CE">
              <w:rPr>
                <w:i/>
                <w:iCs/>
              </w:rPr>
              <w:t xml:space="preserve"> </w:t>
            </w:r>
            <w:r w:rsidRPr="004A42CE">
              <w:t xml:space="preserve">signal-to-noise ratios (SNR) for </w:t>
            </w:r>
            <w:proofErr w:type="spellStart"/>
            <w:r w:rsidRPr="004A42CE">
              <w:t>Glx</w:t>
            </w:r>
            <w:proofErr w:type="spellEnd"/>
            <w:r w:rsidRPr="004A42CE">
              <w:t xml:space="preserve"> of 21.77 (14.99) and 29.10 (11.96) and for GABA+ of 15.54 (10.69) and 18.65 (8.30), respectively for GD and non-GD. </w:t>
            </w:r>
            <w:bookmarkStart w:id="2" w:name="_Hlk65762638"/>
            <w:r w:rsidRPr="004A42CE">
              <w:t xml:space="preserve">For the right </w:t>
            </w:r>
            <w:proofErr w:type="spellStart"/>
            <w:r w:rsidRPr="004A42CE">
              <w:t>dlPFC</w:t>
            </w:r>
            <w:proofErr w:type="spellEnd"/>
            <w:r w:rsidRPr="004A42CE">
              <w:t xml:space="preserve"> voxel, 11 GD and 13 non-GD participants were included</w:t>
            </w:r>
            <w:bookmarkEnd w:id="2"/>
            <w:r w:rsidRPr="004A42CE">
              <w:t xml:space="preserve">, with </w:t>
            </w:r>
            <w:proofErr w:type="spellStart"/>
            <w:r w:rsidRPr="004A42CE">
              <w:t>SNRs</w:t>
            </w:r>
            <w:proofErr w:type="spellEnd"/>
            <w:r w:rsidRPr="004A42CE">
              <w:t xml:space="preserve"> for </w:t>
            </w:r>
            <w:proofErr w:type="spellStart"/>
            <w:r w:rsidRPr="004A42CE">
              <w:t>Glx</w:t>
            </w:r>
            <w:proofErr w:type="spellEnd"/>
            <w:r w:rsidRPr="004A42CE">
              <w:t xml:space="preserve"> </w:t>
            </w:r>
            <w:proofErr w:type="spellStart"/>
            <w:r w:rsidRPr="004A42CE">
              <w:t>equalling</w:t>
            </w:r>
            <w:proofErr w:type="spellEnd"/>
            <w:r w:rsidRPr="004A42CE">
              <w:t xml:space="preserve"> 18.61 (8.47) and 22.13 (7.27) and for GABA+ of 12.77 (5.09) and 16.35 (5.24). </w:t>
            </w:r>
            <w:bookmarkStart w:id="3" w:name="_Hlk65762648"/>
            <w:r w:rsidRPr="004A42CE">
              <w:t>For the occipital voxel, 8 GD and 10 (</w:t>
            </w:r>
            <w:proofErr w:type="spellStart"/>
            <w:r w:rsidRPr="004A42CE">
              <w:t>Glx</w:t>
            </w:r>
            <w:proofErr w:type="spellEnd"/>
            <w:r w:rsidRPr="004A42CE">
              <w:t>) or 9 (GABA+) non-GD participants were included</w:t>
            </w:r>
            <w:bookmarkEnd w:id="3"/>
            <w:r w:rsidRPr="004A42CE">
              <w:t xml:space="preserve">, leading to </w:t>
            </w:r>
            <w:proofErr w:type="spellStart"/>
            <w:r w:rsidRPr="004A42CE">
              <w:t>SNRs</w:t>
            </w:r>
            <w:proofErr w:type="spellEnd"/>
            <w:r w:rsidRPr="004A42CE">
              <w:t xml:space="preserve"> for </w:t>
            </w:r>
            <w:proofErr w:type="spellStart"/>
            <w:r w:rsidRPr="004A42CE">
              <w:t>Glx</w:t>
            </w:r>
            <w:proofErr w:type="spellEnd"/>
            <w:r w:rsidRPr="004A42CE">
              <w:t xml:space="preserve"> of 18.14 (6.23) and 19.12 (5.45) and </w:t>
            </w:r>
            <w:proofErr w:type="spellStart"/>
            <w:r w:rsidRPr="004A42CE">
              <w:t>SNRs</w:t>
            </w:r>
            <w:proofErr w:type="spellEnd"/>
            <w:r w:rsidRPr="004A42CE">
              <w:t xml:space="preserve"> for GABA+ of 19.44 (6.76) and 19.38 (5.90), respectively.</w:t>
            </w:r>
          </w:p>
        </w:tc>
        <w:tc>
          <w:tcPr>
            <w:tcW w:w="2086" w:type="dxa"/>
          </w:tcPr>
          <w:p w14:paraId="218B3C9B" w14:textId="77777777" w:rsidR="00034448" w:rsidRPr="004A42CE" w:rsidRDefault="00034448" w:rsidP="005771D6">
            <w:pPr>
              <w:rPr>
                <w:i/>
                <w:iCs/>
              </w:rPr>
            </w:pPr>
          </w:p>
        </w:tc>
        <w:tc>
          <w:tcPr>
            <w:tcW w:w="2086" w:type="dxa"/>
          </w:tcPr>
          <w:p w14:paraId="75A0D4E8" w14:textId="77777777" w:rsidR="00034448" w:rsidRPr="004A42CE" w:rsidRDefault="00034448" w:rsidP="005771D6"/>
        </w:tc>
      </w:tr>
      <w:tr w:rsidR="0030207F" w:rsidRPr="004A42CE" w14:paraId="7C3D34C9" w14:textId="77777777" w:rsidTr="005771D6">
        <w:tc>
          <w:tcPr>
            <w:tcW w:w="3092" w:type="dxa"/>
          </w:tcPr>
          <w:p w14:paraId="53B88D1C" w14:textId="77777777" w:rsidR="00034448" w:rsidRPr="004A42CE" w:rsidRDefault="00034448" w:rsidP="005771D6">
            <w:r w:rsidRPr="004A42CE">
              <w:t>b. Data exclusion criteria</w:t>
            </w:r>
          </w:p>
        </w:tc>
        <w:tc>
          <w:tcPr>
            <w:tcW w:w="2086" w:type="dxa"/>
          </w:tcPr>
          <w:p w14:paraId="6A0A4DED" w14:textId="70B9FFA3" w:rsidR="00034448" w:rsidRPr="004A42CE" w:rsidRDefault="00EB35BE" w:rsidP="005771D6">
            <w:r w:rsidRPr="004A42CE">
              <w:rPr>
                <w:lang w:val="en-GB"/>
              </w:rPr>
              <w:t xml:space="preserve">GANNET Model fit was assessed based on visual inspection and FWHM within 3 </w:t>
            </w:r>
            <w:r w:rsidRPr="004A42CE">
              <w:rPr>
                <w:i/>
                <w:lang w:val="en-GB"/>
              </w:rPr>
              <w:t>SD</w:t>
            </w:r>
            <w:r w:rsidRPr="004A42CE">
              <w:rPr>
                <w:iCs/>
                <w:lang w:val="en-GB"/>
              </w:rPr>
              <w:t>s</w:t>
            </w:r>
            <w:r w:rsidRPr="004A42CE">
              <w:rPr>
                <w:lang w:val="en-GB"/>
              </w:rPr>
              <w:t xml:space="preserve"> from the group mean per metabolite.</w:t>
            </w:r>
          </w:p>
        </w:tc>
        <w:tc>
          <w:tcPr>
            <w:tcW w:w="2086" w:type="dxa"/>
          </w:tcPr>
          <w:p w14:paraId="285C6660" w14:textId="77777777" w:rsidR="00034448" w:rsidRPr="004A42CE" w:rsidRDefault="00034448" w:rsidP="005771D6">
            <w:pPr>
              <w:rPr>
                <w:i/>
                <w:iCs/>
              </w:rPr>
            </w:pPr>
          </w:p>
        </w:tc>
        <w:tc>
          <w:tcPr>
            <w:tcW w:w="2086" w:type="dxa"/>
          </w:tcPr>
          <w:p w14:paraId="7BD02C37" w14:textId="77777777" w:rsidR="00034448" w:rsidRPr="004A42CE" w:rsidRDefault="00034448" w:rsidP="005771D6"/>
        </w:tc>
      </w:tr>
      <w:tr w:rsidR="0030207F" w:rsidRPr="004A42CE" w14:paraId="00E1ACD4" w14:textId="77777777" w:rsidTr="005771D6">
        <w:tc>
          <w:tcPr>
            <w:tcW w:w="3092" w:type="dxa"/>
          </w:tcPr>
          <w:p w14:paraId="531EF822" w14:textId="77777777" w:rsidR="00034448" w:rsidRPr="004A42CE" w:rsidRDefault="00034448" w:rsidP="005771D6">
            <w:r w:rsidRPr="004A42CE">
              <w:t>c. Quality measures of postprocessing Model fitting (e.g. CRLB, goodness of fit, SD of residual)</w:t>
            </w:r>
          </w:p>
        </w:tc>
        <w:tc>
          <w:tcPr>
            <w:tcW w:w="2086" w:type="dxa"/>
          </w:tcPr>
          <w:p w14:paraId="66220698" w14:textId="74A1824C" w:rsidR="00034448" w:rsidRPr="004A42CE" w:rsidRDefault="000A7CBF" w:rsidP="005771D6">
            <w:pPr>
              <w:rPr>
                <w:i/>
                <w:iCs/>
              </w:rPr>
            </w:pPr>
            <w:r w:rsidRPr="004A42CE">
              <w:t>The mean Gannet Fit Error (</w:t>
            </w:r>
            <w:r w:rsidRPr="004A42CE">
              <w:rPr>
                <w:i/>
                <w:iCs/>
              </w:rPr>
              <w:t>SD</w:t>
            </w:r>
            <w:r w:rsidRPr="004A42CE">
              <w:t xml:space="preserve">) for included </w:t>
            </w:r>
            <w:proofErr w:type="spellStart"/>
            <w:r w:rsidRPr="004A42CE">
              <w:t>dACC</w:t>
            </w:r>
            <w:proofErr w:type="spellEnd"/>
            <w:r w:rsidRPr="004A42CE">
              <w:t xml:space="preserve"> MRS data </w:t>
            </w:r>
            <w:proofErr w:type="spellStart"/>
            <w:r w:rsidRPr="004A42CE">
              <w:t>equalled</w:t>
            </w:r>
            <w:proofErr w:type="spellEnd"/>
            <w:r w:rsidRPr="004A42CE">
              <w:t xml:space="preserve"> 8.29 (9.66) and 5.36 (1.71) for </w:t>
            </w:r>
            <w:proofErr w:type="spellStart"/>
            <w:r w:rsidRPr="004A42CE">
              <w:t>Glx</w:t>
            </w:r>
            <w:proofErr w:type="spellEnd"/>
            <w:r w:rsidRPr="004A42CE">
              <w:t xml:space="preserve">/Cr, and 9.42 (5.71) and 8.40 (3.75) for GABA+/Cr, respectively for GD and </w:t>
            </w:r>
            <w:r w:rsidRPr="004A42CE">
              <w:lastRenderedPageBreak/>
              <w:t>non-GD. The mean Gannet Fit Error (</w:t>
            </w:r>
            <w:r w:rsidRPr="004A42CE">
              <w:rPr>
                <w:i/>
                <w:iCs/>
              </w:rPr>
              <w:t>SD</w:t>
            </w:r>
            <w:r w:rsidRPr="004A42CE">
              <w:t xml:space="preserve">) for included </w:t>
            </w:r>
            <w:proofErr w:type="spellStart"/>
            <w:r w:rsidRPr="004A42CE">
              <w:t>dlPFC</w:t>
            </w:r>
            <w:proofErr w:type="spellEnd"/>
            <w:r w:rsidRPr="004A42CE">
              <w:t xml:space="preserve"> MRS data </w:t>
            </w:r>
            <w:proofErr w:type="spellStart"/>
            <w:r w:rsidRPr="004A42CE">
              <w:t>equalled</w:t>
            </w:r>
            <w:proofErr w:type="spellEnd"/>
            <w:r w:rsidRPr="004A42CE">
              <w:t xml:space="preserve"> 6.60 (3.09) and 5.96 (2.09) for </w:t>
            </w:r>
            <w:proofErr w:type="spellStart"/>
            <w:r w:rsidRPr="004A42CE">
              <w:t>Glx</w:t>
            </w:r>
            <w:proofErr w:type="spellEnd"/>
            <w:r w:rsidRPr="004A42CE">
              <w:t>/Cr, and 8.93 (3.44) and 8.16 (3.69) for GABA+/Cr, respectively for GD and non-GD. The mean Gannet Fit Error (</w:t>
            </w:r>
            <w:r w:rsidRPr="004A42CE">
              <w:rPr>
                <w:i/>
                <w:iCs/>
              </w:rPr>
              <w:t>SD</w:t>
            </w:r>
            <w:r w:rsidRPr="004A42CE">
              <w:t xml:space="preserve">) for included occipital MRS data </w:t>
            </w:r>
            <w:proofErr w:type="spellStart"/>
            <w:r w:rsidRPr="004A42CE">
              <w:t>equalled</w:t>
            </w:r>
            <w:proofErr w:type="spellEnd"/>
            <w:r w:rsidRPr="004A42CE">
              <w:t xml:space="preserve"> 6.58 (2.99) and 6.02 (1.42) for </w:t>
            </w:r>
            <w:proofErr w:type="spellStart"/>
            <w:r w:rsidRPr="004A42CE">
              <w:t>Glx</w:t>
            </w:r>
            <w:proofErr w:type="spellEnd"/>
            <w:r w:rsidRPr="004A42CE">
              <w:t>/Cr, and 6.47 (3.75) and 5.63 (1.60) for GABA+/Cr, respectively for GD and non-GD.</w:t>
            </w:r>
          </w:p>
        </w:tc>
        <w:tc>
          <w:tcPr>
            <w:tcW w:w="2086" w:type="dxa"/>
          </w:tcPr>
          <w:p w14:paraId="4263D1AE" w14:textId="77777777" w:rsidR="00034448" w:rsidRPr="004A42CE" w:rsidRDefault="00034448" w:rsidP="005771D6">
            <w:pPr>
              <w:rPr>
                <w:i/>
                <w:iCs/>
              </w:rPr>
            </w:pPr>
          </w:p>
        </w:tc>
        <w:tc>
          <w:tcPr>
            <w:tcW w:w="2086" w:type="dxa"/>
          </w:tcPr>
          <w:p w14:paraId="0A6FDF99" w14:textId="77777777" w:rsidR="00034448" w:rsidRPr="004A42CE" w:rsidRDefault="00034448" w:rsidP="005771D6"/>
        </w:tc>
      </w:tr>
      <w:tr w:rsidR="0030207F" w:rsidRPr="004A42CE" w14:paraId="2106221C" w14:textId="77777777" w:rsidTr="005771D6">
        <w:tc>
          <w:tcPr>
            <w:tcW w:w="3092" w:type="dxa"/>
          </w:tcPr>
          <w:p w14:paraId="6CAFF5FD" w14:textId="77777777" w:rsidR="00034448" w:rsidRPr="004A42CE" w:rsidRDefault="00034448" w:rsidP="005771D6">
            <w:r w:rsidRPr="004A42CE">
              <w:t>d. Sample Spectrum</w:t>
            </w:r>
          </w:p>
        </w:tc>
        <w:tc>
          <w:tcPr>
            <w:tcW w:w="2086" w:type="dxa"/>
          </w:tcPr>
          <w:p w14:paraId="357CD4DC" w14:textId="0CDE89B5" w:rsidR="00034448" w:rsidRPr="004A42CE" w:rsidRDefault="00EB35BE" w:rsidP="005771D6">
            <w:r w:rsidRPr="004A42CE">
              <w:t>See figure 2.</w:t>
            </w:r>
          </w:p>
        </w:tc>
        <w:tc>
          <w:tcPr>
            <w:tcW w:w="2086" w:type="dxa"/>
          </w:tcPr>
          <w:p w14:paraId="10FEDB29" w14:textId="77777777" w:rsidR="00034448" w:rsidRPr="004A42CE" w:rsidRDefault="00034448" w:rsidP="005771D6"/>
        </w:tc>
        <w:tc>
          <w:tcPr>
            <w:tcW w:w="2086" w:type="dxa"/>
          </w:tcPr>
          <w:p w14:paraId="1C2A6234" w14:textId="77777777" w:rsidR="00034448" w:rsidRPr="004A42CE" w:rsidRDefault="00034448" w:rsidP="005771D6"/>
        </w:tc>
      </w:tr>
      <w:bookmarkEnd w:id="0"/>
    </w:tbl>
    <w:p w14:paraId="382E443A" w14:textId="77777777" w:rsidR="00A017E2" w:rsidRPr="004A42CE" w:rsidRDefault="004A42CE"/>
    <w:sectPr w:rsidR="00A017E2" w:rsidRPr="004A42CE" w:rsidSect="00E93BBD">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D175" w16cex:dateUtc="2021-03-12T11:39:00Z"/>
  <w16cex:commentExtensible w16cex:durableId="23F5D134" w16cex:dateUtc="2021-03-12T11:3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6F79"/>
    <w:multiLevelType w:val="hybridMultilevel"/>
    <w:tmpl w:val="7FEAA8F2"/>
    <w:lvl w:ilvl="0" w:tplc="A9940332">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48"/>
    <w:rsid w:val="00034448"/>
    <w:rsid w:val="000A7CBF"/>
    <w:rsid w:val="0030207F"/>
    <w:rsid w:val="00427EDF"/>
    <w:rsid w:val="004A42CE"/>
    <w:rsid w:val="00551184"/>
    <w:rsid w:val="0056536E"/>
    <w:rsid w:val="00610680"/>
    <w:rsid w:val="00DB0868"/>
    <w:rsid w:val="00DD00DE"/>
    <w:rsid w:val="00E767F6"/>
    <w:rsid w:val="00E93BBD"/>
    <w:rsid w:val="00EB3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6696"/>
  <w15:chartTrackingRefBased/>
  <w15:docId w15:val="{1F88CEB5-A0D2-0340-9B45-DA23DE66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448"/>
    <w:pPr>
      <w:spacing w:after="200" w:line="276" w:lineRule="auto"/>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4448"/>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35BE"/>
    <w:rPr>
      <w:sz w:val="16"/>
      <w:szCs w:val="16"/>
    </w:rPr>
  </w:style>
  <w:style w:type="paragraph" w:styleId="CommentText">
    <w:name w:val="annotation text"/>
    <w:basedOn w:val="Normal"/>
    <w:link w:val="CommentTextChar"/>
    <w:uiPriority w:val="99"/>
    <w:semiHidden/>
    <w:unhideWhenUsed/>
    <w:rsid w:val="00EB35BE"/>
    <w:pPr>
      <w:spacing w:line="240" w:lineRule="auto"/>
    </w:pPr>
    <w:rPr>
      <w:sz w:val="20"/>
      <w:szCs w:val="20"/>
    </w:rPr>
  </w:style>
  <w:style w:type="character" w:customStyle="1" w:styleId="CommentTextChar">
    <w:name w:val="Comment Text Char"/>
    <w:basedOn w:val="DefaultParagraphFont"/>
    <w:link w:val="CommentText"/>
    <w:uiPriority w:val="99"/>
    <w:semiHidden/>
    <w:rsid w:val="00EB35BE"/>
    <w:rPr>
      <w:rFonts w:asciiTheme="minorHAnsi" w:hAnsiTheme="minorHAnsi" w:cstheme="minorBidi"/>
      <w:sz w:val="20"/>
      <w:szCs w:val="20"/>
      <w:lang w:val="en-US"/>
    </w:rPr>
  </w:style>
  <w:style w:type="paragraph" w:styleId="CommentSubject">
    <w:name w:val="annotation subject"/>
    <w:basedOn w:val="CommentText"/>
    <w:next w:val="CommentText"/>
    <w:link w:val="CommentSubjectChar"/>
    <w:uiPriority w:val="99"/>
    <w:semiHidden/>
    <w:unhideWhenUsed/>
    <w:rsid w:val="00EB35BE"/>
    <w:rPr>
      <w:b/>
      <w:bCs/>
    </w:rPr>
  </w:style>
  <w:style w:type="character" w:customStyle="1" w:styleId="CommentSubjectChar">
    <w:name w:val="Comment Subject Char"/>
    <w:basedOn w:val="CommentTextChar"/>
    <w:link w:val="CommentSubject"/>
    <w:uiPriority w:val="99"/>
    <w:semiHidden/>
    <w:rsid w:val="00EB35BE"/>
    <w:rPr>
      <w:rFonts w:asciiTheme="minorHAnsi" w:hAnsiTheme="minorHAnsi" w:cstheme="minorBidi"/>
      <w:b/>
      <w:bCs/>
      <w:sz w:val="20"/>
      <w:szCs w:val="20"/>
      <w:lang w:val="en-US"/>
    </w:rPr>
  </w:style>
  <w:style w:type="paragraph" w:styleId="BalloonText">
    <w:name w:val="Balloon Text"/>
    <w:basedOn w:val="Normal"/>
    <w:link w:val="BalloonTextChar"/>
    <w:uiPriority w:val="99"/>
    <w:semiHidden/>
    <w:unhideWhenUsed/>
    <w:rsid w:val="00DD0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0D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676</Words>
  <Characters>4266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Mullins</dc:creator>
  <cp:keywords/>
  <dc:description/>
  <cp:lastModifiedBy>kathrin</cp:lastModifiedBy>
  <cp:revision>5</cp:revision>
  <dcterms:created xsi:type="dcterms:W3CDTF">2021-03-12T12:09:00Z</dcterms:created>
  <dcterms:modified xsi:type="dcterms:W3CDTF">2021-03-12T13:42:00Z</dcterms:modified>
</cp:coreProperties>
</file>