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B81" w:rsidRPr="001E4B81" w:rsidRDefault="001E4B81" w:rsidP="00CB084A">
      <w:pPr>
        <w:spacing w:after="90" w:line="480" w:lineRule="auto"/>
        <w:outlineLvl w:val="0"/>
        <w:rPr>
          <w:rFonts w:ascii="Times New Roman" w:eastAsia="Times New Roman" w:hAnsi="Times New Roman"/>
          <w:sz w:val="22"/>
          <w:szCs w:val="22"/>
          <w:lang w:eastAsia="en-GB"/>
        </w:rPr>
      </w:pPr>
      <w:r w:rsidRPr="001E4B81">
        <w:rPr>
          <w:rFonts w:ascii="Times New Roman" w:eastAsia="Times New Roman" w:hAnsi="Times New Roman"/>
          <w:b/>
          <w:bCs/>
          <w:sz w:val="22"/>
          <w:szCs w:val="22"/>
          <w:lang w:eastAsia="en-GB"/>
        </w:rPr>
        <w:t xml:space="preserve">Supplement 5: </w:t>
      </w:r>
      <w:r w:rsidRPr="001E4B81">
        <w:rPr>
          <w:rFonts w:ascii="Times New Roman" w:eastAsia="Times New Roman" w:hAnsi="Times New Roman"/>
          <w:sz w:val="22"/>
          <w:szCs w:val="22"/>
          <w:lang w:eastAsia="en-GB"/>
        </w:rPr>
        <w:t>Risk of Bias Tables</w:t>
      </w:r>
    </w:p>
    <w:p w:rsidR="001E4B81" w:rsidRPr="001E4B81" w:rsidRDefault="001E4B81" w:rsidP="00CB084A">
      <w:pPr>
        <w:spacing w:after="90" w:line="480" w:lineRule="auto"/>
        <w:outlineLvl w:val="0"/>
        <w:rPr>
          <w:rFonts w:ascii="Times New Roman" w:eastAsia="Times New Roman" w:hAnsi="Times New Roman"/>
          <w:b/>
          <w:bCs/>
          <w:sz w:val="22"/>
          <w:szCs w:val="22"/>
          <w:lang w:eastAsia="en-GB"/>
        </w:rPr>
      </w:pPr>
    </w:p>
    <w:p w:rsidR="001E4B81" w:rsidRPr="001E4B81" w:rsidRDefault="001E4B81" w:rsidP="00CB084A">
      <w:pPr>
        <w:spacing w:after="90" w:line="480" w:lineRule="auto"/>
        <w:outlineLvl w:val="0"/>
        <w:rPr>
          <w:rFonts w:ascii="Times New Roman" w:eastAsia="Times New Roman" w:hAnsi="Times New Roman"/>
          <w:b/>
          <w:bCs/>
          <w:sz w:val="22"/>
          <w:szCs w:val="22"/>
          <w:lang w:eastAsia="en-GB"/>
        </w:rPr>
      </w:pPr>
      <w:r w:rsidRPr="001E4B81">
        <w:rPr>
          <w:rFonts w:ascii="Times New Roman" w:eastAsia="Times New Roman" w:hAnsi="Times New Roman"/>
          <w:b/>
          <w:bCs/>
          <w:sz w:val="22"/>
          <w:szCs w:val="22"/>
          <w:lang w:eastAsia="en-GB"/>
        </w:rPr>
        <w:t>Correll et al. 2017:</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842"/>
        <w:gridCol w:w="1334"/>
        <w:gridCol w:w="5970"/>
      </w:tblGrid>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vAlign w:val="center"/>
            <w:hideMark/>
          </w:tcPr>
          <w:p w:rsidR="001E4B81" w:rsidRPr="001E4B81" w:rsidRDefault="001E4B81" w:rsidP="00CB084A">
            <w:pPr>
              <w:spacing w:after="120" w:line="480" w:lineRule="auto"/>
              <w:rPr>
                <w:rFonts w:ascii="Times New Roman" w:eastAsia="Times New Roman" w:hAnsi="Times New Roman"/>
                <w:b/>
                <w:bCs/>
                <w:color w:val="0066CC"/>
                <w:lang w:eastAsia="en-GB"/>
              </w:rPr>
            </w:pPr>
            <w:r w:rsidRPr="001E4B81">
              <w:rPr>
                <w:rFonts w:ascii="Times New Roman" w:eastAsia="Times New Roman" w:hAnsi="Times New Roman"/>
                <w:b/>
                <w:bCs/>
                <w:color w:val="0066CC"/>
                <w:lang w:eastAsia="en-GB"/>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vAlign w:val="center"/>
            <w:hideMark/>
          </w:tcPr>
          <w:p w:rsidR="001E4B81" w:rsidRPr="001E4B81" w:rsidRDefault="001E4B81" w:rsidP="00CB084A">
            <w:pPr>
              <w:spacing w:after="120" w:line="480" w:lineRule="auto"/>
              <w:rPr>
                <w:rFonts w:ascii="Times New Roman" w:eastAsia="Times New Roman" w:hAnsi="Times New Roman"/>
                <w:b/>
                <w:bCs/>
                <w:color w:val="0066CC"/>
                <w:lang w:eastAsia="en-GB"/>
              </w:rPr>
            </w:pPr>
            <w:r w:rsidRPr="001E4B81">
              <w:rPr>
                <w:rFonts w:ascii="Times New Roman" w:eastAsia="Times New Roman" w:hAnsi="Times New Roman"/>
                <w:b/>
                <w:bCs/>
                <w:color w:val="0066CC"/>
                <w:lang w:eastAsia="en-GB"/>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E0E0E0"/>
            <w:vAlign w:val="center"/>
            <w:hideMark/>
          </w:tcPr>
          <w:p w:rsidR="001E4B81" w:rsidRPr="001E4B81" w:rsidRDefault="001E4B81" w:rsidP="00CB084A">
            <w:pPr>
              <w:spacing w:after="120" w:line="480" w:lineRule="auto"/>
              <w:rPr>
                <w:rFonts w:ascii="Times New Roman" w:eastAsia="Times New Roman" w:hAnsi="Times New Roman"/>
                <w:b/>
                <w:bCs/>
                <w:color w:val="0066CC"/>
                <w:lang w:eastAsia="en-GB"/>
              </w:rPr>
            </w:pPr>
            <w:r w:rsidRPr="001E4B81">
              <w:rPr>
                <w:rFonts w:ascii="Times New Roman" w:eastAsia="Times New Roman" w:hAnsi="Times New Roman"/>
                <w:b/>
                <w:bCs/>
                <w:color w:val="0066CC"/>
                <w:lang w:eastAsia="en-GB"/>
              </w:rPr>
              <w:t>Support for judgement</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12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12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Subjects were randomly assigned (1:1) to placebo or aripiprazole, but the method of randomisation was not described in the manuscript.</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Allocated to aripiprazole or placebo groups. Details of allocation concealment were not reported.</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Blinding (participants and outcome assessment)</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 xml:space="preserve">The dose increase and decrease were permitted in 5mg increments to a dose of 10 to 30mg, with the final dose determined by the investigator based on response and tolerability. Details of the blinding was not reported. Reported as double-blind, but blinding was not described. </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15 out of 98 in the aripiprazole arm, and 6 subjects out of 48 in the placebo arm completed the study. Investigators used the last observation carried forward (LOCF) method. All the row outcome data was not provided.</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 xml:space="preserve">Selective reporting </w:t>
            </w:r>
            <w:r w:rsidRPr="001E4B81">
              <w:rPr>
                <w:rFonts w:ascii="Times New Roman" w:eastAsia="Times New Roman" w:hAnsi="Times New Roman"/>
                <w:color w:val="0066CC"/>
                <w:lang w:eastAsia="en-GB"/>
              </w:rPr>
              <w:lastRenderedPageBreak/>
              <w:t>(reporting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lastRenderedPageBreak/>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 xml:space="preserve">Primary efficacy outcome (from randomizations to exacerbation of psychotic symptoms/impending relapse) was </w:t>
            </w:r>
            <w:r w:rsidRPr="001E4B81">
              <w:rPr>
                <w:rFonts w:ascii="Times New Roman" w:eastAsia="Times New Roman" w:hAnsi="Times New Roman"/>
                <w:lang w:eastAsia="en-GB"/>
              </w:rPr>
              <w:lastRenderedPageBreak/>
              <w:t xml:space="preserve">reported, and all the secondary efficacy outcome data were reported. All the safety assessment outcomes were reported. </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lastRenderedPageBreak/>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No other sources of bias identified</w:t>
            </w:r>
          </w:p>
        </w:tc>
      </w:tr>
    </w:tbl>
    <w:p w:rsidR="001E4B81" w:rsidRPr="001E4B81" w:rsidRDefault="001E4B81" w:rsidP="00CB084A">
      <w:pPr>
        <w:spacing w:after="90" w:line="480" w:lineRule="auto"/>
        <w:outlineLvl w:val="0"/>
        <w:rPr>
          <w:rFonts w:ascii="Times New Roman" w:eastAsia="Times New Roman" w:hAnsi="Times New Roman"/>
          <w:sz w:val="22"/>
          <w:szCs w:val="22"/>
          <w:lang w:eastAsia="en-GB"/>
        </w:rPr>
      </w:pPr>
    </w:p>
    <w:p w:rsidR="001E4B81" w:rsidRPr="001E4B81" w:rsidRDefault="001E4B81" w:rsidP="00CB084A">
      <w:pPr>
        <w:spacing w:line="480" w:lineRule="auto"/>
        <w:rPr>
          <w:rFonts w:ascii="Times New Roman" w:hAnsi="Times New Roman"/>
        </w:rPr>
      </w:pPr>
    </w:p>
    <w:p w:rsidR="001E4B81" w:rsidRPr="001E4B81" w:rsidRDefault="001E4B81" w:rsidP="00CB084A">
      <w:pPr>
        <w:spacing w:line="480" w:lineRule="auto"/>
        <w:rPr>
          <w:rFonts w:ascii="Times New Roman" w:hAnsi="Times New Roman"/>
          <w:b/>
          <w:bCs/>
        </w:rPr>
      </w:pPr>
      <w:r w:rsidRPr="001E4B81">
        <w:rPr>
          <w:rFonts w:ascii="Times New Roman" w:hAnsi="Times New Roman"/>
          <w:b/>
          <w:bCs/>
        </w:rPr>
        <w:t>Findling et al. 2012:</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968"/>
        <w:gridCol w:w="1369"/>
        <w:gridCol w:w="5809"/>
      </w:tblGrid>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vAlign w:val="center"/>
            <w:hideMark/>
          </w:tcPr>
          <w:p w:rsidR="001E4B81" w:rsidRPr="001E4B81" w:rsidRDefault="001E4B81" w:rsidP="00CB084A">
            <w:pPr>
              <w:spacing w:after="120" w:line="480" w:lineRule="auto"/>
              <w:rPr>
                <w:rFonts w:ascii="Times New Roman" w:eastAsia="Times New Roman" w:hAnsi="Times New Roman"/>
                <w:b/>
                <w:bCs/>
                <w:color w:val="0066CC"/>
                <w:lang w:eastAsia="en-GB"/>
              </w:rPr>
            </w:pPr>
            <w:r w:rsidRPr="001E4B81">
              <w:rPr>
                <w:rFonts w:ascii="Times New Roman" w:eastAsia="Times New Roman" w:hAnsi="Times New Roman"/>
                <w:b/>
                <w:bCs/>
                <w:color w:val="0066CC"/>
                <w:lang w:eastAsia="en-GB"/>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vAlign w:val="center"/>
            <w:hideMark/>
          </w:tcPr>
          <w:p w:rsidR="001E4B81" w:rsidRPr="001E4B81" w:rsidRDefault="001E4B81" w:rsidP="00CB084A">
            <w:pPr>
              <w:spacing w:after="120" w:line="480" w:lineRule="auto"/>
              <w:rPr>
                <w:rFonts w:ascii="Times New Roman" w:eastAsia="Times New Roman" w:hAnsi="Times New Roman"/>
                <w:b/>
                <w:bCs/>
                <w:color w:val="0066CC"/>
                <w:lang w:eastAsia="en-GB"/>
              </w:rPr>
            </w:pPr>
            <w:r w:rsidRPr="001E4B81">
              <w:rPr>
                <w:rFonts w:ascii="Times New Roman" w:eastAsia="Times New Roman" w:hAnsi="Times New Roman"/>
                <w:b/>
                <w:bCs/>
                <w:color w:val="0066CC"/>
                <w:lang w:eastAsia="en-GB"/>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E0E0E0"/>
            <w:vAlign w:val="center"/>
            <w:hideMark/>
          </w:tcPr>
          <w:p w:rsidR="001E4B81" w:rsidRPr="001E4B81" w:rsidRDefault="001E4B81" w:rsidP="00CB084A">
            <w:pPr>
              <w:spacing w:after="120" w:line="480" w:lineRule="auto"/>
              <w:rPr>
                <w:rFonts w:ascii="Times New Roman" w:eastAsia="Times New Roman" w:hAnsi="Times New Roman"/>
                <w:b/>
                <w:bCs/>
                <w:color w:val="0066CC"/>
                <w:lang w:eastAsia="en-GB"/>
              </w:rPr>
            </w:pPr>
            <w:r w:rsidRPr="001E4B81">
              <w:rPr>
                <w:rFonts w:ascii="Times New Roman" w:eastAsia="Times New Roman" w:hAnsi="Times New Roman"/>
                <w:b/>
                <w:bCs/>
                <w:color w:val="0066CC"/>
                <w:lang w:eastAsia="en-GB"/>
              </w:rPr>
              <w:t>Support for judgement</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12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12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 xml:space="preserve">Patients that achieve </w:t>
            </w:r>
            <w:proofErr w:type="spellStart"/>
            <w:r w:rsidRPr="001E4B81">
              <w:rPr>
                <w:rFonts w:ascii="Times New Roman" w:eastAsia="Times New Roman" w:hAnsi="Times New Roman"/>
                <w:lang w:eastAsia="en-GB"/>
              </w:rPr>
              <w:t>syndromal</w:t>
            </w:r>
            <w:proofErr w:type="spellEnd"/>
            <w:r w:rsidRPr="001E4B81">
              <w:rPr>
                <w:rFonts w:ascii="Times New Roman" w:eastAsia="Times New Roman" w:hAnsi="Times New Roman"/>
                <w:lang w:eastAsia="en-GB"/>
              </w:rPr>
              <w:t xml:space="preserve"> remission during Phase 1 were randomized in a double-blind fashion to receive either ongoing aripiprazole or placebo therapy during Phase 2, but the method of randomisation was not described in the manuscript.</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Allocated to aripiprazole or placebo groups. Details of allocation concealment were not reported.</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Blinding (participants and outcome assessment)</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Aripiprazole and the corresponding placebo were administered as identically appearing tables.</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 xml:space="preserve">6 participants in the aripiprazole arm completed the study, and none in the placebo arm completed the study. Investigators used the last observation carried forward </w:t>
            </w:r>
            <w:r w:rsidRPr="001E4B81">
              <w:rPr>
                <w:rFonts w:ascii="Times New Roman" w:eastAsia="Times New Roman" w:hAnsi="Times New Roman"/>
                <w:lang w:eastAsia="en-GB"/>
              </w:rPr>
              <w:lastRenderedPageBreak/>
              <w:t>(LOCF) method. All the row outcome data was not provided.</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lastRenderedPageBreak/>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Outcomes of mean duration before discontinuation due to deterioration, YMRS, CGAS, CGI, CDRS-R scores were reported.</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No other sources of bias identified</w:t>
            </w:r>
          </w:p>
        </w:tc>
      </w:tr>
    </w:tbl>
    <w:p w:rsidR="001E4B81" w:rsidRPr="001E4B81" w:rsidRDefault="001E4B81" w:rsidP="00CB084A">
      <w:pPr>
        <w:spacing w:line="480" w:lineRule="auto"/>
        <w:rPr>
          <w:rFonts w:ascii="Times New Roman" w:hAnsi="Times New Roman"/>
        </w:rPr>
      </w:pPr>
    </w:p>
    <w:p w:rsidR="001E4B81" w:rsidRPr="001E4B81" w:rsidRDefault="001E4B81" w:rsidP="00CB084A">
      <w:pPr>
        <w:spacing w:line="480" w:lineRule="auto"/>
        <w:rPr>
          <w:rFonts w:ascii="Times New Roman" w:hAnsi="Times New Roman"/>
          <w:b/>
          <w:bCs/>
        </w:rPr>
      </w:pPr>
      <w:r w:rsidRPr="001E4B81">
        <w:rPr>
          <w:rFonts w:ascii="Times New Roman" w:hAnsi="Times New Roman"/>
          <w:b/>
          <w:bCs/>
        </w:rPr>
        <w:t>Findling et al. 2013:</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815"/>
        <w:gridCol w:w="1326"/>
        <w:gridCol w:w="6005"/>
      </w:tblGrid>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vAlign w:val="center"/>
            <w:hideMark/>
          </w:tcPr>
          <w:p w:rsidR="001E4B81" w:rsidRPr="001E4B81" w:rsidRDefault="001E4B81" w:rsidP="00CB084A">
            <w:pPr>
              <w:spacing w:after="120" w:line="480" w:lineRule="auto"/>
              <w:rPr>
                <w:rFonts w:ascii="Times New Roman" w:eastAsia="Times New Roman" w:hAnsi="Times New Roman"/>
                <w:b/>
                <w:bCs/>
                <w:color w:val="0066CC"/>
                <w:lang w:eastAsia="en-GB"/>
              </w:rPr>
            </w:pPr>
            <w:r w:rsidRPr="001E4B81">
              <w:rPr>
                <w:rFonts w:ascii="Times New Roman" w:eastAsia="Times New Roman" w:hAnsi="Times New Roman"/>
                <w:b/>
                <w:bCs/>
                <w:color w:val="0066CC"/>
                <w:lang w:eastAsia="en-GB"/>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vAlign w:val="center"/>
            <w:hideMark/>
          </w:tcPr>
          <w:p w:rsidR="001E4B81" w:rsidRPr="001E4B81" w:rsidRDefault="001E4B81" w:rsidP="00CB084A">
            <w:pPr>
              <w:spacing w:after="120" w:line="480" w:lineRule="auto"/>
              <w:rPr>
                <w:rFonts w:ascii="Times New Roman" w:eastAsia="Times New Roman" w:hAnsi="Times New Roman"/>
                <w:b/>
                <w:bCs/>
                <w:color w:val="0066CC"/>
                <w:lang w:eastAsia="en-GB"/>
              </w:rPr>
            </w:pPr>
            <w:r w:rsidRPr="001E4B81">
              <w:rPr>
                <w:rFonts w:ascii="Times New Roman" w:eastAsia="Times New Roman" w:hAnsi="Times New Roman"/>
                <w:b/>
                <w:bCs/>
                <w:color w:val="0066CC"/>
                <w:lang w:eastAsia="en-GB"/>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E0E0E0"/>
            <w:vAlign w:val="center"/>
            <w:hideMark/>
          </w:tcPr>
          <w:p w:rsidR="001E4B81" w:rsidRPr="001E4B81" w:rsidRDefault="001E4B81" w:rsidP="00CB084A">
            <w:pPr>
              <w:spacing w:after="120" w:line="480" w:lineRule="auto"/>
              <w:rPr>
                <w:rFonts w:ascii="Times New Roman" w:eastAsia="Times New Roman" w:hAnsi="Times New Roman"/>
                <w:b/>
                <w:bCs/>
                <w:color w:val="0066CC"/>
                <w:lang w:eastAsia="en-GB"/>
              </w:rPr>
            </w:pPr>
            <w:r w:rsidRPr="001E4B81">
              <w:rPr>
                <w:rFonts w:ascii="Times New Roman" w:eastAsia="Times New Roman" w:hAnsi="Times New Roman"/>
                <w:b/>
                <w:bCs/>
                <w:color w:val="0066CC"/>
                <w:lang w:eastAsia="en-GB"/>
              </w:rPr>
              <w:t>Support for judgement</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12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12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Randomization occurred at 1:1:1 ratio, to aripiprazole 10mg/day, 30mg a day or matching placebo once daily. The method of randomisation was not described in the manuscript.</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The details of allocation concealment was not reported.</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Blinding (participants and outcome assessment)</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 xml:space="preserve">Double-blinded aripiprazole or placebo was taken daily. Investigators could decrease the dose once to 5mg/day from 10mg/day or to 15mg/day from 30mg/day, and increasing the dose once to 10mg/day or 20mg/day respectably. The details how this was carried out whilst blinding was maintained was </w:t>
            </w:r>
            <w:r w:rsidRPr="001E4B81">
              <w:rPr>
                <w:rFonts w:ascii="Times New Roman" w:eastAsia="Times New Roman" w:hAnsi="Times New Roman"/>
                <w:lang w:eastAsia="en-GB"/>
              </w:rPr>
              <w:lastRenderedPageBreak/>
              <w:t>not reported. Details of the blinding not reported.</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lastRenderedPageBreak/>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 xml:space="preserve">In the 10mg/day aripiprazole, 30mg/day and placebo arms, 41 out of 75, 49 out of 71 and 52 out of 64 completed the study respectively. All the row outcome data was not reported. Intention-to treat analysis was implemented (LOCF). </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Outcomes of mean duration before discontinuation due to any reason, YMRS, CGAS, CGI, CDRS-R scores were reported.</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This study was funded by Pharmaceutical Company. However, we did not consider this to be a matter of concern</w:t>
            </w:r>
          </w:p>
        </w:tc>
      </w:tr>
    </w:tbl>
    <w:p w:rsidR="001E4B81" w:rsidRPr="001E4B81" w:rsidRDefault="001E4B81" w:rsidP="00CB084A">
      <w:pPr>
        <w:spacing w:line="480" w:lineRule="auto"/>
        <w:rPr>
          <w:rFonts w:ascii="Times New Roman" w:hAnsi="Times New Roman"/>
        </w:rPr>
      </w:pPr>
    </w:p>
    <w:p w:rsidR="001E4B81" w:rsidRPr="001E4B81" w:rsidRDefault="001E4B81" w:rsidP="00CB084A">
      <w:pPr>
        <w:spacing w:line="480" w:lineRule="auto"/>
        <w:rPr>
          <w:rFonts w:ascii="Times New Roman" w:hAnsi="Times New Roman"/>
          <w:b/>
          <w:bCs/>
        </w:rPr>
      </w:pPr>
      <w:r w:rsidRPr="001E4B81">
        <w:rPr>
          <w:rFonts w:ascii="Times New Roman" w:hAnsi="Times New Roman"/>
          <w:b/>
          <w:bCs/>
        </w:rPr>
        <w:t>Findling et al. 2014:</w:t>
      </w:r>
      <w:bookmarkStart w:id="0" w:name="_GoBack"/>
      <w:bookmarkEnd w:id="0"/>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777"/>
        <w:gridCol w:w="1315"/>
        <w:gridCol w:w="6054"/>
      </w:tblGrid>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vAlign w:val="center"/>
            <w:hideMark/>
          </w:tcPr>
          <w:p w:rsidR="001E4B81" w:rsidRPr="001E4B81" w:rsidRDefault="001E4B81" w:rsidP="00CB084A">
            <w:pPr>
              <w:spacing w:after="120" w:line="480" w:lineRule="auto"/>
              <w:rPr>
                <w:rFonts w:ascii="Times New Roman" w:eastAsia="Times New Roman" w:hAnsi="Times New Roman"/>
                <w:b/>
                <w:bCs/>
                <w:color w:val="0066CC"/>
                <w:lang w:eastAsia="en-GB"/>
              </w:rPr>
            </w:pPr>
            <w:r w:rsidRPr="001E4B81">
              <w:rPr>
                <w:rFonts w:ascii="Times New Roman" w:eastAsia="Times New Roman" w:hAnsi="Times New Roman"/>
                <w:b/>
                <w:bCs/>
                <w:color w:val="0066CC"/>
                <w:lang w:eastAsia="en-GB"/>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vAlign w:val="center"/>
            <w:hideMark/>
          </w:tcPr>
          <w:p w:rsidR="001E4B81" w:rsidRPr="001E4B81" w:rsidRDefault="001E4B81" w:rsidP="00CB084A">
            <w:pPr>
              <w:spacing w:after="120" w:line="480" w:lineRule="auto"/>
              <w:rPr>
                <w:rFonts w:ascii="Times New Roman" w:eastAsia="Times New Roman" w:hAnsi="Times New Roman"/>
                <w:b/>
                <w:bCs/>
                <w:color w:val="0066CC"/>
                <w:lang w:eastAsia="en-GB"/>
              </w:rPr>
            </w:pPr>
            <w:r w:rsidRPr="001E4B81">
              <w:rPr>
                <w:rFonts w:ascii="Times New Roman" w:eastAsia="Times New Roman" w:hAnsi="Times New Roman"/>
                <w:b/>
                <w:bCs/>
                <w:color w:val="0066CC"/>
                <w:lang w:eastAsia="en-GB"/>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E0E0E0"/>
            <w:vAlign w:val="center"/>
            <w:hideMark/>
          </w:tcPr>
          <w:p w:rsidR="001E4B81" w:rsidRPr="001E4B81" w:rsidRDefault="001E4B81" w:rsidP="00CB084A">
            <w:pPr>
              <w:spacing w:after="120" w:line="480" w:lineRule="auto"/>
              <w:rPr>
                <w:rFonts w:ascii="Times New Roman" w:eastAsia="Times New Roman" w:hAnsi="Times New Roman"/>
                <w:b/>
                <w:bCs/>
                <w:color w:val="0066CC"/>
                <w:lang w:eastAsia="en-GB"/>
              </w:rPr>
            </w:pPr>
            <w:r w:rsidRPr="001E4B81">
              <w:rPr>
                <w:rFonts w:ascii="Times New Roman" w:eastAsia="Times New Roman" w:hAnsi="Times New Roman"/>
                <w:b/>
                <w:bCs/>
                <w:color w:val="0066CC"/>
                <w:lang w:eastAsia="en-GB"/>
              </w:rPr>
              <w:t>Support for judgement</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12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12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Method of randomisation was not described in the manuscript</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Randomisation was performed via a centralised call-in system</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lastRenderedPageBreak/>
              <w:t>Blinding (participants and outcome assessment)</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Double-blinded aripiprazole or placebo was taken once daily. Details of the blinding was not reported.</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19 out of 44 children/adolescents completed the placebo arm of the trial. Twenty-five discontinued and 23 of them due to lack of efficacy. Out of 41 subjects, 22 completed the aripiprazole arm of the trial. Row outcome data was not provided. However, the last observation of the subjects who discontinued was carried forward.</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Although NCBRF D-Total scores were reported as the primary outcome, two of the remaining subscales (</w:t>
            </w:r>
            <w:proofErr w:type="spellStart"/>
            <w:r w:rsidRPr="001E4B81">
              <w:rPr>
                <w:rFonts w:ascii="Times New Roman" w:eastAsia="Times New Roman" w:hAnsi="Times New Roman"/>
                <w:lang w:eastAsia="en-GB"/>
              </w:rPr>
              <w:t>ie</w:t>
            </w:r>
            <w:proofErr w:type="spellEnd"/>
            <w:r w:rsidRPr="001E4B81">
              <w:rPr>
                <w:rFonts w:ascii="Times New Roman" w:eastAsia="Times New Roman" w:hAnsi="Times New Roman"/>
                <w:lang w:eastAsia="en-GB"/>
              </w:rPr>
              <w:t>: Oppositional, and Conduct Problems) data were not reported</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No other sources of bias identified</w:t>
            </w:r>
          </w:p>
        </w:tc>
      </w:tr>
    </w:tbl>
    <w:p w:rsidR="001E4B81" w:rsidRPr="001E4B81" w:rsidRDefault="001E4B81" w:rsidP="00CB084A">
      <w:pPr>
        <w:spacing w:line="480" w:lineRule="auto"/>
        <w:rPr>
          <w:rFonts w:ascii="Times New Roman" w:hAnsi="Times New Roman"/>
        </w:rPr>
      </w:pPr>
    </w:p>
    <w:p w:rsidR="001E4B81" w:rsidRPr="001E4B81" w:rsidRDefault="001E4B81" w:rsidP="00CB084A">
      <w:pPr>
        <w:spacing w:line="480" w:lineRule="auto"/>
        <w:rPr>
          <w:rFonts w:ascii="Times New Roman" w:hAnsi="Times New Roman"/>
          <w:b/>
          <w:bCs/>
        </w:rPr>
      </w:pPr>
      <w:r w:rsidRPr="001E4B81">
        <w:rPr>
          <w:rFonts w:ascii="Times New Roman" w:hAnsi="Times New Roman"/>
          <w:b/>
          <w:bCs/>
        </w:rPr>
        <w:t>Findling et al. 2017:</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981"/>
        <w:gridCol w:w="1373"/>
        <w:gridCol w:w="5792"/>
      </w:tblGrid>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vAlign w:val="center"/>
            <w:hideMark/>
          </w:tcPr>
          <w:p w:rsidR="001E4B81" w:rsidRPr="001E4B81" w:rsidRDefault="001E4B81" w:rsidP="00CB084A">
            <w:pPr>
              <w:spacing w:after="120" w:line="480" w:lineRule="auto"/>
              <w:rPr>
                <w:rFonts w:ascii="Times New Roman" w:eastAsia="Times New Roman" w:hAnsi="Times New Roman"/>
                <w:b/>
                <w:bCs/>
                <w:color w:val="0066CC"/>
                <w:lang w:eastAsia="en-GB"/>
              </w:rPr>
            </w:pPr>
            <w:r w:rsidRPr="001E4B81">
              <w:rPr>
                <w:rFonts w:ascii="Times New Roman" w:eastAsia="Times New Roman" w:hAnsi="Times New Roman"/>
                <w:b/>
                <w:bCs/>
                <w:color w:val="0066CC"/>
                <w:lang w:eastAsia="en-GB"/>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vAlign w:val="center"/>
            <w:hideMark/>
          </w:tcPr>
          <w:p w:rsidR="001E4B81" w:rsidRPr="001E4B81" w:rsidRDefault="001E4B81" w:rsidP="00CB084A">
            <w:pPr>
              <w:spacing w:after="120" w:line="480" w:lineRule="auto"/>
              <w:rPr>
                <w:rFonts w:ascii="Times New Roman" w:eastAsia="Times New Roman" w:hAnsi="Times New Roman"/>
                <w:b/>
                <w:bCs/>
                <w:color w:val="0066CC"/>
                <w:lang w:eastAsia="en-GB"/>
              </w:rPr>
            </w:pPr>
            <w:r w:rsidRPr="001E4B81">
              <w:rPr>
                <w:rFonts w:ascii="Times New Roman" w:eastAsia="Times New Roman" w:hAnsi="Times New Roman"/>
                <w:b/>
                <w:bCs/>
                <w:color w:val="0066CC"/>
                <w:lang w:eastAsia="en-GB"/>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E0E0E0"/>
            <w:vAlign w:val="center"/>
            <w:hideMark/>
          </w:tcPr>
          <w:p w:rsidR="001E4B81" w:rsidRPr="001E4B81" w:rsidRDefault="001E4B81" w:rsidP="00CB084A">
            <w:pPr>
              <w:spacing w:after="120" w:line="480" w:lineRule="auto"/>
              <w:rPr>
                <w:rFonts w:ascii="Times New Roman" w:eastAsia="Times New Roman" w:hAnsi="Times New Roman"/>
                <w:b/>
                <w:bCs/>
                <w:color w:val="0066CC"/>
                <w:lang w:eastAsia="en-GB"/>
              </w:rPr>
            </w:pPr>
            <w:r w:rsidRPr="001E4B81">
              <w:rPr>
                <w:rFonts w:ascii="Times New Roman" w:eastAsia="Times New Roman" w:hAnsi="Times New Roman"/>
                <w:b/>
                <w:bCs/>
                <w:color w:val="0066CC"/>
                <w:lang w:eastAsia="en-GB"/>
              </w:rPr>
              <w:t>Support for judgement</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12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12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Randomization occurred at 1:1 ratio, was stratified by site, and balanced for diagnosis of comorbid conduct disorder (CD) versus Opposition Defiant Disorder (ODD).</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 xml:space="preserve">Allocation </w:t>
            </w:r>
            <w:r w:rsidRPr="001E4B81">
              <w:rPr>
                <w:rFonts w:ascii="Times New Roman" w:eastAsia="Times New Roman" w:hAnsi="Times New Roman"/>
                <w:color w:val="0066CC"/>
                <w:lang w:eastAsia="en-GB"/>
              </w:rPr>
              <w:lastRenderedPageBreak/>
              <w:t>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lastRenderedPageBreak/>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 xml:space="preserve">Randomization was performed by web-based </w:t>
            </w:r>
            <w:r w:rsidRPr="001E4B81">
              <w:rPr>
                <w:rFonts w:ascii="Times New Roman" w:eastAsia="Times New Roman" w:hAnsi="Times New Roman"/>
                <w:lang w:eastAsia="en-GB"/>
              </w:rPr>
              <w:lastRenderedPageBreak/>
              <w:t>centralization system.</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lastRenderedPageBreak/>
              <w:t>Blinding (participants and outcome assessment)</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 xml:space="preserve">Double-blinded risperidone or placebo was taken daily. Patients and parents were unaware of assignment to placebo or risperidone. Details of the blinding was not reported. </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47 out of 54 participants completed the risperidone arm of the trial, and 41 out of 49 participants of placebo arm of completed the trial. The last observations were carried forward.</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Primary outcome (NCBRF Disruptive Behaviour Total) data available. Some of the secondary outcome data (CASI-4R scores and CGI-I scores) were not available. However, the non-significance after comparison of this data were reported.</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No other sources of bias identified</w:t>
            </w:r>
          </w:p>
        </w:tc>
      </w:tr>
    </w:tbl>
    <w:p w:rsidR="001E4B81" w:rsidRPr="001E4B81" w:rsidRDefault="001E4B81" w:rsidP="00CB084A">
      <w:pPr>
        <w:spacing w:line="480" w:lineRule="auto"/>
        <w:rPr>
          <w:rFonts w:ascii="Times New Roman" w:hAnsi="Times New Roman"/>
        </w:rPr>
      </w:pPr>
    </w:p>
    <w:p w:rsidR="001E4B81" w:rsidRPr="001E4B81" w:rsidRDefault="001E4B81" w:rsidP="00CB084A">
      <w:pPr>
        <w:spacing w:line="480" w:lineRule="auto"/>
        <w:rPr>
          <w:rFonts w:ascii="Times New Roman" w:hAnsi="Times New Roman"/>
          <w:b/>
          <w:bCs/>
        </w:rPr>
      </w:pPr>
      <w:r w:rsidRPr="001E4B81">
        <w:rPr>
          <w:rFonts w:ascii="Times New Roman" w:hAnsi="Times New Roman"/>
          <w:b/>
          <w:bCs/>
        </w:rPr>
        <w:t>Reyes et al. 2006:</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823"/>
        <w:gridCol w:w="1328"/>
        <w:gridCol w:w="5995"/>
      </w:tblGrid>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vAlign w:val="center"/>
            <w:hideMark/>
          </w:tcPr>
          <w:p w:rsidR="001E4B81" w:rsidRPr="001E4B81" w:rsidRDefault="001E4B81" w:rsidP="00CB084A">
            <w:pPr>
              <w:spacing w:after="120" w:line="480" w:lineRule="auto"/>
              <w:rPr>
                <w:rFonts w:ascii="Times New Roman" w:eastAsia="Times New Roman" w:hAnsi="Times New Roman"/>
                <w:b/>
                <w:bCs/>
                <w:color w:val="0066CC"/>
                <w:lang w:eastAsia="en-GB"/>
              </w:rPr>
            </w:pPr>
            <w:r w:rsidRPr="001E4B81">
              <w:rPr>
                <w:rFonts w:ascii="Times New Roman" w:eastAsia="Times New Roman" w:hAnsi="Times New Roman"/>
                <w:b/>
                <w:bCs/>
                <w:color w:val="0066CC"/>
                <w:lang w:eastAsia="en-GB"/>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vAlign w:val="center"/>
            <w:hideMark/>
          </w:tcPr>
          <w:p w:rsidR="001E4B81" w:rsidRPr="001E4B81" w:rsidRDefault="001E4B81" w:rsidP="00CB084A">
            <w:pPr>
              <w:spacing w:after="120" w:line="480" w:lineRule="auto"/>
              <w:rPr>
                <w:rFonts w:ascii="Times New Roman" w:eastAsia="Times New Roman" w:hAnsi="Times New Roman"/>
                <w:b/>
                <w:bCs/>
                <w:color w:val="0066CC"/>
                <w:lang w:eastAsia="en-GB"/>
              </w:rPr>
            </w:pPr>
            <w:r w:rsidRPr="001E4B81">
              <w:rPr>
                <w:rFonts w:ascii="Times New Roman" w:eastAsia="Times New Roman" w:hAnsi="Times New Roman"/>
                <w:b/>
                <w:bCs/>
                <w:color w:val="0066CC"/>
                <w:lang w:eastAsia="en-GB"/>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E0E0E0"/>
            <w:vAlign w:val="center"/>
            <w:hideMark/>
          </w:tcPr>
          <w:p w:rsidR="001E4B81" w:rsidRPr="001E4B81" w:rsidRDefault="001E4B81" w:rsidP="00CB084A">
            <w:pPr>
              <w:spacing w:after="120" w:line="480" w:lineRule="auto"/>
              <w:rPr>
                <w:rFonts w:ascii="Times New Roman" w:eastAsia="Times New Roman" w:hAnsi="Times New Roman"/>
                <w:b/>
                <w:bCs/>
                <w:color w:val="0066CC"/>
                <w:lang w:eastAsia="en-GB"/>
              </w:rPr>
            </w:pPr>
            <w:r w:rsidRPr="001E4B81">
              <w:rPr>
                <w:rFonts w:ascii="Times New Roman" w:eastAsia="Times New Roman" w:hAnsi="Times New Roman"/>
                <w:b/>
                <w:bCs/>
                <w:color w:val="0066CC"/>
                <w:lang w:eastAsia="en-GB"/>
              </w:rPr>
              <w:t>Support for judgement</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12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 xml:space="preserve">Random sequence generation </w:t>
            </w:r>
            <w:r w:rsidRPr="001E4B81">
              <w:rPr>
                <w:rFonts w:ascii="Times New Roman" w:eastAsia="Times New Roman" w:hAnsi="Times New Roman"/>
                <w:color w:val="0066CC"/>
                <w:lang w:eastAsia="en-GB"/>
              </w:rPr>
              <w:lastRenderedPageBreak/>
              <w:t>(selection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12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lastRenderedPageBreak/>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The randomization code was generated by the study sponsor. Treatment numbers allocated at each investigative centre in chronological order.</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lastRenderedPageBreak/>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Allocated to risperidone or placebo groups. Details of allocation concealment were not reported</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Blinding (participants and outcome assessment)</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Patients and parents were unaware of assignment to placebo or risperidone. Placebo and risperidone oral solutions were identical in appearance and flavour.</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100 participants out of 172 who were on risperidone completed the study. In the placebo arm, out of 163 subjects, 62 completed the study. Row outcome data was not provided. The last observation of all subjects who received at least one dose of placebo or risperidone during double blind maintenance phase was carried forward.</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All outcomes in protocol were reported in the study.</w:t>
            </w:r>
          </w:p>
        </w:tc>
      </w:tr>
      <w:tr w:rsidR="001E4B81" w:rsidRPr="001E4B81" w:rsidTr="00E5019E">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E0E0E0"/>
            <w:hideMark/>
          </w:tcPr>
          <w:p w:rsidR="001E4B81" w:rsidRPr="001E4B81" w:rsidRDefault="001E4B81" w:rsidP="00CB084A">
            <w:pPr>
              <w:spacing w:after="0" w:line="480" w:lineRule="auto"/>
              <w:rPr>
                <w:rFonts w:ascii="Times New Roman" w:eastAsia="Times New Roman" w:hAnsi="Times New Roman"/>
                <w:color w:val="0066CC"/>
                <w:lang w:eastAsia="en-GB"/>
              </w:rPr>
            </w:pPr>
            <w:r w:rsidRPr="001E4B81">
              <w:rPr>
                <w:rFonts w:ascii="Times New Roman" w:eastAsia="Times New Roman" w:hAnsi="Times New Roman"/>
                <w:color w:val="0066CC"/>
                <w:lang w:eastAsia="en-GB"/>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1E4B81" w:rsidRPr="001E4B81" w:rsidRDefault="001E4B81" w:rsidP="00CB084A">
            <w:pPr>
              <w:spacing w:after="0" w:line="480" w:lineRule="auto"/>
              <w:rPr>
                <w:rFonts w:ascii="Times New Roman" w:eastAsia="Times New Roman" w:hAnsi="Times New Roman"/>
                <w:lang w:eastAsia="en-GB"/>
              </w:rPr>
            </w:pPr>
            <w:r w:rsidRPr="001E4B81">
              <w:rPr>
                <w:rFonts w:ascii="Times New Roman" w:eastAsia="Times New Roman" w:hAnsi="Times New Roman"/>
                <w:lang w:eastAsia="en-GB"/>
              </w:rPr>
              <w:t>No other sources of bias identified.</w:t>
            </w:r>
          </w:p>
        </w:tc>
      </w:tr>
    </w:tbl>
    <w:p w:rsidR="00DD59E6" w:rsidRPr="00847B15" w:rsidRDefault="00DD59E6" w:rsidP="00847B15">
      <w:pPr>
        <w:pStyle w:val="NoSpacing"/>
      </w:pPr>
    </w:p>
    <w:sectPr w:rsidR="00DD59E6" w:rsidRPr="00847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222B08"/>
    <w:lvl w:ilvl="0">
      <w:start w:val="1"/>
      <w:numFmt w:val="decimal"/>
      <w:lvlText w:val="%1."/>
      <w:lvlJc w:val="left"/>
      <w:pPr>
        <w:tabs>
          <w:tab w:val="num" w:pos="1492"/>
        </w:tabs>
        <w:ind w:left="1492" w:hanging="360"/>
      </w:pPr>
    </w:lvl>
  </w:abstractNum>
  <w:abstractNum w:abstractNumId="1">
    <w:nsid w:val="FFFFFF7D"/>
    <w:multiLevelType w:val="singleLevel"/>
    <w:tmpl w:val="A6326C82"/>
    <w:lvl w:ilvl="0">
      <w:start w:val="1"/>
      <w:numFmt w:val="decimal"/>
      <w:lvlText w:val="%1."/>
      <w:lvlJc w:val="left"/>
      <w:pPr>
        <w:tabs>
          <w:tab w:val="num" w:pos="1209"/>
        </w:tabs>
        <w:ind w:left="1209" w:hanging="360"/>
      </w:pPr>
    </w:lvl>
  </w:abstractNum>
  <w:abstractNum w:abstractNumId="2">
    <w:nsid w:val="FFFFFF7E"/>
    <w:multiLevelType w:val="singleLevel"/>
    <w:tmpl w:val="03EE0E0E"/>
    <w:lvl w:ilvl="0">
      <w:start w:val="1"/>
      <w:numFmt w:val="decimal"/>
      <w:lvlText w:val="%1."/>
      <w:lvlJc w:val="left"/>
      <w:pPr>
        <w:tabs>
          <w:tab w:val="num" w:pos="926"/>
        </w:tabs>
        <w:ind w:left="926" w:hanging="360"/>
      </w:pPr>
    </w:lvl>
  </w:abstractNum>
  <w:abstractNum w:abstractNumId="3">
    <w:nsid w:val="FFFFFF7F"/>
    <w:multiLevelType w:val="singleLevel"/>
    <w:tmpl w:val="E4A8BAF6"/>
    <w:lvl w:ilvl="0">
      <w:start w:val="1"/>
      <w:numFmt w:val="decimal"/>
      <w:lvlText w:val="%1."/>
      <w:lvlJc w:val="left"/>
      <w:pPr>
        <w:tabs>
          <w:tab w:val="num" w:pos="643"/>
        </w:tabs>
        <w:ind w:left="643" w:hanging="360"/>
      </w:pPr>
    </w:lvl>
  </w:abstractNum>
  <w:abstractNum w:abstractNumId="4">
    <w:nsid w:val="FFFFFF80"/>
    <w:multiLevelType w:val="singleLevel"/>
    <w:tmpl w:val="6FE87B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5E22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4029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8C70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5815CA"/>
    <w:lvl w:ilvl="0">
      <w:start w:val="1"/>
      <w:numFmt w:val="decimal"/>
      <w:lvlText w:val="%1."/>
      <w:lvlJc w:val="left"/>
      <w:pPr>
        <w:tabs>
          <w:tab w:val="num" w:pos="360"/>
        </w:tabs>
        <w:ind w:left="360" w:hanging="360"/>
      </w:pPr>
    </w:lvl>
  </w:abstractNum>
  <w:abstractNum w:abstractNumId="9">
    <w:nsid w:val="FFFFFF89"/>
    <w:multiLevelType w:val="singleLevel"/>
    <w:tmpl w:val="3C40ECD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5E"/>
    <w:rsid w:val="0011537E"/>
    <w:rsid w:val="001523FD"/>
    <w:rsid w:val="001E4B81"/>
    <w:rsid w:val="003439FC"/>
    <w:rsid w:val="00361E9D"/>
    <w:rsid w:val="005533FF"/>
    <w:rsid w:val="005F3EA9"/>
    <w:rsid w:val="00690682"/>
    <w:rsid w:val="00783B7B"/>
    <w:rsid w:val="00847B15"/>
    <w:rsid w:val="00B7385E"/>
    <w:rsid w:val="00B96B27"/>
    <w:rsid w:val="00CB084A"/>
    <w:rsid w:val="00DD5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27"/>
    <w:pPr>
      <w:spacing w:after="160" w:line="259"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B2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27"/>
    <w:pPr>
      <w:spacing w:after="160" w:line="259"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B2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1109</Words>
  <Characters>6322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 London and Maudsley NHS Foundation Trust</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Singappuli, Pushpika</dc:creator>
  <cp:lastModifiedBy>Pushpika Singappuli</cp:lastModifiedBy>
  <cp:revision>2</cp:revision>
  <dcterms:created xsi:type="dcterms:W3CDTF">2021-01-14T01:00:00Z</dcterms:created>
  <dcterms:modified xsi:type="dcterms:W3CDTF">2021-01-14T01:00:00Z</dcterms:modified>
</cp:coreProperties>
</file>