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CFFBA" w14:textId="21649347" w:rsidR="00EE25FB" w:rsidRDefault="001823E1" w:rsidP="00AF4F00">
      <w:pPr>
        <w:spacing w:after="0" w:line="480" w:lineRule="auto"/>
        <w:jc w:val="center"/>
        <w:rPr>
          <w:rFonts w:ascii="Times New Roman" w:hAnsi="Times New Roman" w:cs="Times New Roman"/>
          <w:b/>
          <w:bCs/>
          <w:sz w:val="24"/>
          <w:szCs w:val="24"/>
          <w:lang w:val="en-GB"/>
        </w:rPr>
      </w:pPr>
      <w:bookmarkStart w:id="0" w:name="_GoBack"/>
      <w:bookmarkEnd w:id="0"/>
      <w:r w:rsidRPr="00D304F4">
        <w:rPr>
          <w:rFonts w:ascii="Times New Roman" w:hAnsi="Times New Roman" w:cs="Times New Roman"/>
          <w:b/>
          <w:bCs/>
          <w:sz w:val="24"/>
          <w:szCs w:val="24"/>
          <w:lang w:val="en-GB"/>
        </w:rPr>
        <w:t>Supplementary Material</w:t>
      </w:r>
    </w:p>
    <w:p w14:paraId="2A72CFE1" w14:textId="77777777" w:rsidR="00D304F4" w:rsidRPr="00D304F4" w:rsidRDefault="00D304F4" w:rsidP="00AF4F00">
      <w:pPr>
        <w:spacing w:after="0" w:line="480" w:lineRule="auto"/>
        <w:jc w:val="center"/>
        <w:rPr>
          <w:rFonts w:ascii="Times New Roman" w:hAnsi="Times New Roman" w:cs="Times New Roman"/>
          <w:b/>
          <w:bCs/>
          <w:sz w:val="24"/>
          <w:szCs w:val="24"/>
          <w:lang w:val="en-GB"/>
        </w:rPr>
      </w:pPr>
    </w:p>
    <w:p w14:paraId="64B54D9D" w14:textId="430CF8B6" w:rsidR="00C844D3" w:rsidRPr="00511518" w:rsidRDefault="001823E1" w:rsidP="00C844D3">
      <w:pPr>
        <w:spacing w:after="0"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SM1</w:t>
      </w:r>
      <w:r w:rsidR="00C844D3" w:rsidRPr="00511518">
        <w:rPr>
          <w:rFonts w:ascii="Times New Roman" w:hAnsi="Times New Roman" w:cs="Times New Roman"/>
          <w:b/>
          <w:sz w:val="24"/>
          <w:szCs w:val="24"/>
          <w:lang w:val="en-GB"/>
        </w:rPr>
        <w:t xml:space="preserve"> – Manipulation of social support for egalitarian values and related results</w:t>
      </w:r>
    </w:p>
    <w:p w14:paraId="1A6F615F" w14:textId="77777777" w:rsidR="00C844D3" w:rsidRDefault="00C844D3" w:rsidP="00C844D3">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In the present study, we initially also manipulated numerical support for egalitarian values. Just before participants read the text describing the </w:t>
      </w:r>
      <w:r w:rsidRPr="001826BC">
        <w:rPr>
          <w:rFonts w:ascii="Times New Roman" w:hAnsi="Times New Roman" w:cs="Times New Roman"/>
          <w:sz w:val="24"/>
          <w:szCs w:val="24"/>
          <w:lang w:val="en-GB"/>
        </w:rPr>
        <w:t xml:space="preserve">principle of “equality and non-discrimination” as a fundamental aspect </w:t>
      </w:r>
      <w:r>
        <w:rPr>
          <w:rFonts w:ascii="Times New Roman" w:hAnsi="Times New Roman" w:cs="Times New Roman"/>
          <w:sz w:val="24"/>
          <w:szCs w:val="24"/>
          <w:lang w:val="en-GB"/>
        </w:rPr>
        <w:t>of a functional modern society, they were informed of the results of an alleged recent opinion survey. Depending on the condition (minority vs. majority support), it was said that “</w:t>
      </w:r>
      <w:r w:rsidRPr="00E96919">
        <w:rPr>
          <w:rFonts w:ascii="Times New Roman" w:hAnsi="Times New Roman" w:cs="Times New Roman"/>
          <w:sz w:val="24"/>
          <w:szCs w:val="24"/>
          <w:lang w:val="en-GB"/>
        </w:rPr>
        <w:t>18% [8</w:t>
      </w:r>
      <w:r>
        <w:rPr>
          <w:rFonts w:ascii="Times New Roman" w:hAnsi="Times New Roman" w:cs="Times New Roman"/>
          <w:sz w:val="24"/>
          <w:szCs w:val="24"/>
          <w:lang w:val="en-GB"/>
        </w:rPr>
        <w:t xml:space="preserve">2%] of the individuals declared </w:t>
      </w:r>
      <w:r w:rsidRPr="00E96919">
        <w:rPr>
          <w:rFonts w:ascii="Times New Roman" w:hAnsi="Times New Roman" w:cs="Times New Roman"/>
          <w:sz w:val="24"/>
          <w:szCs w:val="24"/>
          <w:lang w:val="en-GB"/>
        </w:rPr>
        <w:t xml:space="preserve">supporting </w:t>
      </w:r>
      <w:r>
        <w:rPr>
          <w:rFonts w:ascii="Times New Roman" w:hAnsi="Times New Roman" w:cs="Times New Roman"/>
          <w:sz w:val="24"/>
          <w:szCs w:val="24"/>
          <w:lang w:val="en-GB"/>
        </w:rPr>
        <w:t xml:space="preserve">the content of the text without </w:t>
      </w:r>
      <w:r w:rsidRPr="00E96919">
        <w:rPr>
          <w:rFonts w:ascii="Times New Roman" w:hAnsi="Times New Roman" w:cs="Times New Roman"/>
          <w:sz w:val="24"/>
          <w:szCs w:val="24"/>
          <w:lang w:val="en-GB"/>
        </w:rPr>
        <w:t>hesitat</w:t>
      </w:r>
      <w:r>
        <w:rPr>
          <w:rFonts w:ascii="Times New Roman" w:hAnsi="Times New Roman" w:cs="Times New Roman"/>
          <w:sz w:val="24"/>
          <w:szCs w:val="24"/>
          <w:lang w:val="en-GB"/>
        </w:rPr>
        <w:t xml:space="preserve">ion. Thus, only a minority [a </w:t>
      </w:r>
      <w:r w:rsidRPr="00E96919">
        <w:rPr>
          <w:rFonts w:ascii="Times New Roman" w:hAnsi="Times New Roman" w:cs="Times New Roman"/>
          <w:sz w:val="24"/>
          <w:szCs w:val="24"/>
          <w:lang w:val="en-GB"/>
        </w:rPr>
        <w:t>large majori</w:t>
      </w:r>
      <w:r>
        <w:rPr>
          <w:rFonts w:ascii="Times New Roman" w:hAnsi="Times New Roman" w:cs="Times New Roman"/>
          <w:sz w:val="24"/>
          <w:szCs w:val="24"/>
          <w:lang w:val="en-GB"/>
        </w:rPr>
        <w:t xml:space="preserve">ty] of the inhabitants supports </w:t>
      </w:r>
      <w:r w:rsidRPr="00E96919">
        <w:rPr>
          <w:rFonts w:ascii="Times New Roman" w:hAnsi="Times New Roman" w:cs="Times New Roman"/>
          <w:sz w:val="24"/>
          <w:szCs w:val="24"/>
          <w:lang w:val="en-GB"/>
        </w:rPr>
        <w:t xml:space="preserve">unconditionally </w:t>
      </w:r>
      <w:r>
        <w:rPr>
          <w:rFonts w:ascii="Times New Roman" w:hAnsi="Times New Roman" w:cs="Times New Roman"/>
          <w:sz w:val="24"/>
          <w:szCs w:val="24"/>
          <w:lang w:val="en-GB"/>
        </w:rPr>
        <w:t>social equality</w:t>
      </w:r>
      <w:r w:rsidRPr="00E96919">
        <w:rPr>
          <w:rFonts w:ascii="Times New Roman" w:hAnsi="Times New Roman" w:cs="Times New Roman"/>
          <w:sz w:val="24"/>
          <w:szCs w:val="24"/>
          <w:lang w:val="en-GB"/>
        </w:rPr>
        <w:t>.</w:t>
      </w:r>
      <w:r>
        <w:rPr>
          <w:rFonts w:ascii="Times New Roman" w:hAnsi="Times New Roman" w:cs="Times New Roman"/>
          <w:sz w:val="24"/>
          <w:szCs w:val="24"/>
          <w:lang w:val="en-GB"/>
        </w:rPr>
        <w:t>”</w:t>
      </w:r>
    </w:p>
    <w:p w14:paraId="3DF72B1D" w14:textId="77777777" w:rsidR="00C844D3" w:rsidRDefault="00C844D3" w:rsidP="00C844D3">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The reason to include this manipulation was that previous work had found numerical support for the values at stake to moderate the self-licensing effect, a majority support leading to self-licensing and a minority support to consistency </w:t>
      </w:r>
      <w:r>
        <w:rPr>
          <w:rFonts w:ascii="Times New Roman" w:hAnsi="Times New Roman" w:cs="Times New Roman"/>
          <w:noProof/>
          <w:sz w:val="24"/>
          <w:szCs w:val="24"/>
          <w:lang w:val="en-GB"/>
        </w:rPr>
        <w:t>(Lalot, Falomir-Pichastor, &amp; Quiamzade, 2018)</w:t>
      </w:r>
      <w:r>
        <w:rPr>
          <w:rFonts w:ascii="Times New Roman" w:hAnsi="Times New Roman" w:cs="Times New Roman"/>
          <w:sz w:val="24"/>
          <w:szCs w:val="24"/>
          <w:lang w:val="en-GB"/>
        </w:rPr>
        <w:t xml:space="preserve">. Moreover, a fit effect had been identified between regulatory focus and numerical support: individual’s strength of prevention orientation was a better predictor of attitudes when support was a majority, whereas strength of promotion orientation was a better predictor when support was a minority </w:t>
      </w:r>
      <w:r>
        <w:rPr>
          <w:rFonts w:ascii="Times New Roman" w:hAnsi="Times New Roman" w:cs="Times New Roman"/>
          <w:noProof/>
          <w:sz w:val="24"/>
          <w:szCs w:val="24"/>
          <w:lang w:val="en-GB"/>
        </w:rPr>
        <w:t>(Falomir-Pichastor, Mugny, Gabarrot, &amp; Quiamzade, 2011; Falomir-Pichastor, Mugny, Quiamzade, &amp; Gabarrot, 2008)</w:t>
      </w:r>
      <w:r>
        <w:rPr>
          <w:rFonts w:ascii="Times New Roman" w:hAnsi="Times New Roman" w:cs="Times New Roman"/>
          <w:sz w:val="24"/>
          <w:szCs w:val="24"/>
          <w:lang w:val="en-GB"/>
        </w:rPr>
        <w:t xml:space="preserve">. Hence, because of the relations between numerical support and regulatory focus, on the one hand, and numerical support and moral credentials, on the other hand, it seemed relevant to include this variable in the study. However, since regulatory focus, numerical support, and moral credentials were never studied all together, we did not have a specific hypothesis regarding the impact of numerical support but considered it in a more exploratory way. </w:t>
      </w:r>
    </w:p>
    <w:p w14:paraId="4E3DDAD1" w14:textId="77777777" w:rsidR="00C844D3" w:rsidRDefault="00C844D3" w:rsidP="00C844D3">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Anyhow, the numerical support manipulation was found to have no effect on the dependent variable, nor did it influence the other variables’ effects: a 2 (numerical support: </w:t>
      </w:r>
      <w:r>
        <w:rPr>
          <w:rFonts w:ascii="Times New Roman" w:hAnsi="Times New Roman" w:cs="Times New Roman"/>
          <w:sz w:val="24"/>
          <w:szCs w:val="24"/>
          <w:lang w:val="en-GB"/>
        </w:rPr>
        <w:lastRenderedPageBreak/>
        <w:t xml:space="preserve">majority vs. minority) × 2 (moral credentials: low vs. high) × continuous (attitude towards immigrants, standardised) × continuous (regulatory focus difference score, standardised) full-factorial ANOVA revealed a main effect of initial attitude, </w:t>
      </w:r>
      <w:r w:rsidRPr="00A3294D">
        <w:rPr>
          <w:rFonts w:ascii="Times New Roman" w:hAnsi="Times New Roman" w:cs="Times New Roman"/>
          <w:i/>
          <w:sz w:val="24"/>
          <w:szCs w:val="24"/>
          <w:lang w:val="en-GB"/>
        </w:rPr>
        <w:t>F</w:t>
      </w:r>
      <w:r>
        <w:rPr>
          <w:rFonts w:ascii="Times New Roman" w:hAnsi="Times New Roman" w:cs="Times New Roman"/>
          <w:sz w:val="24"/>
          <w:szCs w:val="24"/>
          <w:lang w:val="en-GB"/>
        </w:rPr>
        <w:t xml:space="preserve">(1, 329) = 22.9, </w:t>
      </w:r>
      <w:r w:rsidRPr="00A3294D">
        <w:rPr>
          <w:rFonts w:ascii="Times New Roman" w:hAnsi="Times New Roman" w:cs="Times New Roman"/>
          <w:i/>
          <w:sz w:val="24"/>
          <w:szCs w:val="24"/>
          <w:lang w:val="en-GB"/>
        </w:rPr>
        <w:t>p</w:t>
      </w:r>
      <w:r>
        <w:rPr>
          <w:rFonts w:ascii="Times New Roman" w:hAnsi="Times New Roman" w:cs="Times New Roman"/>
          <w:sz w:val="24"/>
          <w:szCs w:val="24"/>
          <w:lang w:val="en-GB"/>
        </w:rPr>
        <w:t xml:space="preserve"> &lt; .001, </w:t>
      </w:r>
      <w:r>
        <w:rPr>
          <w:rFonts w:ascii="Calibri" w:hAnsi="Calibri" w:cs="Times New Roman"/>
          <w:sz w:val="24"/>
          <w:szCs w:val="24"/>
          <w:lang w:val="en-GB"/>
        </w:rPr>
        <w:t>η</w:t>
      </w:r>
      <w:r w:rsidRPr="00A3294D">
        <w:rPr>
          <w:rFonts w:ascii="Times New Roman" w:hAnsi="Times New Roman" w:cs="Times New Roman"/>
          <w:sz w:val="24"/>
          <w:szCs w:val="24"/>
          <w:vertAlign w:val="superscript"/>
          <w:lang w:val="en-GB"/>
        </w:rPr>
        <w:t>2</w:t>
      </w:r>
      <w:r w:rsidRPr="00A3294D">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.065, a marginal credentials × regulatory focus interaction, </w:t>
      </w:r>
      <w:r w:rsidRPr="00A3294D">
        <w:rPr>
          <w:rFonts w:ascii="Times New Roman" w:hAnsi="Times New Roman" w:cs="Times New Roman"/>
          <w:i/>
          <w:sz w:val="24"/>
          <w:szCs w:val="24"/>
          <w:lang w:val="en-GB"/>
        </w:rPr>
        <w:t>F</w:t>
      </w:r>
      <w:r>
        <w:rPr>
          <w:rFonts w:ascii="Times New Roman" w:hAnsi="Times New Roman" w:cs="Times New Roman"/>
          <w:sz w:val="24"/>
          <w:szCs w:val="24"/>
          <w:lang w:val="en-GB"/>
        </w:rPr>
        <w:t xml:space="preserve">(1, 329) = 3.77, </w:t>
      </w:r>
      <w:r w:rsidRPr="00A3294D">
        <w:rPr>
          <w:rFonts w:ascii="Times New Roman" w:hAnsi="Times New Roman" w:cs="Times New Roman"/>
          <w:i/>
          <w:sz w:val="24"/>
          <w:szCs w:val="24"/>
          <w:lang w:val="en-GB"/>
        </w:rPr>
        <w:t>p</w:t>
      </w:r>
      <w:r>
        <w:rPr>
          <w:rFonts w:ascii="Times New Roman" w:hAnsi="Times New Roman" w:cs="Times New Roman"/>
          <w:sz w:val="24"/>
          <w:szCs w:val="24"/>
          <w:lang w:val="en-GB"/>
        </w:rPr>
        <w:t xml:space="preserve"> = .053, </w:t>
      </w:r>
      <w:r>
        <w:rPr>
          <w:rFonts w:ascii="Calibri" w:hAnsi="Calibri" w:cs="Times New Roman"/>
          <w:sz w:val="24"/>
          <w:szCs w:val="24"/>
          <w:lang w:val="en-GB"/>
        </w:rPr>
        <w:t>η</w:t>
      </w:r>
      <w:r w:rsidRPr="00A3294D">
        <w:rPr>
          <w:rFonts w:ascii="Times New Roman" w:hAnsi="Times New Roman" w:cs="Times New Roman"/>
          <w:sz w:val="24"/>
          <w:szCs w:val="24"/>
          <w:vertAlign w:val="superscript"/>
          <w:lang w:val="en-GB"/>
        </w:rPr>
        <w:t>2</w:t>
      </w:r>
      <w:r w:rsidRPr="00A3294D">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.011, a marginal attitude × regulatory focus interaction, </w:t>
      </w:r>
      <w:r w:rsidRPr="00A3294D">
        <w:rPr>
          <w:rFonts w:ascii="Times New Roman" w:hAnsi="Times New Roman" w:cs="Times New Roman"/>
          <w:i/>
          <w:sz w:val="24"/>
          <w:szCs w:val="24"/>
          <w:lang w:val="en-GB"/>
        </w:rPr>
        <w:t>F</w:t>
      </w:r>
      <w:r>
        <w:rPr>
          <w:rFonts w:ascii="Times New Roman" w:hAnsi="Times New Roman" w:cs="Times New Roman"/>
          <w:sz w:val="24"/>
          <w:szCs w:val="24"/>
          <w:lang w:val="en-GB"/>
        </w:rPr>
        <w:t xml:space="preserve">(1, 329) = 2.96, </w:t>
      </w:r>
      <w:r w:rsidRPr="00A3294D">
        <w:rPr>
          <w:rFonts w:ascii="Times New Roman" w:hAnsi="Times New Roman" w:cs="Times New Roman"/>
          <w:i/>
          <w:sz w:val="24"/>
          <w:szCs w:val="24"/>
          <w:lang w:val="en-GB"/>
        </w:rPr>
        <w:t>p</w:t>
      </w:r>
      <w:r>
        <w:rPr>
          <w:rFonts w:ascii="Times New Roman" w:hAnsi="Times New Roman" w:cs="Times New Roman"/>
          <w:sz w:val="24"/>
          <w:szCs w:val="24"/>
          <w:lang w:val="en-GB"/>
        </w:rPr>
        <w:t xml:space="preserve"> = .086, </w:t>
      </w:r>
      <w:r>
        <w:rPr>
          <w:rFonts w:ascii="Calibri" w:hAnsi="Calibri" w:cs="Times New Roman"/>
          <w:sz w:val="24"/>
          <w:szCs w:val="24"/>
          <w:lang w:val="en-GB"/>
        </w:rPr>
        <w:t>η</w:t>
      </w:r>
      <w:r w:rsidRPr="00A3294D">
        <w:rPr>
          <w:rFonts w:ascii="Times New Roman" w:hAnsi="Times New Roman" w:cs="Times New Roman"/>
          <w:sz w:val="24"/>
          <w:szCs w:val="24"/>
          <w:vertAlign w:val="superscript"/>
          <w:lang w:val="en-GB"/>
        </w:rPr>
        <w:t>2</w:t>
      </w:r>
      <w:r w:rsidRPr="00A3294D">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.009, and, most importantly, the expected credentials × attitude × regulatory focus interaction, </w:t>
      </w:r>
      <w:r w:rsidRPr="00A3294D">
        <w:rPr>
          <w:rFonts w:ascii="Times New Roman" w:hAnsi="Times New Roman" w:cs="Times New Roman"/>
          <w:i/>
          <w:sz w:val="24"/>
          <w:szCs w:val="24"/>
          <w:lang w:val="en-GB"/>
        </w:rPr>
        <w:t>F</w:t>
      </w:r>
      <w:r>
        <w:rPr>
          <w:rFonts w:ascii="Times New Roman" w:hAnsi="Times New Roman" w:cs="Times New Roman"/>
          <w:sz w:val="24"/>
          <w:szCs w:val="24"/>
          <w:lang w:val="en-GB"/>
        </w:rPr>
        <w:t xml:space="preserve">(1, 329) = 15.2, </w:t>
      </w:r>
      <w:r w:rsidRPr="00A3294D">
        <w:rPr>
          <w:rFonts w:ascii="Times New Roman" w:hAnsi="Times New Roman" w:cs="Times New Roman"/>
          <w:i/>
          <w:sz w:val="24"/>
          <w:szCs w:val="24"/>
          <w:lang w:val="en-GB"/>
        </w:rPr>
        <w:t>p</w:t>
      </w:r>
      <w:r>
        <w:rPr>
          <w:rFonts w:ascii="Times New Roman" w:hAnsi="Times New Roman" w:cs="Times New Roman"/>
          <w:sz w:val="24"/>
          <w:szCs w:val="24"/>
          <w:lang w:val="en-GB"/>
        </w:rPr>
        <w:t xml:space="preserve"> &lt; .001, </w:t>
      </w:r>
      <w:r>
        <w:rPr>
          <w:rFonts w:ascii="Calibri" w:hAnsi="Calibri" w:cs="Times New Roman"/>
          <w:sz w:val="24"/>
          <w:szCs w:val="24"/>
          <w:lang w:val="en-GB"/>
        </w:rPr>
        <w:t>η</w:t>
      </w:r>
      <w:r w:rsidRPr="00A3294D">
        <w:rPr>
          <w:rFonts w:ascii="Times New Roman" w:hAnsi="Times New Roman" w:cs="Times New Roman"/>
          <w:sz w:val="24"/>
          <w:szCs w:val="24"/>
          <w:vertAlign w:val="superscript"/>
          <w:lang w:val="en-GB"/>
        </w:rPr>
        <w:t>2</w:t>
      </w:r>
      <w:r w:rsidRPr="00A3294D">
        <w:rPr>
          <w:rFonts w:ascii="Times New Roman" w:hAnsi="Times New Roman" w:cs="Times New Roman"/>
          <w:sz w:val="24"/>
          <w:szCs w:val="24"/>
          <w:vertAlign w:val="subscript"/>
          <w:lang w:val="en-GB"/>
        </w:rPr>
        <w:t>p</w:t>
      </w:r>
      <w:r>
        <w:rPr>
          <w:rFonts w:ascii="Times New Roman" w:hAnsi="Times New Roman" w:cs="Times New Roman"/>
          <w:sz w:val="24"/>
          <w:szCs w:val="24"/>
          <w:lang w:val="en-GB"/>
        </w:rPr>
        <w:t xml:space="preserve"> = .044. No other effect, and none of the terms including numerical support, was significant, </w:t>
      </w:r>
      <w:r w:rsidRPr="00A3294D">
        <w:rPr>
          <w:rFonts w:ascii="Times New Roman" w:hAnsi="Times New Roman" w:cs="Times New Roman"/>
          <w:i/>
          <w:sz w:val="24"/>
          <w:szCs w:val="24"/>
          <w:lang w:val="en-GB"/>
        </w:rPr>
        <w:t>F</w:t>
      </w:r>
      <w:r w:rsidRPr="00A3294D">
        <w:rPr>
          <w:rFonts w:ascii="Times New Roman" w:hAnsi="Times New Roman" w:cs="Times New Roman"/>
          <w:sz w:val="24"/>
          <w:szCs w:val="24"/>
          <w:vertAlign w:val="subscript"/>
          <w:lang w:val="en-GB"/>
        </w:rPr>
        <w:t>s</w:t>
      </w:r>
      <w:r>
        <w:rPr>
          <w:rFonts w:ascii="Times New Roman" w:hAnsi="Times New Roman" w:cs="Times New Roman"/>
          <w:sz w:val="24"/>
          <w:szCs w:val="24"/>
          <w:lang w:val="en-GB"/>
        </w:rPr>
        <w:t xml:space="preserve"> &lt; 1.35, </w:t>
      </w:r>
      <w:r w:rsidRPr="00A3294D">
        <w:rPr>
          <w:rFonts w:ascii="Times New Roman" w:hAnsi="Times New Roman" w:cs="Times New Roman"/>
          <w:i/>
          <w:sz w:val="24"/>
          <w:szCs w:val="24"/>
          <w:lang w:val="en-GB"/>
        </w:rPr>
        <w:t>p</w:t>
      </w:r>
      <w:r w:rsidRPr="00A3294D">
        <w:rPr>
          <w:rFonts w:ascii="Times New Roman" w:hAnsi="Times New Roman" w:cs="Times New Roman"/>
          <w:sz w:val="24"/>
          <w:szCs w:val="24"/>
          <w:vertAlign w:val="subscript"/>
          <w:lang w:val="en-GB"/>
        </w:rPr>
        <w:t>s</w:t>
      </w:r>
      <w:r>
        <w:rPr>
          <w:rFonts w:ascii="Times New Roman" w:hAnsi="Times New Roman" w:cs="Times New Roman"/>
          <w:sz w:val="24"/>
          <w:szCs w:val="24"/>
          <w:lang w:val="en-GB"/>
        </w:rPr>
        <w:t xml:space="preserve"> &gt; .25. </w:t>
      </w:r>
    </w:p>
    <w:p w14:paraId="36005141" w14:textId="77777777" w:rsidR="00C844D3" w:rsidRDefault="00C844D3" w:rsidP="00C844D3">
      <w:pPr>
        <w:spacing w:after="0" w:line="480" w:lineRule="auto"/>
        <w:rPr>
          <w:rFonts w:ascii="Times New Roman" w:hAnsi="Times New Roman" w:cs="Times New Roman"/>
          <w:sz w:val="24"/>
          <w:szCs w:val="24"/>
          <w:lang w:val="en-GB"/>
        </w:rPr>
      </w:pPr>
    </w:p>
    <w:p w14:paraId="4539EF79" w14:textId="77777777" w:rsidR="00C844D3" w:rsidRDefault="00C844D3" w:rsidP="00C844D3">
      <w:pPr>
        <w:spacing w:after="0" w:line="480" w:lineRule="auto"/>
        <w:rPr>
          <w:rFonts w:ascii="Times New Roman" w:hAnsi="Times New Roman" w:cs="Times New Roman"/>
          <w:sz w:val="24"/>
          <w:szCs w:val="24"/>
          <w:lang w:val="en-GB"/>
        </w:rPr>
      </w:pPr>
    </w:p>
    <w:p w14:paraId="5AA4CC06" w14:textId="77777777" w:rsidR="00C844D3" w:rsidRDefault="00C844D3" w:rsidP="00C844D3">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Additional references</w:t>
      </w:r>
    </w:p>
    <w:p w14:paraId="7F33DE90" w14:textId="77777777" w:rsidR="00C844D3" w:rsidRPr="00EE25FB" w:rsidRDefault="00C844D3" w:rsidP="00C844D3">
      <w:pPr>
        <w:pStyle w:val="EndNoteBibliography"/>
        <w:spacing w:after="0" w:line="480" w:lineRule="auto"/>
        <w:ind w:left="720" w:hanging="720"/>
        <w:rPr>
          <w:rFonts w:ascii="Times New Roman" w:hAnsi="Times New Roman" w:cs="Times New Roman"/>
          <w:szCs w:val="24"/>
        </w:rPr>
      </w:pPr>
      <w:r w:rsidRPr="00EE25FB">
        <w:rPr>
          <w:rFonts w:ascii="Times New Roman" w:hAnsi="Times New Roman" w:cs="Times New Roman"/>
          <w:szCs w:val="24"/>
        </w:rPr>
        <w:t xml:space="preserve">Falomir-Pichastor, J. M., Mugny, G., Gabarrot, F., &amp; Quiamzade, A. (2011). A regulatory fit perspective in majority versus minority support to attitudes toward homosexuals. </w:t>
      </w:r>
      <w:r w:rsidRPr="00EE25FB">
        <w:rPr>
          <w:rFonts w:ascii="Times New Roman" w:hAnsi="Times New Roman" w:cs="Times New Roman"/>
          <w:i/>
          <w:szCs w:val="24"/>
        </w:rPr>
        <w:t>Group Processes &amp; Intergroup Relations, 14</w:t>
      </w:r>
      <w:r w:rsidRPr="00EE25FB">
        <w:rPr>
          <w:rFonts w:ascii="Times New Roman" w:hAnsi="Times New Roman" w:cs="Times New Roman"/>
          <w:szCs w:val="24"/>
        </w:rPr>
        <w:t xml:space="preserve">(1), 45-62. </w:t>
      </w:r>
      <w:hyperlink r:id="rId6" w:history="1">
        <w:r w:rsidRPr="00D23D46">
          <w:rPr>
            <w:rStyle w:val="Hipervnculo"/>
            <w:rFonts w:ascii="Times New Roman" w:hAnsi="Times New Roman" w:cs="Times New Roman"/>
            <w:szCs w:val="24"/>
          </w:rPr>
          <w:t>http://dx.doi.org/10.1177/1368430210376077</w:t>
        </w:r>
      </w:hyperlink>
      <w:r>
        <w:rPr>
          <w:rFonts w:ascii="Times New Roman" w:hAnsi="Times New Roman" w:cs="Times New Roman"/>
          <w:szCs w:val="24"/>
        </w:rPr>
        <w:t xml:space="preserve"> </w:t>
      </w:r>
    </w:p>
    <w:p w14:paraId="03EE3918" w14:textId="77777777" w:rsidR="00C844D3" w:rsidRPr="00EE25FB" w:rsidRDefault="00C844D3" w:rsidP="00C844D3">
      <w:pPr>
        <w:pStyle w:val="EndNoteBibliography"/>
        <w:spacing w:after="0" w:line="480" w:lineRule="auto"/>
        <w:ind w:left="720" w:hanging="720"/>
        <w:rPr>
          <w:rFonts w:ascii="Times New Roman" w:hAnsi="Times New Roman" w:cs="Times New Roman"/>
          <w:szCs w:val="24"/>
        </w:rPr>
      </w:pPr>
      <w:r w:rsidRPr="00EE25FB">
        <w:rPr>
          <w:rFonts w:ascii="Times New Roman" w:hAnsi="Times New Roman" w:cs="Times New Roman"/>
          <w:szCs w:val="24"/>
        </w:rPr>
        <w:t xml:space="preserve">Falomir-Pichastor, J. M., Mugny, G., Quiamzade, A., &amp; Gabarrot, F. (2008). Motivations underlying attitudes: Regulatory focus and majority versus minority support. </w:t>
      </w:r>
      <w:r w:rsidRPr="00EE25FB">
        <w:rPr>
          <w:rFonts w:ascii="Times New Roman" w:hAnsi="Times New Roman" w:cs="Times New Roman"/>
          <w:i/>
          <w:szCs w:val="24"/>
        </w:rPr>
        <w:t>European Journal of Social Psychology, 38</w:t>
      </w:r>
      <w:r>
        <w:rPr>
          <w:rFonts w:ascii="Times New Roman" w:hAnsi="Times New Roman" w:cs="Times New Roman"/>
          <w:szCs w:val="24"/>
        </w:rPr>
        <w:t xml:space="preserve">(4), 587-600. </w:t>
      </w:r>
      <w:hyperlink r:id="rId7" w:history="1">
        <w:r w:rsidRPr="00D23D46">
          <w:rPr>
            <w:rStyle w:val="Hipervnculo"/>
            <w:rFonts w:ascii="Times New Roman" w:hAnsi="Times New Roman" w:cs="Times New Roman"/>
            <w:szCs w:val="24"/>
          </w:rPr>
          <w:t>http://dx.doi.org/10.1002/ejsp.494</w:t>
        </w:r>
      </w:hyperlink>
      <w:r>
        <w:rPr>
          <w:rFonts w:ascii="Times New Roman" w:hAnsi="Times New Roman" w:cs="Times New Roman"/>
          <w:szCs w:val="24"/>
        </w:rPr>
        <w:t xml:space="preserve"> </w:t>
      </w:r>
    </w:p>
    <w:p w14:paraId="65110E15" w14:textId="77777777" w:rsidR="00C844D3" w:rsidRPr="00EE25FB" w:rsidRDefault="00C844D3" w:rsidP="00C844D3">
      <w:pPr>
        <w:pStyle w:val="EndNoteBibliography"/>
        <w:spacing w:line="480" w:lineRule="auto"/>
        <w:ind w:left="720" w:hanging="720"/>
        <w:rPr>
          <w:rFonts w:ascii="Times New Roman" w:hAnsi="Times New Roman" w:cs="Times New Roman"/>
          <w:szCs w:val="24"/>
        </w:rPr>
      </w:pPr>
      <w:r w:rsidRPr="00EE25FB">
        <w:rPr>
          <w:rFonts w:ascii="Times New Roman" w:hAnsi="Times New Roman" w:cs="Times New Roman"/>
          <w:szCs w:val="24"/>
        </w:rPr>
        <w:t xml:space="preserve">Lalot, F., Falomir-Pichastor, J. M., &amp; Quiamzade, A. (2018). Compensation and consistency effects in proenvironmental behaviour: The moderating role of majority and minority support for proenvironmental values. </w:t>
      </w:r>
      <w:r w:rsidRPr="00EE25FB">
        <w:rPr>
          <w:rFonts w:ascii="Times New Roman" w:hAnsi="Times New Roman" w:cs="Times New Roman"/>
          <w:i/>
          <w:szCs w:val="24"/>
        </w:rPr>
        <w:t>Group Processes &amp; Intergroup Relations, 21</w:t>
      </w:r>
      <w:r w:rsidRPr="00EE25FB">
        <w:rPr>
          <w:rFonts w:ascii="Times New Roman" w:hAnsi="Times New Roman" w:cs="Times New Roman"/>
          <w:szCs w:val="24"/>
        </w:rPr>
        <w:t xml:space="preserve">(3), 403-421. </w:t>
      </w:r>
      <w:hyperlink r:id="rId8" w:history="1">
        <w:r w:rsidRPr="00D23D46">
          <w:rPr>
            <w:rStyle w:val="Hipervnculo"/>
            <w:rFonts w:ascii="Times New Roman" w:hAnsi="Times New Roman" w:cs="Times New Roman"/>
            <w:szCs w:val="24"/>
          </w:rPr>
          <w:t>http://dx.doi.org/10.1177/1368430217733117</w:t>
        </w:r>
      </w:hyperlink>
      <w:r>
        <w:rPr>
          <w:rFonts w:ascii="Times New Roman" w:hAnsi="Times New Roman" w:cs="Times New Roman"/>
          <w:szCs w:val="24"/>
        </w:rPr>
        <w:t xml:space="preserve"> </w:t>
      </w:r>
    </w:p>
    <w:p w14:paraId="2A2DDA82" w14:textId="2DD168BF" w:rsidR="0009396F" w:rsidRPr="001823E1" w:rsidRDefault="0009396F">
      <w:pPr>
        <w:rPr>
          <w:rFonts w:ascii="Times New Roman" w:hAnsi="Times New Roman" w:cs="Times New Roman"/>
          <w:b/>
          <w:sz w:val="24"/>
          <w:szCs w:val="24"/>
          <w:lang w:val="en-GB"/>
        </w:rPr>
      </w:pPr>
      <w:r>
        <w:rPr>
          <w:rFonts w:ascii="Lucida Console" w:eastAsia="Times New Roman" w:hAnsi="Lucida Console" w:cs="Courier New"/>
          <w:color w:val="EAEAEA"/>
          <w:sz w:val="20"/>
          <w:szCs w:val="20"/>
          <w:bdr w:val="none" w:sz="0" w:space="0" w:color="auto" w:frame="1"/>
          <w:lang w:val="en-GB" w:eastAsia="en-GB"/>
        </w:rPr>
        <w:br w:type="page"/>
      </w:r>
    </w:p>
    <w:p w14:paraId="1DDB30CE" w14:textId="317EDF00" w:rsidR="00EE25FB" w:rsidRPr="0098774A" w:rsidRDefault="001823E1" w:rsidP="00AF4F00">
      <w:pPr>
        <w:spacing w:after="0" w:line="48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SM2</w:t>
      </w:r>
      <w:r w:rsidR="00EE25FB" w:rsidRPr="00CA7286">
        <w:rPr>
          <w:rFonts w:ascii="Times New Roman" w:hAnsi="Times New Roman" w:cs="Times New Roman"/>
          <w:b/>
          <w:sz w:val="24"/>
          <w:szCs w:val="24"/>
          <w:lang w:val="en-GB"/>
        </w:rPr>
        <w:t xml:space="preserve"> – Analyses on separate scores of promotion / prevention focus</w:t>
      </w:r>
    </w:p>
    <w:p w14:paraId="7CEC0515" w14:textId="0EC44285" w:rsidR="00EE25FB" w:rsidRPr="00F2084C" w:rsidRDefault="00EE25FB" w:rsidP="00AF4F00">
      <w:pPr>
        <w:spacing w:after="0" w:line="480" w:lineRule="auto"/>
        <w:ind w:firstLine="708"/>
        <w:rPr>
          <w:rFonts w:ascii="Times New Roman" w:hAnsi="Times New Roman" w:cs="Times New Roman"/>
          <w:color w:val="C00000"/>
          <w:sz w:val="24"/>
          <w:szCs w:val="24"/>
          <w:lang w:val="en-GB"/>
        </w:rPr>
      </w:pPr>
      <w:r>
        <w:rPr>
          <w:rFonts w:ascii="Times New Roman" w:hAnsi="Times New Roman" w:cs="Times New Roman"/>
          <w:sz w:val="24"/>
          <w:szCs w:val="24"/>
          <w:lang w:val="en-GB"/>
        </w:rPr>
        <w:t xml:space="preserve">We report here the analysis considering separate scores of promotion and prevention focus instead of a difference score. We first checked for an effect of the national sample but it played strictly no role. Hence, for simplification purposes, we report the results of the analyses not including this variable. We ran a robust regression model (MM-estimator) including moral credentials (-1 = low credentials, 1 = high credentials), </w:t>
      </w:r>
      <w:r w:rsidR="00C21819">
        <w:rPr>
          <w:rFonts w:ascii="Times New Roman" w:hAnsi="Times New Roman" w:cs="Times New Roman"/>
          <w:sz w:val="24"/>
          <w:szCs w:val="24"/>
          <w:lang w:val="en-GB"/>
        </w:rPr>
        <w:t xml:space="preserve">intergroup </w:t>
      </w:r>
      <w:r>
        <w:rPr>
          <w:rFonts w:ascii="Times New Roman" w:hAnsi="Times New Roman" w:cs="Times New Roman"/>
          <w:sz w:val="24"/>
          <w:szCs w:val="24"/>
          <w:lang w:val="en-GB"/>
        </w:rPr>
        <w:t>attitude</w:t>
      </w:r>
      <w:r w:rsidR="00C21819">
        <w:rPr>
          <w:rFonts w:ascii="Times New Roman" w:hAnsi="Times New Roman" w:cs="Times New Roman"/>
          <w:sz w:val="24"/>
          <w:szCs w:val="24"/>
          <w:lang w:val="en-GB"/>
        </w:rPr>
        <w:t>s</w:t>
      </w:r>
      <w:r>
        <w:rPr>
          <w:rFonts w:ascii="Times New Roman" w:hAnsi="Times New Roman" w:cs="Times New Roman"/>
          <w:sz w:val="24"/>
          <w:szCs w:val="24"/>
          <w:lang w:val="en-GB"/>
        </w:rPr>
        <w:t xml:space="preserve"> (standardised), promotion focus score (standardised), prevention focus score (standardised), and all their interactions on the measure of support for </w:t>
      </w:r>
      <w:r w:rsidR="009D4840">
        <w:rPr>
          <w:rFonts w:ascii="Times New Roman" w:hAnsi="Times New Roman" w:cs="Times New Roman"/>
          <w:sz w:val="24"/>
          <w:szCs w:val="24"/>
          <w:lang w:val="en-GB"/>
        </w:rPr>
        <w:t>affirmative action</w:t>
      </w:r>
      <w:r w:rsidRPr="00F2084C">
        <w:rPr>
          <w:rFonts w:ascii="Times New Roman" w:hAnsi="Times New Roman" w:cs="Times New Roman"/>
          <w:sz w:val="24"/>
          <w:szCs w:val="24"/>
          <w:lang w:val="en-GB"/>
        </w:rPr>
        <w:t xml:space="preserve">. The analysis revealed a main effect of initial attitude, so that </w:t>
      </w:r>
      <w:r w:rsidR="00C21819">
        <w:rPr>
          <w:rFonts w:ascii="Times New Roman" w:hAnsi="Times New Roman" w:cs="Times New Roman"/>
          <w:sz w:val="24"/>
          <w:szCs w:val="24"/>
          <w:lang w:val="en-GB"/>
        </w:rPr>
        <w:t xml:space="preserve">more positive intergroup </w:t>
      </w:r>
      <w:r w:rsidRPr="00F2084C">
        <w:rPr>
          <w:rFonts w:ascii="Times New Roman" w:hAnsi="Times New Roman" w:cs="Times New Roman"/>
          <w:sz w:val="24"/>
          <w:szCs w:val="24"/>
          <w:lang w:val="en-GB"/>
        </w:rPr>
        <w:t>attitude</w:t>
      </w:r>
      <w:r w:rsidR="00C21819">
        <w:rPr>
          <w:rFonts w:ascii="Times New Roman" w:hAnsi="Times New Roman" w:cs="Times New Roman"/>
          <w:sz w:val="24"/>
          <w:szCs w:val="24"/>
          <w:lang w:val="en-GB"/>
        </w:rPr>
        <w:t>s</w:t>
      </w:r>
      <w:r w:rsidRPr="00F2084C">
        <w:rPr>
          <w:rFonts w:ascii="Times New Roman" w:hAnsi="Times New Roman" w:cs="Times New Roman"/>
          <w:sz w:val="24"/>
          <w:szCs w:val="24"/>
          <w:lang w:val="en-GB"/>
        </w:rPr>
        <w:t xml:space="preserve"> predicted a stronger support for </w:t>
      </w:r>
      <w:r w:rsidR="009D4840">
        <w:rPr>
          <w:rFonts w:ascii="Times New Roman" w:hAnsi="Times New Roman" w:cs="Times New Roman"/>
          <w:sz w:val="24"/>
          <w:szCs w:val="24"/>
          <w:lang w:val="en-GB"/>
        </w:rPr>
        <w:t>affirmative action</w:t>
      </w:r>
      <w:r w:rsidRPr="00F2084C">
        <w:rPr>
          <w:rFonts w:ascii="Times New Roman" w:hAnsi="Times New Roman" w:cs="Times New Roman"/>
          <w:sz w:val="24"/>
          <w:szCs w:val="24"/>
          <w:lang w:val="en-GB"/>
        </w:rPr>
        <w:t xml:space="preserve">, </w:t>
      </w:r>
      <w:r w:rsidRPr="00F2084C">
        <w:rPr>
          <w:rFonts w:ascii="Times New Roman" w:hAnsi="Times New Roman" w:cs="Times New Roman"/>
          <w:i/>
          <w:sz w:val="24"/>
          <w:szCs w:val="24"/>
          <w:lang w:val="en-GB"/>
        </w:rPr>
        <w:t>b</w:t>
      </w:r>
      <w:r w:rsidRPr="00F2084C">
        <w:rPr>
          <w:rFonts w:ascii="Times New Roman" w:hAnsi="Times New Roman" w:cs="Times New Roman"/>
          <w:sz w:val="24"/>
          <w:szCs w:val="24"/>
          <w:lang w:val="en-GB"/>
        </w:rPr>
        <w:t xml:space="preserve"> = .</w:t>
      </w:r>
      <w:r>
        <w:rPr>
          <w:rFonts w:ascii="Times New Roman" w:hAnsi="Times New Roman" w:cs="Times New Roman"/>
          <w:sz w:val="24"/>
          <w:szCs w:val="24"/>
          <w:lang w:val="en-GB"/>
        </w:rPr>
        <w:t>30</w:t>
      </w:r>
      <w:r w:rsidRPr="00F2084C">
        <w:rPr>
          <w:rFonts w:ascii="Times New Roman" w:hAnsi="Times New Roman" w:cs="Times New Roman"/>
          <w:sz w:val="24"/>
          <w:szCs w:val="24"/>
          <w:lang w:val="en-GB"/>
        </w:rPr>
        <w:t>, 95% CI [.</w:t>
      </w:r>
      <w:r>
        <w:rPr>
          <w:rFonts w:ascii="Times New Roman" w:hAnsi="Times New Roman" w:cs="Times New Roman"/>
          <w:sz w:val="24"/>
          <w:szCs w:val="24"/>
          <w:lang w:val="en-GB"/>
        </w:rPr>
        <w:t>15</w:t>
      </w:r>
      <w:r w:rsidRPr="00F2084C">
        <w:rPr>
          <w:rFonts w:ascii="Times New Roman" w:hAnsi="Times New Roman" w:cs="Times New Roman"/>
          <w:sz w:val="24"/>
          <w:szCs w:val="24"/>
          <w:lang w:val="en-GB"/>
        </w:rPr>
        <w:t>, .</w:t>
      </w:r>
      <w:r>
        <w:rPr>
          <w:rFonts w:ascii="Times New Roman" w:hAnsi="Times New Roman" w:cs="Times New Roman"/>
          <w:sz w:val="24"/>
          <w:szCs w:val="24"/>
          <w:lang w:val="en-GB"/>
        </w:rPr>
        <w:t>45</w:t>
      </w:r>
      <w:r w:rsidRPr="00F2084C">
        <w:rPr>
          <w:rFonts w:ascii="Times New Roman" w:hAnsi="Times New Roman" w:cs="Times New Roman"/>
          <w:sz w:val="24"/>
          <w:szCs w:val="24"/>
          <w:lang w:val="en-GB"/>
        </w:rPr>
        <w:t xml:space="preserve">], </w:t>
      </w:r>
      <w:r w:rsidRPr="00F2084C">
        <w:rPr>
          <w:rFonts w:ascii="Times New Roman" w:hAnsi="Times New Roman" w:cs="Times New Roman"/>
          <w:i/>
          <w:sz w:val="24"/>
          <w:szCs w:val="24"/>
          <w:lang w:val="en-GB"/>
        </w:rPr>
        <w:t>t</w:t>
      </w:r>
      <w:r w:rsidRPr="00F2084C">
        <w:rPr>
          <w:rFonts w:ascii="Times New Roman" w:hAnsi="Times New Roman" w:cs="Times New Roman"/>
          <w:sz w:val="24"/>
          <w:szCs w:val="24"/>
          <w:lang w:val="en-GB"/>
        </w:rPr>
        <w:t>(</w:t>
      </w:r>
      <w:r>
        <w:rPr>
          <w:rFonts w:ascii="Times New Roman" w:hAnsi="Times New Roman" w:cs="Times New Roman"/>
          <w:sz w:val="24"/>
          <w:szCs w:val="24"/>
          <w:lang w:val="en-GB"/>
        </w:rPr>
        <w:t>329</w:t>
      </w:r>
      <w:r w:rsidRPr="00F2084C">
        <w:rPr>
          <w:rFonts w:ascii="Times New Roman" w:hAnsi="Times New Roman" w:cs="Times New Roman"/>
          <w:sz w:val="24"/>
          <w:szCs w:val="24"/>
          <w:lang w:val="en-GB"/>
        </w:rPr>
        <w:t>) = 3.9</w:t>
      </w:r>
      <w:r>
        <w:rPr>
          <w:rFonts w:ascii="Times New Roman" w:hAnsi="Times New Roman" w:cs="Times New Roman"/>
          <w:sz w:val="24"/>
          <w:szCs w:val="24"/>
          <w:lang w:val="en-GB"/>
        </w:rPr>
        <w:t>6</w:t>
      </w:r>
      <w:r w:rsidRPr="00F2084C">
        <w:rPr>
          <w:rFonts w:ascii="Times New Roman" w:hAnsi="Times New Roman" w:cs="Times New Roman"/>
          <w:sz w:val="24"/>
          <w:szCs w:val="24"/>
          <w:lang w:val="en-GB"/>
        </w:rPr>
        <w:t xml:space="preserve">, </w:t>
      </w:r>
      <w:r w:rsidRPr="00F2084C">
        <w:rPr>
          <w:rFonts w:ascii="Times New Roman" w:hAnsi="Times New Roman" w:cs="Times New Roman"/>
          <w:i/>
          <w:sz w:val="24"/>
          <w:szCs w:val="24"/>
          <w:lang w:val="en-GB"/>
        </w:rPr>
        <w:t>p</w:t>
      </w:r>
      <w:r w:rsidRPr="00F2084C">
        <w:rPr>
          <w:rFonts w:ascii="Times New Roman" w:hAnsi="Times New Roman" w:cs="Times New Roman"/>
          <w:sz w:val="24"/>
          <w:szCs w:val="24"/>
          <w:lang w:val="en-GB"/>
        </w:rPr>
        <w:t xml:space="preserve"> &lt; .001, </w:t>
      </w:r>
      <w:r w:rsidRPr="00F2084C">
        <w:rPr>
          <w:rFonts w:ascii="Calibri" w:hAnsi="Calibri" w:cs="Times New Roman"/>
          <w:sz w:val="24"/>
          <w:szCs w:val="24"/>
          <w:lang w:val="en-GB"/>
        </w:rPr>
        <w:t>η</w:t>
      </w:r>
      <w:r w:rsidRPr="00F2084C">
        <w:rPr>
          <w:rFonts w:ascii="Times New Roman" w:hAnsi="Times New Roman" w:cs="Times New Roman"/>
          <w:sz w:val="24"/>
          <w:szCs w:val="24"/>
          <w:vertAlign w:val="superscript"/>
          <w:lang w:val="en-GB"/>
        </w:rPr>
        <w:t>2</w:t>
      </w:r>
      <w:r w:rsidRPr="00F2084C">
        <w:rPr>
          <w:rFonts w:ascii="Times New Roman" w:hAnsi="Times New Roman" w:cs="Times New Roman"/>
          <w:sz w:val="24"/>
          <w:szCs w:val="24"/>
          <w:vertAlign w:val="subscript"/>
          <w:lang w:val="en-GB"/>
        </w:rPr>
        <w:t>p</w:t>
      </w:r>
      <w:r w:rsidRPr="00F2084C">
        <w:rPr>
          <w:rFonts w:ascii="Times New Roman" w:hAnsi="Times New Roman" w:cs="Times New Roman"/>
          <w:sz w:val="24"/>
          <w:szCs w:val="24"/>
          <w:lang w:val="en-GB"/>
        </w:rPr>
        <w:t xml:space="preserve"> = .</w:t>
      </w:r>
      <w:r>
        <w:rPr>
          <w:rFonts w:ascii="Times New Roman" w:hAnsi="Times New Roman" w:cs="Times New Roman"/>
          <w:sz w:val="24"/>
          <w:szCs w:val="24"/>
          <w:lang w:val="en-GB"/>
        </w:rPr>
        <w:t>044</w:t>
      </w:r>
      <w:r w:rsidRPr="00F2084C">
        <w:rPr>
          <w:rFonts w:ascii="Times New Roman" w:hAnsi="Times New Roman" w:cs="Times New Roman"/>
          <w:sz w:val="24"/>
          <w:szCs w:val="24"/>
          <w:lang w:val="en-GB"/>
        </w:rPr>
        <w:t>.</w:t>
      </w:r>
      <w:r w:rsidRPr="00F2084C">
        <w:rPr>
          <w:rFonts w:ascii="Times New Roman" w:hAnsi="Times New Roman" w:cs="Times New Roman"/>
          <w:color w:val="C00000"/>
          <w:sz w:val="24"/>
          <w:szCs w:val="24"/>
          <w:lang w:val="en-GB"/>
        </w:rPr>
        <w:t xml:space="preserve"> </w:t>
      </w:r>
      <w:r w:rsidRPr="00F2084C">
        <w:rPr>
          <w:rFonts w:ascii="Times New Roman" w:hAnsi="Times New Roman" w:cs="Times New Roman"/>
          <w:sz w:val="24"/>
          <w:szCs w:val="24"/>
          <w:lang w:val="en-GB"/>
        </w:rPr>
        <w:t xml:space="preserve">The expected credentials × attitude × prevention interaction was significant, </w:t>
      </w:r>
      <w:r w:rsidRPr="00F2084C">
        <w:rPr>
          <w:rFonts w:ascii="Times New Roman" w:hAnsi="Times New Roman" w:cs="Times New Roman"/>
          <w:i/>
          <w:sz w:val="24"/>
          <w:szCs w:val="24"/>
          <w:lang w:val="en-GB"/>
        </w:rPr>
        <w:t>b</w:t>
      </w:r>
      <w:r w:rsidRPr="00F2084C">
        <w:rPr>
          <w:rFonts w:ascii="Times New Roman" w:hAnsi="Times New Roman" w:cs="Times New Roman"/>
          <w:sz w:val="24"/>
          <w:szCs w:val="24"/>
          <w:lang w:val="en-GB"/>
        </w:rPr>
        <w:t xml:space="preserve"> = </w:t>
      </w:r>
      <w:r>
        <w:rPr>
          <w:rFonts w:ascii="Times New Roman" w:hAnsi="Times New Roman" w:cs="Times New Roman"/>
          <w:sz w:val="24"/>
          <w:szCs w:val="24"/>
          <w:lang w:val="en-GB"/>
        </w:rPr>
        <w:t>-</w:t>
      </w:r>
      <w:r w:rsidRPr="00F2084C">
        <w:rPr>
          <w:rFonts w:ascii="Times New Roman" w:hAnsi="Times New Roman" w:cs="Times New Roman"/>
          <w:sz w:val="24"/>
          <w:szCs w:val="24"/>
          <w:lang w:val="en-GB"/>
        </w:rPr>
        <w:t>.</w:t>
      </w:r>
      <w:r>
        <w:rPr>
          <w:rFonts w:ascii="Times New Roman" w:hAnsi="Times New Roman" w:cs="Times New Roman"/>
          <w:sz w:val="24"/>
          <w:szCs w:val="24"/>
          <w:lang w:val="en-GB"/>
        </w:rPr>
        <w:t>48</w:t>
      </w:r>
      <w:r w:rsidRPr="00F2084C">
        <w:rPr>
          <w:rFonts w:ascii="Times New Roman" w:hAnsi="Times New Roman" w:cs="Times New Roman"/>
          <w:sz w:val="24"/>
          <w:szCs w:val="24"/>
          <w:lang w:val="en-GB"/>
        </w:rPr>
        <w:t>, 95% CI [</w:t>
      </w:r>
      <w:r>
        <w:rPr>
          <w:rFonts w:ascii="Times New Roman" w:hAnsi="Times New Roman" w:cs="Times New Roman"/>
          <w:sz w:val="24"/>
          <w:szCs w:val="24"/>
          <w:lang w:val="en-GB"/>
        </w:rPr>
        <w:t>-</w:t>
      </w:r>
      <w:r w:rsidRPr="00F2084C">
        <w:rPr>
          <w:rFonts w:ascii="Times New Roman" w:hAnsi="Times New Roman" w:cs="Times New Roman"/>
          <w:sz w:val="24"/>
          <w:szCs w:val="24"/>
          <w:lang w:val="en-GB"/>
        </w:rPr>
        <w:t>.</w:t>
      </w:r>
      <w:r>
        <w:rPr>
          <w:rFonts w:ascii="Times New Roman" w:hAnsi="Times New Roman" w:cs="Times New Roman"/>
          <w:sz w:val="24"/>
          <w:szCs w:val="24"/>
          <w:lang w:val="en-GB"/>
        </w:rPr>
        <w:t>80</w:t>
      </w:r>
      <w:r w:rsidRPr="00F2084C">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F2084C">
        <w:rPr>
          <w:rFonts w:ascii="Times New Roman" w:hAnsi="Times New Roman" w:cs="Times New Roman"/>
          <w:sz w:val="24"/>
          <w:szCs w:val="24"/>
          <w:lang w:val="en-GB"/>
        </w:rPr>
        <w:t>.</w:t>
      </w:r>
      <w:r>
        <w:rPr>
          <w:rFonts w:ascii="Times New Roman" w:hAnsi="Times New Roman" w:cs="Times New Roman"/>
          <w:sz w:val="24"/>
          <w:szCs w:val="24"/>
          <w:lang w:val="en-GB"/>
        </w:rPr>
        <w:t>15</w:t>
      </w:r>
      <w:r w:rsidRPr="00F2084C">
        <w:rPr>
          <w:rFonts w:ascii="Times New Roman" w:hAnsi="Times New Roman" w:cs="Times New Roman"/>
          <w:sz w:val="24"/>
          <w:szCs w:val="24"/>
          <w:lang w:val="en-GB"/>
        </w:rPr>
        <w:t xml:space="preserve">], </w:t>
      </w:r>
      <w:r w:rsidRPr="00F2084C">
        <w:rPr>
          <w:rFonts w:ascii="Times New Roman" w:hAnsi="Times New Roman" w:cs="Times New Roman"/>
          <w:i/>
          <w:sz w:val="24"/>
          <w:szCs w:val="24"/>
          <w:lang w:val="en-GB"/>
        </w:rPr>
        <w:t>t</w:t>
      </w:r>
      <w:r w:rsidRPr="00F2084C">
        <w:rPr>
          <w:rFonts w:ascii="Times New Roman" w:hAnsi="Times New Roman" w:cs="Times New Roman"/>
          <w:sz w:val="24"/>
          <w:szCs w:val="24"/>
          <w:lang w:val="en-GB"/>
        </w:rPr>
        <w:t>(</w:t>
      </w:r>
      <w:r>
        <w:rPr>
          <w:rFonts w:ascii="Times New Roman" w:hAnsi="Times New Roman" w:cs="Times New Roman"/>
          <w:sz w:val="24"/>
          <w:szCs w:val="24"/>
          <w:lang w:val="en-GB"/>
        </w:rPr>
        <w:t>329</w:t>
      </w:r>
      <w:r w:rsidRPr="00F2084C">
        <w:rPr>
          <w:rFonts w:ascii="Times New Roman" w:hAnsi="Times New Roman" w:cs="Times New Roman"/>
          <w:sz w:val="24"/>
          <w:szCs w:val="24"/>
          <w:lang w:val="en-GB"/>
        </w:rPr>
        <w:t xml:space="preserve">) = </w:t>
      </w:r>
      <w:r>
        <w:rPr>
          <w:rFonts w:ascii="Times New Roman" w:hAnsi="Times New Roman" w:cs="Times New Roman"/>
          <w:sz w:val="24"/>
          <w:szCs w:val="24"/>
          <w:lang w:val="en-GB"/>
        </w:rPr>
        <w:t>-2</w:t>
      </w:r>
      <w:r w:rsidRPr="00F2084C">
        <w:rPr>
          <w:rFonts w:ascii="Times New Roman" w:hAnsi="Times New Roman" w:cs="Times New Roman"/>
          <w:sz w:val="24"/>
          <w:szCs w:val="24"/>
          <w:lang w:val="en-GB"/>
        </w:rPr>
        <w:t>.</w:t>
      </w:r>
      <w:r>
        <w:rPr>
          <w:rFonts w:ascii="Times New Roman" w:hAnsi="Times New Roman" w:cs="Times New Roman"/>
          <w:sz w:val="24"/>
          <w:szCs w:val="24"/>
          <w:lang w:val="en-GB"/>
        </w:rPr>
        <w:t>89</w:t>
      </w:r>
      <w:r w:rsidRPr="00F2084C">
        <w:rPr>
          <w:rFonts w:ascii="Times New Roman" w:hAnsi="Times New Roman" w:cs="Times New Roman"/>
          <w:sz w:val="24"/>
          <w:szCs w:val="24"/>
          <w:lang w:val="en-GB"/>
        </w:rPr>
        <w:t xml:space="preserve">, </w:t>
      </w:r>
      <w:r w:rsidRPr="00F2084C">
        <w:rPr>
          <w:rFonts w:ascii="Times New Roman" w:hAnsi="Times New Roman" w:cs="Times New Roman"/>
          <w:i/>
          <w:sz w:val="24"/>
          <w:szCs w:val="24"/>
          <w:lang w:val="en-GB"/>
        </w:rPr>
        <w:t>p</w:t>
      </w:r>
      <w:r w:rsidRPr="00F2084C">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F2084C">
        <w:rPr>
          <w:rFonts w:ascii="Times New Roman" w:hAnsi="Times New Roman" w:cs="Times New Roman"/>
          <w:sz w:val="24"/>
          <w:szCs w:val="24"/>
          <w:lang w:val="en-GB"/>
        </w:rPr>
        <w:t xml:space="preserve"> .00</w:t>
      </w:r>
      <w:r>
        <w:rPr>
          <w:rFonts w:ascii="Times New Roman" w:hAnsi="Times New Roman" w:cs="Times New Roman"/>
          <w:sz w:val="24"/>
          <w:szCs w:val="24"/>
          <w:lang w:val="en-GB"/>
        </w:rPr>
        <w:t>4</w:t>
      </w:r>
      <w:r w:rsidRPr="00F2084C">
        <w:rPr>
          <w:rFonts w:ascii="Times New Roman" w:hAnsi="Times New Roman" w:cs="Times New Roman"/>
          <w:sz w:val="24"/>
          <w:szCs w:val="24"/>
          <w:lang w:val="en-GB"/>
        </w:rPr>
        <w:t xml:space="preserve">, </w:t>
      </w:r>
      <w:r w:rsidRPr="00F2084C">
        <w:rPr>
          <w:rFonts w:ascii="Calibri" w:hAnsi="Calibri" w:cs="Times New Roman"/>
          <w:sz w:val="24"/>
          <w:szCs w:val="24"/>
          <w:lang w:val="en-GB"/>
        </w:rPr>
        <w:t>η</w:t>
      </w:r>
      <w:r w:rsidRPr="00F2084C">
        <w:rPr>
          <w:rFonts w:ascii="Times New Roman" w:hAnsi="Times New Roman" w:cs="Times New Roman"/>
          <w:sz w:val="24"/>
          <w:szCs w:val="24"/>
          <w:vertAlign w:val="superscript"/>
          <w:lang w:val="en-GB"/>
        </w:rPr>
        <w:t>2</w:t>
      </w:r>
      <w:r w:rsidRPr="00F2084C">
        <w:rPr>
          <w:rFonts w:ascii="Times New Roman" w:hAnsi="Times New Roman" w:cs="Times New Roman"/>
          <w:sz w:val="24"/>
          <w:szCs w:val="24"/>
          <w:vertAlign w:val="subscript"/>
          <w:lang w:val="en-GB"/>
        </w:rPr>
        <w:t>p</w:t>
      </w:r>
      <w:r w:rsidRPr="00F2084C">
        <w:rPr>
          <w:rFonts w:ascii="Times New Roman" w:hAnsi="Times New Roman" w:cs="Times New Roman"/>
          <w:sz w:val="24"/>
          <w:szCs w:val="24"/>
          <w:lang w:val="en-GB"/>
        </w:rPr>
        <w:t xml:space="preserve"> = .</w:t>
      </w:r>
      <w:r>
        <w:rPr>
          <w:rFonts w:ascii="Times New Roman" w:hAnsi="Times New Roman" w:cs="Times New Roman"/>
          <w:sz w:val="24"/>
          <w:szCs w:val="24"/>
          <w:lang w:val="en-GB"/>
        </w:rPr>
        <w:t>024</w:t>
      </w:r>
      <w:r w:rsidRPr="00F2084C">
        <w:rPr>
          <w:rFonts w:ascii="Times New Roman" w:hAnsi="Times New Roman" w:cs="Times New Roman"/>
          <w:sz w:val="24"/>
          <w:szCs w:val="24"/>
          <w:lang w:val="en-GB"/>
        </w:rPr>
        <w:t xml:space="preserve">, and so was the credentials × attitude × promotion interaction, </w:t>
      </w:r>
      <w:r w:rsidRPr="00F2084C">
        <w:rPr>
          <w:rFonts w:ascii="Times New Roman" w:hAnsi="Times New Roman" w:cs="Times New Roman"/>
          <w:i/>
          <w:sz w:val="24"/>
          <w:szCs w:val="24"/>
          <w:lang w:val="en-GB"/>
        </w:rPr>
        <w:t>b</w:t>
      </w:r>
      <w:r w:rsidRPr="00F2084C">
        <w:rPr>
          <w:rFonts w:ascii="Times New Roman" w:hAnsi="Times New Roman" w:cs="Times New Roman"/>
          <w:sz w:val="24"/>
          <w:szCs w:val="24"/>
          <w:lang w:val="en-GB"/>
        </w:rPr>
        <w:t xml:space="preserve"> = .</w:t>
      </w:r>
      <w:r>
        <w:rPr>
          <w:rFonts w:ascii="Times New Roman" w:hAnsi="Times New Roman" w:cs="Times New Roman"/>
          <w:sz w:val="24"/>
          <w:szCs w:val="24"/>
          <w:lang w:val="en-GB"/>
        </w:rPr>
        <w:t>47</w:t>
      </w:r>
      <w:r w:rsidRPr="00F2084C">
        <w:rPr>
          <w:rFonts w:ascii="Times New Roman" w:hAnsi="Times New Roman" w:cs="Times New Roman"/>
          <w:sz w:val="24"/>
          <w:szCs w:val="24"/>
          <w:lang w:val="en-GB"/>
        </w:rPr>
        <w:t>, 95% CI [.</w:t>
      </w:r>
      <w:r>
        <w:rPr>
          <w:rFonts w:ascii="Times New Roman" w:hAnsi="Times New Roman" w:cs="Times New Roman"/>
          <w:sz w:val="24"/>
          <w:szCs w:val="24"/>
          <w:lang w:val="en-GB"/>
        </w:rPr>
        <w:t>22</w:t>
      </w:r>
      <w:r w:rsidRPr="00F2084C">
        <w:rPr>
          <w:rFonts w:ascii="Times New Roman" w:hAnsi="Times New Roman" w:cs="Times New Roman"/>
          <w:sz w:val="24"/>
          <w:szCs w:val="24"/>
          <w:lang w:val="en-GB"/>
        </w:rPr>
        <w:t>, .</w:t>
      </w:r>
      <w:r>
        <w:rPr>
          <w:rFonts w:ascii="Times New Roman" w:hAnsi="Times New Roman" w:cs="Times New Roman"/>
          <w:sz w:val="24"/>
          <w:szCs w:val="24"/>
          <w:lang w:val="en-GB"/>
        </w:rPr>
        <w:t>72</w:t>
      </w:r>
      <w:r w:rsidRPr="00F2084C">
        <w:rPr>
          <w:rFonts w:ascii="Times New Roman" w:hAnsi="Times New Roman" w:cs="Times New Roman"/>
          <w:sz w:val="24"/>
          <w:szCs w:val="24"/>
          <w:lang w:val="en-GB"/>
        </w:rPr>
        <w:t xml:space="preserve">], </w:t>
      </w:r>
      <w:r w:rsidRPr="00F2084C">
        <w:rPr>
          <w:rFonts w:ascii="Times New Roman" w:hAnsi="Times New Roman" w:cs="Times New Roman"/>
          <w:i/>
          <w:sz w:val="24"/>
          <w:szCs w:val="24"/>
          <w:lang w:val="en-GB"/>
        </w:rPr>
        <w:t>t</w:t>
      </w:r>
      <w:r w:rsidRPr="00F2084C">
        <w:rPr>
          <w:rFonts w:ascii="Times New Roman" w:hAnsi="Times New Roman" w:cs="Times New Roman"/>
          <w:sz w:val="24"/>
          <w:szCs w:val="24"/>
          <w:lang w:val="en-GB"/>
        </w:rPr>
        <w:t>(</w:t>
      </w:r>
      <w:r>
        <w:rPr>
          <w:rFonts w:ascii="Times New Roman" w:hAnsi="Times New Roman" w:cs="Times New Roman"/>
          <w:sz w:val="24"/>
          <w:szCs w:val="24"/>
          <w:lang w:val="en-GB"/>
        </w:rPr>
        <w:t>329</w:t>
      </w:r>
      <w:r w:rsidRPr="00F2084C">
        <w:rPr>
          <w:rFonts w:ascii="Times New Roman" w:hAnsi="Times New Roman" w:cs="Times New Roman"/>
          <w:sz w:val="24"/>
          <w:szCs w:val="24"/>
          <w:lang w:val="en-GB"/>
        </w:rPr>
        <w:t xml:space="preserve">) = </w:t>
      </w:r>
      <w:r>
        <w:rPr>
          <w:rFonts w:ascii="Times New Roman" w:hAnsi="Times New Roman" w:cs="Times New Roman"/>
          <w:sz w:val="24"/>
          <w:szCs w:val="24"/>
          <w:lang w:val="en-GB"/>
        </w:rPr>
        <w:t>3</w:t>
      </w:r>
      <w:r w:rsidRPr="00F2084C">
        <w:rPr>
          <w:rFonts w:ascii="Times New Roman" w:hAnsi="Times New Roman" w:cs="Times New Roman"/>
          <w:sz w:val="24"/>
          <w:szCs w:val="24"/>
          <w:lang w:val="en-GB"/>
        </w:rPr>
        <w:t>.</w:t>
      </w:r>
      <w:r>
        <w:rPr>
          <w:rFonts w:ascii="Times New Roman" w:hAnsi="Times New Roman" w:cs="Times New Roman"/>
          <w:sz w:val="24"/>
          <w:szCs w:val="24"/>
          <w:lang w:val="en-GB"/>
        </w:rPr>
        <w:t>65</w:t>
      </w:r>
      <w:r w:rsidRPr="00F2084C">
        <w:rPr>
          <w:rFonts w:ascii="Times New Roman" w:hAnsi="Times New Roman" w:cs="Times New Roman"/>
          <w:sz w:val="24"/>
          <w:szCs w:val="24"/>
          <w:lang w:val="en-GB"/>
        </w:rPr>
        <w:t xml:space="preserve">, </w:t>
      </w:r>
      <w:r w:rsidRPr="00F2084C">
        <w:rPr>
          <w:rFonts w:ascii="Times New Roman" w:hAnsi="Times New Roman" w:cs="Times New Roman"/>
          <w:i/>
          <w:sz w:val="24"/>
          <w:szCs w:val="24"/>
          <w:lang w:val="en-GB"/>
        </w:rPr>
        <w:t>p</w:t>
      </w:r>
      <w:r w:rsidRPr="00F2084C">
        <w:rPr>
          <w:rFonts w:ascii="Times New Roman" w:hAnsi="Times New Roman" w:cs="Times New Roman"/>
          <w:sz w:val="24"/>
          <w:szCs w:val="24"/>
          <w:lang w:val="en-GB"/>
        </w:rPr>
        <w:t xml:space="preserve"> &lt; .001, </w:t>
      </w:r>
      <w:r w:rsidRPr="00F2084C">
        <w:rPr>
          <w:rFonts w:ascii="Calibri" w:hAnsi="Calibri" w:cs="Times New Roman"/>
          <w:sz w:val="24"/>
          <w:szCs w:val="24"/>
          <w:lang w:val="en-GB"/>
        </w:rPr>
        <w:t>η</w:t>
      </w:r>
      <w:r w:rsidRPr="00F2084C">
        <w:rPr>
          <w:rFonts w:ascii="Times New Roman" w:hAnsi="Times New Roman" w:cs="Times New Roman"/>
          <w:sz w:val="24"/>
          <w:szCs w:val="24"/>
          <w:vertAlign w:val="superscript"/>
          <w:lang w:val="en-GB"/>
        </w:rPr>
        <w:t>2</w:t>
      </w:r>
      <w:r w:rsidRPr="00F2084C">
        <w:rPr>
          <w:rFonts w:ascii="Times New Roman" w:hAnsi="Times New Roman" w:cs="Times New Roman"/>
          <w:sz w:val="24"/>
          <w:szCs w:val="24"/>
          <w:vertAlign w:val="subscript"/>
          <w:lang w:val="en-GB"/>
        </w:rPr>
        <w:t>p</w:t>
      </w:r>
      <w:r w:rsidRPr="00F2084C">
        <w:rPr>
          <w:rFonts w:ascii="Times New Roman" w:hAnsi="Times New Roman" w:cs="Times New Roman"/>
          <w:sz w:val="24"/>
          <w:szCs w:val="24"/>
          <w:lang w:val="en-GB"/>
        </w:rPr>
        <w:t xml:space="preserve"> = .</w:t>
      </w:r>
      <w:r>
        <w:rPr>
          <w:rFonts w:ascii="Times New Roman" w:hAnsi="Times New Roman" w:cs="Times New Roman"/>
          <w:sz w:val="24"/>
          <w:szCs w:val="24"/>
          <w:lang w:val="en-GB"/>
        </w:rPr>
        <w:t>037</w:t>
      </w:r>
      <w:r w:rsidRPr="00F2084C">
        <w:rPr>
          <w:rFonts w:ascii="Times New Roman" w:hAnsi="Times New Roman" w:cs="Times New Roman"/>
          <w:sz w:val="24"/>
          <w:szCs w:val="24"/>
          <w:lang w:val="en-GB"/>
        </w:rPr>
        <w:t>.</w:t>
      </w:r>
    </w:p>
    <w:p w14:paraId="058BE3F4" w14:textId="1C60DCF4" w:rsidR="00EE25FB" w:rsidRPr="00F2084C" w:rsidRDefault="00EE25FB" w:rsidP="00AF4F00">
      <w:pPr>
        <w:spacing w:after="0" w:line="480" w:lineRule="auto"/>
        <w:ind w:firstLine="708"/>
        <w:rPr>
          <w:rFonts w:ascii="Times New Roman" w:hAnsi="Times New Roman" w:cs="Times New Roman"/>
          <w:color w:val="C00000"/>
          <w:sz w:val="24"/>
          <w:szCs w:val="24"/>
          <w:lang w:val="en-GB"/>
        </w:rPr>
      </w:pPr>
      <w:r w:rsidRPr="00F2084C">
        <w:rPr>
          <w:rFonts w:ascii="Times New Roman" w:hAnsi="Times New Roman" w:cs="Times New Roman"/>
          <w:sz w:val="24"/>
          <w:szCs w:val="24"/>
          <w:lang w:val="en-GB"/>
        </w:rPr>
        <w:t xml:space="preserve">We then decomposed the interactions with regard to our hypotheses, starting with the prevention focus (see Figure </w:t>
      </w:r>
      <w:r w:rsidR="00DD2A79">
        <w:rPr>
          <w:rFonts w:ascii="Times New Roman" w:hAnsi="Times New Roman" w:cs="Times New Roman"/>
          <w:sz w:val="24"/>
          <w:szCs w:val="24"/>
          <w:lang w:val="en-GB"/>
        </w:rPr>
        <w:t>B.</w:t>
      </w:r>
      <w:r w:rsidRPr="00F2084C">
        <w:rPr>
          <w:rFonts w:ascii="Times New Roman" w:hAnsi="Times New Roman" w:cs="Times New Roman"/>
          <w:sz w:val="24"/>
          <w:szCs w:val="24"/>
          <w:lang w:val="en-GB"/>
        </w:rPr>
        <w:t>1). Amongst prevention-oriented participants (prevention score +1</w:t>
      </w:r>
      <w:r w:rsidR="00580388">
        <w:rPr>
          <w:rFonts w:ascii="Times New Roman" w:hAnsi="Times New Roman" w:cs="Times New Roman"/>
          <w:sz w:val="24"/>
          <w:szCs w:val="24"/>
          <w:lang w:val="en-GB"/>
        </w:rPr>
        <w:t xml:space="preserve"> </w:t>
      </w:r>
      <w:r w:rsidRPr="00580388">
        <w:rPr>
          <w:rFonts w:ascii="Times New Roman" w:hAnsi="Times New Roman" w:cs="Times New Roman"/>
          <w:i/>
          <w:sz w:val="24"/>
          <w:szCs w:val="24"/>
          <w:lang w:val="en-GB"/>
        </w:rPr>
        <w:t>SD</w:t>
      </w:r>
      <w:r w:rsidRPr="00600B16">
        <w:rPr>
          <w:rFonts w:ascii="Times New Roman" w:hAnsi="Times New Roman" w:cs="Times New Roman"/>
          <w:sz w:val="24"/>
          <w:szCs w:val="24"/>
          <w:lang w:val="en-GB"/>
        </w:rPr>
        <w:t xml:space="preserve">), initial </w:t>
      </w:r>
      <w:r w:rsidR="00C21819">
        <w:rPr>
          <w:rFonts w:ascii="Times New Roman" w:hAnsi="Times New Roman" w:cs="Times New Roman"/>
          <w:sz w:val="24"/>
          <w:szCs w:val="24"/>
          <w:lang w:val="en-GB"/>
        </w:rPr>
        <w:t xml:space="preserve">intergroup </w:t>
      </w:r>
      <w:r w:rsidRPr="00600B16">
        <w:rPr>
          <w:rFonts w:ascii="Times New Roman" w:hAnsi="Times New Roman" w:cs="Times New Roman"/>
          <w:sz w:val="24"/>
          <w:szCs w:val="24"/>
          <w:lang w:val="en-GB"/>
        </w:rPr>
        <w:t>attitude</w:t>
      </w:r>
      <w:r w:rsidR="00C21819">
        <w:rPr>
          <w:rFonts w:ascii="Times New Roman" w:hAnsi="Times New Roman" w:cs="Times New Roman"/>
          <w:sz w:val="24"/>
          <w:szCs w:val="24"/>
          <w:lang w:val="en-GB"/>
        </w:rPr>
        <w:t>s</w:t>
      </w:r>
      <w:r w:rsidRPr="00600B16">
        <w:rPr>
          <w:rFonts w:ascii="Times New Roman" w:hAnsi="Times New Roman" w:cs="Times New Roman"/>
          <w:sz w:val="24"/>
          <w:szCs w:val="24"/>
          <w:lang w:val="en-GB"/>
        </w:rPr>
        <w:t xml:space="preserve"> positively predicted support for </w:t>
      </w:r>
      <w:r w:rsidR="009D4840">
        <w:rPr>
          <w:rFonts w:ascii="Times New Roman" w:hAnsi="Times New Roman" w:cs="Times New Roman"/>
          <w:sz w:val="24"/>
          <w:szCs w:val="24"/>
          <w:lang w:val="en-GB"/>
        </w:rPr>
        <w:t>affirmative action</w:t>
      </w:r>
      <w:r w:rsidR="009D4840" w:rsidRPr="00600B16">
        <w:rPr>
          <w:rFonts w:ascii="Times New Roman" w:hAnsi="Times New Roman" w:cs="Times New Roman"/>
          <w:sz w:val="24"/>
          <w:szCs w:val="24"/>
          <w:lang w:val="en-GB"/>
        </w:rPr>
        <w:t xml:space="preserve"> </w:t>
      </w:r>
      <w:r w:rsidRPr="00600B16">
        <w:rPr>
          <w:rFonts w:ascii="Times New Roman" w:hAnsi="Times New Roman" w:cs="Times New Roman"/>
          <w:sz w:val="24"/>
          <w:szCs w:val="24"/>
          <w:lang w:val="en-GB"/>
        </w:rPr>
        <w:t xml:space="preserve">in the low credentials (control) condition, </w:t>
      </w:r>
      <w:r w:rsidRPr="00600B16">
        <w:rPr>
          <w:rFonts w:ascii="Times New Roman" w:hAnsi="Times New Roman" w:cs="Times New Roman"/>
          <w:i/>
          <w:sz w:val="24"/>
          <w:szCs w:val="24"/>
          <w:lang w:val="en-GB"/>
        </w:rPr>
        <w:t>b</w:t>
      </w:r>
      <w:r w:rsidRPr="00600B16">
        <w:rPr>
          <w:rFonts w:ascii="Times New Roman" w:hAnsi="Times New Roman" w:cs="Times New Roman"/>
          <w:sz w:val="24"/>
          <w:szCs w:val="24"/>
          <w:lang w:val="en-GB"/>
        </w:rPr>
        <w:t xml:space="preserve"> = .</w:t>
      </w:r>
      <w:r>
        <w:rPr>
          <w:rFonts w:ascii="Times New Roman" w:hAnsi="Times New Roman" w:cs="Times New Roman"/>
          <w:sz w:val="24"/>
          <w:szCs w:val="24"/>
          <w:lang w:val="en-GB"/>
        </w:rPr>
        <w:t>65</w:t>
      </w:r>
      <w:r w:rsidRPr="00600B16">
        <w:rPr>
          <w:rFonts w:ascii="Times New Roman" w:hAnsi="Times New Roman" w:cs="Times New Roman"/>
          <w:sz w:val="24"/>
          <w:szCs w:val="24"/>
          <w:lang w:val="en-GB"/>
        </w:rPr>
        <w:t>, 95% CI [.</w:t>
      </w:r>
      <w:r>
        <w:rPr>
          <w:rFonts w:ascii="Times New Roman" w:hAnsi="Times New Roman" w:cs="Times New Roman"/>
          <w:sz w:val="24"/>
          <w:szCs w:val="24"/>
          <w:lang w:val="en-GB"/>
        </w:rPr>
        <w:t>30</w:t>
      </w:r>
      <w:r w:rsidRPr="00600B16">
        <w:rPr>
          <w:rFonts w:ascii="Times New Roman" w:hAnsi="Times New Roman" w:cs="Times New Roman"/>
          <w:sz w:val="24"/>
          <w:szCs w:val="24"/>
          <w:lang w:val="en-GB"/>
        </w:rPr>
        <w:t xml:space="preserve">, </w:t>
      </w:r>
      <w:r>
        <w:rPr>
          <w:rFonts w:ascii="Times New Roman" w:hAnsi="Times New Roman" w:cs="Times New Roman"/>
          <w:sz w:val="24"/>
          <w:szCs w:val="24"/>
          <w:lang w:val="en-GB"/>
        </w:rPr>
        <w:t>1</w:t>
      </w:r>
      <w:r w:rsidRPr="00600B16">
        <w:rPr>
          <w:rFonts w:ascii="Times New Roman" w:hAnsi="Times New Roman" w:cs="Times New Roman"/>
          <w:sz w:val="24"/>
          <w:szCs w:val="24"/>
          <w:lang w:val="en-GB"/>
        </w:rPr>
        <w:t>.</w:t>
      </w:r>
      <w:r>
        <w:rPr>
          <w:rFonts w:ascii="Times New Roman" w:hAnsi="Times New Roman" w:cs="Times New Roman"/>
          <w:sz w:val="24"/>
          <w:szCs w:val="24"/>
          <w:lang w:val="en-GB"/>
        </w:rPr>
        <w:t>00</w:t>
      </w:r>
      <w:r w:rsidRPr="00600B16">
        <w:rPr>
          <w:rFonts w:ascii="Times New Roman" w:hAnsi="Times New Roman" w:cs="Times New Roman"/>
          <w:sz w:val="24"/>
          <w:szCs w:val="24"/>
          <w:lang w:val="en-GB"/>
        </w:rPr>
        <w:t xml:space="preserve">], </w:t>
      </w:r>
      <w:r w:rsidRPr="00600B16">
        <w:rPr>
          <w:rFonts w:ascii="Times New Roman" w:hAnsi="Times New Roman" w:cs="Times New Roman"/>
          <w:i/>
          <w:sz w:val="24"/>
          <w:szCs w:val="24"/>
          <w:lang w:val="en-GB"/>
        </w:rPr>
        <w:t>t</w:t>
      </w:r>
      <w:r w:rsidRPr="00600B16">
        <w:rPr>
          <w:rFonts w:ascii="Times New Roman" w:hAnsi="Times New Roman" w:cs="Times New Roman"/>
          <w:sz w:val="24"/>
          <w:szCs w:val="24"/>
          <w:lang w:val="en-GB"/>
        </w:rPr>
        <w:t>(</w:t>
      </w:r>
      <w:r>
        <w:rPr>
          <w:rFonts w:ascii="Times New Roman" w:hAnsi="Times New Roman" w:cs="Times New Roman"/>
          <w:sz w:val="24"/>
          <w:szCs w:val="24"/>
          <w:lang w:val="en-GB"/>
        </w:rPr>
        <w:t>329</w:t>
      </w:r>
      <w:r w:rsidRPr="00600B16">
        <w:rPr>
          <w:rFonts w:ascii="Times New Roman" w:hAnsi="Times New Roman" w:cs="Times New Roman"/>
          <w:sz w:val="24"/>
          <w:szCs w:val="24"/>
          <w:lang w:val="en-GB"/>
        </w:rPr>
        <w:t xml:space="preserve">) = </w:t>
      </w:r>
      <w:r>
        <w:rPr>
          <w:rFonts w:ascii="Times New Roman" w:hAnsi="Times New Roman" w:cs="Times New Roman"/>
          <w:sz w:val="24"/>
          <w:szCs w:val="24"/>
          <w:lang w:val="en-GB"/>
        </w:rPr>
        <w:t>3</w:t>
      </w:r>
      <w:r w:rsidRPr="00600B16">
        <w:rPr>
          <w:rFonts w:ascii="Times New Roman" w:hAnsi="Times New Roman" w:cs="Times New Roman"/>
          <w:sz w:val="24"/>
          <w:szCs w:val="24"/>
          <w:lang w:val="en-GB"/>
        </w:rPr>
        <w:t>.</w:t>
      </w:r>
      <w:r>
        <w:rPr>
          <w:rFonts w:ascii="Times New Roman" w:hAnsi="Times New Roman" w:cs="Times New Roman"/>
          <w:sz w:val="24"/>
          <w:szCs w:val="24"/>
          <w:lang w:val="en-GB"/>
        </w:rPr>
        <w:t>67</w:t>
      </w:r>
      <w:r w:rsidRPr="00600B16">
        <w:rPr>
          <w:rFonts w:ascii="Times New Roman" w:hAnsi="Times New Roman" w:cs="Times New Roman"/>
          <w:sz w:val="24"/>
          <w:szCs w:val="24"/>
          <w:lang w:val="en-GB"/>
        </w:rPr>
        <w:t xml:space="preserve">, </w:t>
      </w:r>
      <w:r w:rsidRPr="00600B16">
        <w:rPr>
          <w:rFonts w:ascii="Times New Roman" w:hAnsi="Times New Roman" w:cs="Times New Roman"/>
          <w:i/>
          <w:sz w:val="24"/>
          <w:szCs w:val="24"/>
          <w:lang w:val="en-GB"/>
        </w:rPr>
        <w:t>p</w:t>
      </w:r>
      <w:r w:rsidRPr="00600B16">
        <w:rPr>
          <w:rFonts w:ascii="Times New Roman" w:hAnsi="Times New Roman" w:cs="Times New Roman"/>
          <w:sz w:val="24"/>
          <w:szCs w:val="24"/>
          <w:lang w:val="en-GB"/>
        </w:rPr>
        <w:t xml:space="preserve"> &lt; .001, but this link disappeared in the high credentials condition, </w:t>
      </w:r>
      <w:r w:rsidRPr="00FB0337">
        <w:rPr>
          <w:rFonts w:ascii="Times New Roman" w:hAnsi="Times New Roman" w:cs="Times New Roman"/>
          <w:i/>
          <w:sz w:val="24"/>
          <w:szCs w:val="24"/>
          <w:lang w:val="en-GB"/>
        </w:rPr>
        <w:t>b</w:t>
      </w:r>
      <w:r w:rsidRPr="00FB0337">
        <w:rPr>
          <w:rFonts w:ascii="Times New Roman" w:hAnsi="Times New Roman" w:cs="Times New Roman"/>
          <w:sz w:val="24"/>
          <w:szCs w:val="24"/>
          <w:lang w:val="en-GB"/>
        </w:rPr>
        <w:t xml:space="preserve"> = -.</w:t>
      </w:r>
      <w:r>
        <w:rPr>
          <w:rFonts w:ascii="Times New Roman" w:hAnsi="Times New Roman" w:cs="Times New Roman"/>
          <w:sz w:val="24"/>
          <w:szCs w:val="24"/>
          <w:lang w:val="en-GB"/>
        </w:rPr>
        <w:t>29</w:t>
      </w:r>
      <w:r w:rsidRPr="00FB0337">
        <w:rPr>
          <w:rFonts w:ascii="Times New Roman" w:hAnsi="Times New Roman" w:cs="Times New Roman"/>
          <w:sz w:val="24"/>
          <w:szCs w:val="24"/>
          <w:lang w:val="en-GB"/>
        </w:rPr>
        <w:t>, 95% CI [-.</w:t>
      </w:r>
      <w:r>
        <w:rPr>
          <w:rFonts w:ascii="Times New Roman" w:hAnsi="Times New Roman" w:cs="Times New Roman"/>
          <w:sz w:val="24"/>
          <w:szCs w:val="24"/>
          <w:lang w:val="en-GB"/>
        </w:rPr>
        <w:t>87</w:t>
      </w:r>
      <w:r w:rsidRPr="00FB0337">
        <w:rPr>
          <w:rFonts w:ascii="Times New Roman" w:hAnsi="Times New Roman" w:cs="Times New Roman"/>
          <w:sz w:val="24"/>
          <w:szCs w:val="24"/>
          <w:lang w:val="en-GB"/>
        </w:rPr>
        <w:t>, .</w:t>
      </w:r>
      <w:r>
        <w:rPr>
          <w:rFonts w:ascii="Times New Roman" w:hAnsi="Times New Roman" w:cs="Times New Roman"/>
          <w:sz w:val="24"/>
          <w:szCs w:val="24"/>
          <w:lang w:val="en-GB"/>
        </w:rPr>
        <w:t>30</w:t>
      </w:r>
      <w:r w:rsidRPr="00FB0337">
        <w:rPr>
          <w:rFonts w:ascii="Times New Roman" w:hAnsi="Times New Roman" w:cs="Times New Roman"/>
          <w:sz w:val="24"/>
          <w:szCs w:val="24"/>
          <w:lang w:val="en-GB"/>
        </w:rPr>
        <w:t xml:space="preserve">], </w:t>
      </w:r>
      <w:r w:rsidRPr="00FB0337">
        <w:rPr>
          <w:rFonts w:ascii="Times New Roman" w:hAnsi="Times New Roman" w:cs="Times New Roman"/>
          <w:i/>
          <w:sz w:val="24"/>
          <w:szCs w:val="24"/>
          <w:lang w:val="en-GB"/>
        </w:rPr>
        <w:t>t</w:t>
      </w:r>
      <w:r w:rsidRPr="00FB0337">
        <w:rPr>
          <w:rFonts w:ascii="Times New Roman" w:hAnsi="Times New Roman" w:cs="Times New Roman"/>
          <w:sz w:val="24"/>
          <w:szCs w:val="24"/>
          <w:lang w:val="en-GB"/>
        </w:rPr>
        <w:t>(</w:t>
      </w:r>
      <w:r>
        <w:rPr>
          <w:rFonts w:ascii="Times New Roman" w:hAnsi="Times New Roman" w:cs="Times New Roman"/>
          <w:sz w:val="24"/>
          <w:szCs w:val="24"/>
          <w:lang w:val="en-GB"/>
        </w:rPr>
        <w:t>329</w:t>
      </w:r>
      <w:r w:rsidRPr="00FB0337">
        <w:rPr>
          <w:rFonts w:ascii="Times New Roman" w:hAnsi="Times New Roman" w:cs="Times New Roman"/>
          <w:sz w:val="24"/>
          <w:szCs w:val="24"/>
          <w:lang w:val="en-GB"/>
        </w:rPr>
        <w:t>) = -0.</w:t>
      </w:r>
      <w:r>
        <w:rPr>
          <w:rFonts w:ascii="Times New Roman" w:hAnsi="Times New Roman" w:cs="Times New Roman"/>
          <w:sz w:val="24"/>
          <w:szCs w:val="24"/>
          <w:lang w:val="en-GB"/>
        </w:rPr>
        <w:t>97</w:t>
      </w:r>
      <w:r w:rsidRPr="00FB0337">
        <w:rPr>
          <w:rFonts w:ascii="Times New Roman" w:hAnsi="Times New Roman" w:cs="Times New Roman"/>
          <w:sz w:val="24"/>
          <w:szCs w:val="24"/>
          <w:lang w:val="en-GB"/>
        </w:rPr>
        <w:t xml:space="preserve">, </w:t>
      </w:r>
      <w:r w:rsidRPr="00FB0337">
        <w:rPr>
          <w:rFonts w:ascii="Times New Roman" w:hAnsi="Times New Roman" w:cs="Times New Roman"/>
          <w:i/>
          <w:sz w:val="24"/>
          <w:szCs w:val="24"/>
          <w:lang w:val="en-GB"/>
        </w:rPr>
        <w:t>p</w:t>
      </w:r>
      <w:r w:rsidRPr="00FB0337">
        <w:rPr>
          <w:rFonts w:ascii="Times New Roman" w:hAnsi="Times New Roman" w:cs="Times New Roman"/>
          <w:sz w:val="24"/>
          <w:szCs w:val="24"/>
          <w:lang w:val="en-GB"/>
        </w:rPr>
        <w:t xml:space="preserve"> = .</w:t>
      </w:r>
      <w:r>
        <w:rPr>
          <w:rFonts w:ascii="Times New Roman" w:hAnsi="Times New Roman" w:cs="Times New Roman"/>
          <w:sz w:val="24"/>
          <w:szCs w:val="24"/>
          <w:lang w:val="en-GB"/>
        </w:rPr>
        <w:t>33</w:t>
      </w:r>
      <w:r w:rsidRPr="00FB0337">
        <w:rPr>
          <w:rFonts w:ascii="Times New Roman" w:hAnsi="Times New Roman" w:cs="Times New Roman"/>
          <w:sz w:val="24"/>
          <w:szCs w:val="24"/>
          <w:lang w:val="en-GB"/>
        </w:rPr>
        <w:t xml:space="preserve">. When </w:t>
      </w:r>
      <w:r w:rsidR="00C21819">
        <w:rPr>
          <w:rFonts w:ascii="Times New Roman" w:hAnsi="Times New Roman" w:cs="Times New Roman"/>
          <w:sz w:val="24"/>
          <w:szCs w:val="24"/>
          <w:lang w:val="en-GB"/>
        </w:rPr>
        <w:t>intergroup</w:t>
      </w:r>
      <w:r w:rsidRPr="00FB0337">
        <w:rPr>
          <w:rFonts w:ascii="Times New Roman" w:hAnsi="Times New Roman" w:cs="Times New Roman"/>
          <w:sz w:val="24"/>
          <w:szCs w:val="24"/>
          <w:lang w:val="en-GB"/>
        </w:rPr>
        <w:t xml:space="preserve"> attitude</w:t>
      </w:r>
      <w:r w:rsidR="00C21819">
        <w:rPr>
          <w:rFonts w:ascii="Times New Roman" w:hAnsi="Times New Roman" w:cs="Times New Roman"/>
          <w:sz w:val="24"/>
          <w:szCs w:val="24"/>
          <w:lang w:val="en-GB"/>
        </w:rPr>
        <w:t>s</w:t>
      </w:r>
      <w:r w:rsidRPr="00FB0337">
        <w:rPr>
          <w:rFonts w:ascii="Times New Roman" w:hAnsi="Times New Roman" w:cs="Times New Roman"/>
          <w:sz w:val="24"/>
          <w:szCs w:val="24"/>
          <w:lang w:val="en-GB"/>
        </w:rPr>
        <w:t xml:space="preserve"> </w:t>
      </w:r>
      <w:r w:rsidR="00C21819">
        <w:rPr>
          <w:rFonts w:ascii="Times New Roman" w:hAnsi="Times New Roman" w:cs="Times New Roman"/>
          <w:sz w:val="24"/>
          <w:szCs w:val="24"/>
          <w:lang w:val="en-GB"/>
        </w:rPr>
        <w:t xml:space="preserve">were more positive (+1 </w:t>
      </w:r>
      <w:r w:rsidR="00C21819" w:rsidRPr="00C21819">
        <w:rPr>
          <w:rFonts w:ascii="Times New Roman" w:hAnsi="Times New Roman" w:cs="Times New Roman"/>
          <w:i/>
          <w:sz w:val="24"/>
          <w:szCs w:val="24"/>
          <w:lang w:val="en-GB"/>
        </w:rPr>
        <w:t>SD</w:t>
      </w:r>
      <w:r w:rsidR="00C21819">
        <w:rPr>
          <w:rFonts w:ascii="Times New Roman" w:hAnsi="Times New Roman" w:cs="Times New Roman"/>
          <w:sz w:val="24"/>
          <w:szCs w:val="24"/>
          <w:lang w:val="en-GB"/>
        </w:rPr>
        <w:t>)</w:t>
      </w:r>
      <w:r w:rsidRPr="00FB0337">
        <w:rPr>
          <w:rFonts w:ascii="Times New Roman" w:hAnsi="Times New Roman" w:cs="Times New Roman"/>
          <w:sz w:val="24"/>
          <w:szCs w:val="24"/>
          <w:lang w:val="en-GB"/>
        </w:rPr>
        <w:t xml:space="preserve">, support was significantly lower in the credentials than in the control condition, </w:t>
      </w:r>
      <w:r w:rsidRPr="00FB0337">
        <w:rPr>
          <w:rFonts w:ascii="Times New Roman" w:hAnsi="Times New Roman" w:cs="Times New Roman"/>
          <w:i/>
          <w:sz w:val="24"/>
          <w:szCs w:val="24"/>
          <w:lang w:val="en-GB"/>
        </w:rPr>
        <w:t>b</w:t>
      </w:r>
      <w:r w:rsidRPr="00FB0337">
        <w:rPr>
          <w:rFonts w:ascii="Times New Roman" w:hAnsi="Times New Roman" w:cs="Times New Roman"/>
          <w:sz w:val="24"/>
          <w:szCs w:val="24"/>
          <w:lang w:val="en-GB"/>
        </w:rPr>
        <w:t xml:space="preserve"> = -.</w:t>
      </w:r>
      <w:r>
        <w:rPr>
          <w:rFonts w:ascii="Times New Roman" w:hAnsi="Times New Roman" w:cs="Times New Roman"/>
          <w:sz w:val="24"/>
          <w:szCs w:val="24"/>
          <w:lang w:val="en-GB"/>
        </w:rPr>
        <w:t>81</w:t>
      </w:r>
      <w:r w:rsidRPr="00FB0337">
        <w:rPr>
          <w:rFonts w:ascii="Times New Roman" w:hAnsi="Times New Roman" w:cs="Times New Roman"/>
          <w:sz w:val="24"/>
          <w:szCs w:val="24"/>
          <w:lang w:val="en-GB"/>
        </w:rPr>
        <w:t>, 95% CI [-</w:t>
      </w:r>
      <w:r>
        <w:rPr>
          <w:rFonts w:ascii="Times New Roman" w:hAnsi="Times New Roman" w:cs="Times New Roman"/>
          <w:sz w:val="24"/>
          <w:szCs w:val="24"/>
          <w:lang w:val="en-GB"/>
        </w:rPr>
        <w:t>1</w:t>
      </w:r>
      <w:r w:rsidRPr="00FB0337">
        <w:rPr>
          <w:rFonts w:ascii="Times New Roman" w:hAnsi="Times New Roman" w:cs="Times New Roman"/>
          <w:sz w:val="24"/>
          <w:szCs w:val="24"/>
          <w:lang w:val="en-GB"/>
        </w:rPr>
        <w:t>.</w:t>
      </w:r>
      <w:r>
        <w:rPr>
          <w:rFonts w:ascii="Times New Roman" w:hAnsi="Times New Roman" w:cs="Times New Roman"/>
          <w:sz w:val="24"/>
          <w:szCs w:val="24"/>
          <w:lang w:val="en-GB"/>
        </w:rPr>
        <w:t>19</w:t>
      </w:r>
      <w:r w:rsidRPr="00FB0337">
        <w:rPr>
          <w:rFonts w:ascii="Times New Roman" w:hAnsi="Times New Roman" w:cs="Times New Roman"/>
          <w:sz w:val="24"/>
          <w:szCs w:val="24"/>
          <w:lang w:val="en-GB"/>
        </w:rPr>
        <w:t>, -.</w:t>
      </w:r>
      <w:r>
        <w:rPr>
          <w:rFonts w:ascii="Times New Roman" w:hAnsi="Times New Roman" w:cs="Times New Roman"/>
          <w:sz w:val="24"/>
          <w:szCs w:val="24"/>
          <w:lang w:val="en-GB"/>
        </w:rPr>
        <w:t>42</w:t>
      </w:r>
      <w:r w:rsidRPr="00FB0337">
        <w:rPr>
          <w:rFonts w:ascii="Times New Roman" w:hAnsi="Times New Roman" w:cs="Times New Roman"/>
          <w:sz w:val="24"/>
          <w:szCs w:val="24"/>
          <w:lang w:val="en-GB"/>
        </w:rPr>
        <w:t xml:space="preserve">], </w:t>
      </w:r>
      <w:r w:rsidRPr="00FB0337">
        <w:rPr>
          <w:rFonts w:ascii="Times New Roman" w:hAnsi="Times New Roman" w:cs="Times New Roman"/>
          <w:i/>
          <w:sz w:val="24"/>
          <w:szCs w:val="24"/>
          <w:lang w:val="en-GB"/>
        </w:rPr>
        <w:t>t</w:t>
      </w:r>
      <w:r w:rsidRPr="00FB0337">
        <w:rPr>
          <w:rFonts w:ascii="Times New Roman" w:hAnsi="Times New Roman" w:cs="Times New Roman"/>
          <w:sz w:val="24"/>
          <w:szCs w:val="24"/>
          <w:lang w:val="en-GB"/>
        </w:rPr>
        <w:t>(</w:t>
      </w:r>
      <w:r>
        <w:rPr>
          <w:rFonts w:ascii="Times New Roman" w:hAnsi="Times New Roman" w:cs="Times New Roman"/>
          <w:sz w:val="24"/>
          <w:szCs w:val="24"/>
          <w:lang w:val="en-GB"/>
        </w:rPr>
        <w:t>329</w:t>
      </w:r>
      <w:r w:rsidRPr="00FB0337">
        <w:rPr>
          <w:rFonts w:ascii="Times New Roman" w:hAnsi="Times New Roman" w:cs="Times New Roman"/>
          <w:sz w:val="24"/>
          <w:szCs w:val="24"/>
          <w:lang w:val="en-GB"/>
        </w:rPr>
        <w:t>) = -</w:t>
      </w:r>
      <w:r>
        <w:rPr>
          <w:rFonts w:ascii="Times New Roman" w:hAnsi="Times New Roman" w:cs="Times New Roman"/>
          <w:sz w:val="24"/>
          <w:szCs w:val="24"/>
          <w:lang w:val="en-GB"/>
        </w:rPr>
        <w:t>4</w:t>
      </w:r>
      <w:r w:rsidRPr="00FB0337">
        <w:rPr>
          <w:rFonts w:ascii="Times New Roman" w:hAnsi="Times New Roman" w:cs="Times New Roman"/>
          <w:sz w:val="24"/>
          <w:szCs w:val="24"/>
          <w:lang w:val="en-GB"/>
        </w:rPr>
        <w:t>.</w:t>
      </w:r>
      <w:r>
        <w:rPr>
          <w:rFonts w:ascii="Times New Roman" w:hAnsi="Times New Roman" w:cs="Times New Roman"/>
          <w:sz w:val="24"/>
          <w:szCs w:val="24"/>
          <w:lang w:val="en-GB"/>
        </w:rPr>
        <w:t>14</w:t>
      </w:r>
      <w:r w:rsidRPr="00FB0337">
        <w:rPr>
          <w:rFonts w:ascii="Times New Roman" w:hAnsi="Times New Roman" w:cs="Times New Roman"/>
          <w:sz w:val="24"/>
          <w:szCs w:val="24"/>
          <w:lang w:val="en-GB"/>
        </w:rPr>
        <w:t xml:space="preserve">, </w:t>
      </w:r>
      <w:r w:rsidRPr="00FB0337">
        <w:rPr>
          <w:rFonts w:ascii="Times New Roman" w:hAnsi="Times New Roman" w:cs="Times New Roman"/>
          <w:i/>
          <w:sz w:val="24"/>
          <w:szCs w:val="24"/>
          <w:lang w:val="en-GB"/>
        </w:rPr>
        <w:t>p</w:t>
      </w:r>
      <w:r w:rsidRPr="00FB0337">
        <w:rPr>
          <w:rFonts w:ascii="Times New Roman" w:hAnsi="Times New Roman" w:cs="Times New Roman"/>
          <w:sz w:val="24"/>
          <w:szCs w:val="24"/>
          <w:lang w:val="en-GB"/>
        </w:rPr>
        <w:t xml:space="preserve"> &lt; .001. When attitude</w:t>
      </w:r>
      <w:r w:rsidR="00C21819">
        <w:rPr>
          <w:rFonts w:ascii="Times New Roman" w:hAnsi="Times New Roman" w:cs="Times New Roman"/>
          <w:sz w:val="24"/>
          <w:szCs w:val="24"/>
          <w:lang w:val="en-GB"/>
        </w:rPr>
        <w:t>s</w:t>
      </w:r>
      <w:r w:rsidRPr="00FB0337">
        <w:rPr>
          <w:rFonts w:ascii="Times New Roman" w:hAnsi="Times New Roman" w:cs="Times New Roman"/>
          <w:sz w:val="24"/>
          <w:szCs w:val="24"/>
          <w:lang w:val="en-GB"/>
        </w:rPr>
        <w:t xml:space="preserve"> </w:t>
      </w:r>
      <w:r w:rsidR="00C21819">
        <w:rPr>
          <w:rFonts w:ascii="Times New Roman" w:hAnsi="Times New Roman" w:cs="Times New Roman"/>
          <w:sz w:val="24"/>
          <w:szCs w:val="24"/>
          <w:lang w:val="en-GB"/>
        </w:rPr>
        <w:t xml:space="preserve">were less positive </w:t>
      </w:r>
      <w:r w:rsidR="00580388">
        <w:rPr>
          <w:rFonts w:ascii="Times New Roman" w:hAnsi="Times New Roman" w:cs="Times New Roman"/>
          <w:sz w:val="24"/>
          <w:szCs w:val="24"/>
          <w:lang w:val="en-GB"/>
        </w:rPr>
        <w:t xml:space="preserve">(-1 </w:t>
      </w:r>
      <w:r w:rsidR="00580388" w:rsidRPr="00BF3C6E">
        <w:rPr>
          <w:rFonts w:ascii="Times New Roman" w:hAnsi="Times New Roman" w:cs="Times New Roman"/>
          <w:i/>
          <w:sz w:val="24"/>
          <w:szCs w:val="24"/>
          <w:lang w:val="en-GB"/>
        </w:rPr>
        <w:t>SD</w:t>
      </w:r>
      <w:r w:rsidR="00580388">
        <w:rPr>
          <w:rFonts w:ascii="Times New Roman" w:hAnsi="Times New Roman" w:cs="Times New Roman"/>
          <w:sz w:val="24"/>
          <w:szCs w:val="24"/>
          <w:lang w:val="en-GB"/>
        </w:rPr>
        <w:t>)</w:t>
      </w:r>
      <w:r w:rsidRPr="00FB0337">
        <w:rPr>
          <w:rFonts w:ascii="Times New Roman" w:hAnsi="Times New Roman" w:cs="Times New Roman"/>
          <w:sz w:val="24"/>
          <w:szCs w:val="24"/>
          <w:lang w:val="en-GB"/>
        </w:rPr>
        <w:t xml:space="preserve">, the two credentials conditions did not significantly differ from each other, </w:t>
      </w:r>
      <w:r w:rsidRPr="00FB0337">
        <w:rPr>
          <w:rFonts w:ascii="Times New Roman" w:hAnsi="Times New Roman" w:cs="Times New Roman"/>
          <w:i/>
          <w:sz w:val="24"/>
          <w:szCs w:val="24"/>
          <w:lang w:val="en-GB"/>
        </w:rPr>
        <w:t>b</w:t>
      </w:r>
      <w:r w:rsidRPr="00FB0337">
        <w:rPr>
          <w:rFonts w:ascii="Times New Roman" w:hAnsi="Times New Roman" w:cs="Times New Roman"/>
          <w:sz w:val="24"/>
          <w:szCs w:val="24"/>
          <w:lang w:val="en-GB"/>
        </w:rPr>
        <w:t xml:space="preserve"> = .</w:t>
      </w:r>
      <w:r>
        <w:rPr>
          <w:rFonts w:ascii="Times New Roman" w:hAnsi="Times New Roman" w:cs="Times New Roman"/>
          <w:sz w:val="24"/>
          <w:szCs w:val="24"/>
          <w:lang w:val="en-GB"/>
        </w:rPr>
        <w:t>05</w:t>
      </w:r>
      <w:r w:rsidRPr="00FB0337">
        <w:rPr>
          <w:rFonts w:ascii="Times New Roman" w:hAnsi="Times New Roman" w:cs="Times New Roman"/>
          <w:sz w:val="24"/>
          <w:szCs w:val="24"/>
          <w:lang w:val="en-GB"/>
        </w:rPr>
        <w:t>, 95% CI [-.</w:t>
      </w:r>
      <w:r>
        <w:rPr>
          <w:rFonts w:ascii="Times New Roman" w:hAnsi="Times New Roman" w:cs="Times New Roman"/>
          <w:sz w:val="24"/>
          <w:szCs w:val="24"/>
          <w:lang w:val="en-GB"/>
        </w:rPr>
        <w:t>44</w:t>
      </w:r>
      <w:r w:rsidRPr="00FB0337">
        <w:rPr>
          <w:rFonts w:ascii="Times New Roman" w:hAnsi="Times New Roman" w:cs="Times New Roman"/>
          <w:sz w:val="24"/>
          <w:szCs w:val="24"/>
          <w:lang w:val="en-GB"/>
        </w:rPr>
        <w:t>, .</w:t>
      </w:r>
      <w:r>
        <w:rPr>
          <w:rFonts w:ascii="Times New Roman" w:hAnsi="Times New Roman" w:cs="Times New Roman"/>
          <w:sz w:val="24"/>
          <w:szCs w:val="24"/>
          <w:lang w:val="en-GB"/>
        </w:rPr>
        <w:t>55</w:t>
      </w:r>
      <w:r w:rsidRPr="00FB0337">
        <w:rPr>
          <w:rFonts w:ascii="Times New Roman" w:hAnsi="Times New Roman" w:cs="Times New Roman"/>
          <w:sz w:val="24"/>
          <w:szCs w:val="24"/>
          <w:lang w:val="en-GB"/>
        </w:rPr>
        <w:t xml:space="preserve">], </w:t>
      </w:r>
      <w:r w:rsidRPr="00FB0337">
        <w:rPr>
          <w:rFonts w:ascii="Times New Roman" w:hAnsi="Times New Roman" w:cs="Times New Roman"/>
          <w:i/>
          <w:sz w:val="24"/>
          <w:szCs w:val="24"/>
          <w:lang w:val="en-GB"/>
        </w:rPr>
        <w:t>t</w:t>
      </w:r>
      <w:r w:rsidRPr="00FB0337">
        <w:rPr>
          <w:rFonts w:ascii="Times New Roman" w:hAnsi="Times New Roman" w:cs="Times New Roman"/>
          <w:sz w:val="24"/>
          <w:szCs w:val="24"/>
          <w:lang w:val="en-GB"/>
        </w:rPr>
        <w:t>(</w:t>
      </w:r>
      <w:r>
        <w:rPr>
          <w:rFonts w:ascii="Times New Roman" w:hAnsi="Times New Roman" w:cs="Times New Roman"/>
          <w:sz w:val="24"/>
          <w:szCs w:val="24"/>
          <w:lang w:val="en-GB"/>
        </w:rPr>
        <w:t>329</w:t>
      </w:r>
      <w:r w:rsidRPr="00FB0337">
        <w:rPr>
          <w:rFonts w:ascii="Times New Roman" w:hAnsi="Times New Roman" w:cs="Times New Roman"/>
          <w:sz w:val="24"/>
          <w:szCs w:val="24"/>
          <w:lang w:val="en-GB"/>
        </w:rPr>
        <w:t>) = 0.</w:t>
      </w:r>
      <w:r>
        <w:rPr>
          <w:rFonts w:ascii="Times New Roman" w:hAnsi="Times New Roman" w:cs="Times New Roman"/>
          <w:sz w:val="24"/>
          <w:szCs w:val="24"/>
          <w:lang w:val="en-GB"/>
        </w:rPr>
        <w:t>21</w:t>
      </w:r>
      <w:r w:rsidRPr="00FB0337">
        <w:rPr>
          <w:rFonts w:ascii="Times New Roman" w:hAnsi="Times New Roman" w:cs="Times New Roman"/>
          <w:sz w:val="24"/>
          <w:szCs w:val="24"/>
          <w:lang w:val="en-GB"/>
        </w:rPr>
        <w:t xml:space="preserve">, </w:t>
      </w:r>
      <w:r w:rsidRPr="00FB0337">
        <w:rPr>
          <w:rFonts w:ascii="Times New Roman" w:hAnsi="Times New Roman" w:cs="Times New Roman"/>
          <w:i/>
          <w:sz w:val="24"/>
          <w:szCs w:val="24"/>
          <w:lang w:val="en-GB"/>
        </w:rPr>
        <w:t>p</w:t>
      </w:r>
      <w:r w:rsidRPr="00FB0337">
        <w:rPr>
          <w:rFonts w:ascii="Times New Roman" w:hAnsi="Times New Roman" w:cs="Times New Roman"/>
          <w:sz w:val="24"/>
          <w:szCs w:val="24"/>
          <w:lang w:val="en-GB"/>
        </w:rPr>
        <w:t xml:space="preserve"> = .</w:t>
      </w:r>
      <w:r>
        <w:rPr>
          <w:rFonts w:ascii="Times New Roman" w:hAnsi="Times New Roman" w:cs="Times New Roman"/>
          <w:sz w:val="24"/>
          <w:szCs w:val="24"/>
          <w:lang w:val="en-GB"/>
        </w:rPr>
        <w:t>83</w:t>
      </w:r>
      <w:r w:rsidRPr="00FB0337">
        <w:rPr>
          <w:rFonts w:ascii="Times New Roman" w:hAnsi="Times New Roman" w:cs="Times New Roman"/>
          <w:sz w:val="24"/>
          <w:szCs w:val="24"/>
          <w:lang w:val="en-GB"/>
        </w:rPr>
        <w:t>.</w:t>
      </w:r>
    </w:p>
    <w:p w14:paraId="62B4BBB7" w14:textId="27831014" w:rsidR="00EE25FB" w:rsidRPr="00C239D0" w:rsidRDefault="00EE25FB" w:rsidP="008F7F5F">
      <w:pPr>
        <w:spacing w:after="0" w:line="480" w:lineRule="auto"/>
        <w:ind w:firstLine="708"/>
        <w:rPr>
          <w:rFonts w:ascii="Times New Roman" w:hAnsi="Times New Roman" w:cs="Times New Roman"/>
          <w:sz w:val="24"/>
          <w:szCs w:val="24"/>
          <w:lang w:val="en-GB"/>
        </w:rPr>
      </w:pPr>
      <w:r w:rsidRPr="00FB0337">
        <w:rPr>
          <w:rFonts w:ascii="Times New Roman" w:hAnsi="Times New Roman" w:cs="Times New Roman"/>
          <w:sz w:val="24"/>
          <w:szCs w:val="24"/>
          <w:lang w:val="en-GB"/>
        </w:rPr>
        <w:t xml:space="preserve">We then turned to the second interaction, involving the promotion focus (see Figure </w:t>
      </w:r>
      <w:r w:rsidR="00DD2A79">
        <w:rPr>
          <w:rFonts w:ascii="Times New Roman" w:hAnsi="Times New Roman" w:cs="Times New Roman"/>
          <w:sz w:val="24"/>
          <w:szCs w:val="24"/>
          <w:lang w:val="en-GB"/>
        </w:rPr>
        <w:t>B.</w:t>
      </w:r>
      <w:r w:rsidRPr="00FB0337">
        <w:rPr>
          <w:rFonts w:ascii="Times New Roman" w:hAnsi="Times New Roman" w:cs="Times New Roman"/>
          <w:sz w:val="24"/>
          <w:szCs w:val="24"/>
          <w:lang w:val="en-GB"/>
        </w:rPr>
        <w:t xml:space="preserve">2). Amongst promotion-oriented participants (promotion score </w:t>
      </w:r>
      <w:r w:rsidRPr="00CA7286">
        <w:rPr>
          <w:rFonts w:ascii="Times New Roman" w:hAnsi="Times New Roman" w:cs="Times New Roman"/>
          <w:sz w:val="24"/>
          <w:szCs w:val="24"/>
          <w:lang w:val="en-GB"/>
        </w:rPr>
        <w:t>+1</w:t>
      </w:r>
      <w:r w:rsidR="00580388">
        <w:rPr>
          <w:rFonts w:ascii="Times New Roman" w:hAnsi="Times New Roman" w:cs="Times New Roman"/>
          <w:sz w:val="24"/>
          <w:szCs w:val="24"/>
          <w:lang w:val="en-GB"/>
        </w:rPr>
        <w:t xml:space="preserve"> </w:t>
      </w:r>
      <w:r w:rsidRPr="00580388">
        <w:rPr>
          <w:rFonts w:ascii="Times New Roman" w:hAnsi="Times New Roman" w:cs="Times New Roman"/>
          <w:i/>
          <w:sz w:val="24"/>
          <w:szCs w:val="24"/>
          <w:lang w:val="en-GB"/>
        </w:rPr>
        <w:t>SD</w:t>
      </w:r>
      <w:r w:rsidRPr="00CA7286">
        <w:rPr>
          <w:rFonts w:ascii="Times New Roman" w:hAnsi="Times New Roman" w:cs="Times New Roman"/>
          <w:sz w:val="24"/>
          <w:szCs w:val="24"/>
          <w:lang w:val="en-GB"/>
        </w:rPr>
        <w:t>), initial attitude</w:t>
      </w:r>
      <w:r w:rsidR="00C21819">
        <w:rPr>
          <w:rFonts w:ascii="Times New Roman" w:hAnsi="Times New Roman" w:cs="Times New Roman"/>
          <w:sz w:val="24"/>
          <w:szCs w:val="24"/>
          <w:lang w:val="en-GB"/>
        </w:rPr>
        <w:t>s</w:t>
      </w:r>
      <w:r w:rsidRPr="00CA7286">
        <w:rPr>
          <w:rFonts w:ascii="Times New Roman" w:hAnsi="Times New Roman" w:cs="Times New Roman"/>
          <w:sz w:val="24"/>
          <w:szCs w:val="24"/>
          <w:lang w:val="en-GB"/>
        </w:rPr>
        <w:t xml:space="preserve"> </w:t>
      </w:r>
      <w:r w:rsidR="00C21819">
        <w:rPr>
          <w:rFonts w:ascii="Times New Roman" w:hAnsi="Times New Roman" w:cs="Times New Roman"/>
          <w:sz w:val="24"/>
          <w:szCs w:val="24"/>
          <w:lang w:val="en-GB"/>
        </w:rPr>
        <w:t xml:space="preserve">were </w:t>
      </w:r>
      <w:r w:rsidRPr="00CA7286">
        <w:rPr>
          <w:rFonts w:ascii="Times New Roman" w:hAnsi="Times New Roman" w:cs="Times New Roman"/>
          <w:sz w:val="24"/>
          <w:szCs w:val="24"/>
          <w:lang w:val="en-GB"/>
        </w:rPr>
        <w:lastRenderedPageBreak/>
        <w:t xml:space="preserve">positively related to support for </w:t>
      </w:r>
      <w:r w:rsidR="009D4840">
        <w:rPr>
          <w:rFonts w:ascii="Times New Roman" w:hAnsi="Times New Roman" w:cs="Times New Roman"/>
          <w:sz w:val="24"/>
          <w:szCs w:val="24"/>
          <w:lang w:val="en-GB"/>
        </w:rPr>
        <w:t>affirmative action</w:t>
      </w:r>
      <w:r w:rsidR="009D4840" w:rsidRPr="00CA7286">
        <w:rPr>
          <w:rFonts w:ascii="Times New Roman" w:hAnsi="Times New Roman" w:cs="Times New Roman"/>
          <w:sz w:val="24"/>
          <w:szCs w:val="24"/>
          <w:lang w:val="en-GB"/>
        </w:rPr>
        <w:t xml:space="preserve"> </w:t>
      </w:r>
      <w:r w:rsidRPr="00CA7286">
        <w:rPr>
          <w:rFonts w:ascii="Times New Roman" w:hAnsi="Times New Roman" w:cs="Times New Roman"/>
          <w:sz w:val="24"/>
          <w:szCs w:val="24"/>
          <w:lang w:val="en-GB"/>
        </w:rPr>
        <w:t>in</w:t>
      </w:r>
      <w:r w:rsidRPr="00BC3EF8">
        <w:rPr>
          <w:rFonts w:ascii="Times New Roman" w:hAnsi="Times New Roman" w:cs="Times New Roman"/>
          <w:sz w:val="24"/>
          <w:szCs w:val="24"/>
          <w:lang w:val="en-GB"/>
        </w:rPr>
        <w:t xml:space="preserve"> the credentials condition, </w:t>
      </w:r>
      <w:r w:rsidRPr="00BC3EF8">
        <w:rPr>
          <w:rFonts w:ascii="Times New Roman" w:hAnsi="Times New Roman" w:cs="Times New Roman"/>
          <w:i/>
          <w:sz w:val="24"/>
          <w:szCs w:val="24"/>
          <w:lang w:val="en-GB"/>
        </w:rPr>
        <w:t>b</w:t>
      </w:r>
      <w:r w:rsidRPr="00BC3EF8">
        <w:rPr>
          <w:rFonts w:ascii="Times New Roman" w:hAnsi="Times New Roman" w:cs="Times New Roman"/>
          <w:sz w:val="24"/>
          <w:szCs w:val="24"/>
          <w:lang w:val="en-GB"/>
        </w:rPr>
        <w:t xml:space="preserve"> = .</w:t>
      </w:r>
      <w:r>
        <w:rPr>
          <w:rFonts w:ascii="Times New Roman" w:hAnsi="Times New Roman" w:cs="Times New Roman"/>
          <w:sz w:val="24"/>
          <w:szCs w:val="24"/>
          <w:lang w:val="en-GB"/>
        </w:rPr>
        <w:t>92</w:t>
      </w:r>
      <w:r w:rsidRPr="00BC3EF8">
        <w:rPr>
          <w:rFonts w:ascii="Times New Roman" w:hAnsi="Times New Roman" w:cs="Times New Roman"/>
          <w:sz w:val="24"/>
          <w:szCs w:val="24"/>
          <w:lang w:val="en-GB"/>
        </w:rPr>
        <w:t xml:space="preserve">, 95% </w:t>
      </w:r>
      <w:r w:rsidRPr="00C239D0">
        <w:rPr>
          <w:rFonts w:ascii="Times New Roman" w:hAnsi="Times New Roman" w:cs="Times New Roman"/>
          <w:sz w:val="24"/>
          <w:szCs w:val="24"/>
          <w:lang w:val="en-GB"/>
        </w:rPr>
        <w:t>CI [.</w:t>
      </w:r>
      <w:r>
        <w:rPr>
          <w:rFonts w:ascii="Times New Roman" w:hAnsi="Times New Roman" w:cs="Times New Roman"/>
          <w:sz w:val="24"/>
          <w:szCs w:val="24"/>
          <w:lang w:val="en-GB"/>
        </w:rPr>
        <w:t>38</w:t>
      </w:r>
      <w:r w:rsidRPr="00C239D0">
        <w:rPr>
          <w:rFonts w:ascii="Times New Roman" w:hAnsi="Times New Roman" w:cs="Times New Roman"/>
          <w:sz w:val="24"/>
          <w:szCs w:val="24"/>
          <w:lang w:val="en-GB"/>
        </w:rPr>
        <w:t xml:space="preserve">, </w:t>
      </w:r>
      <w:r>
        <w:rPr>
          <w:rFonts w:ascii="Times New Roman" w:hAnsi="Times New Roman" w:cs="Times New Roman"/>
          <w:sz w:val="24"/>
          <w:szCs w:val="24"/>
          <w:lang w:val="en-GB"/>
        </w:rPr>
        <w:t>1</w:t>
      </w:r>
      <w:r w:rsidRPr="00C239D0">
        <w:rPr>
          <w:rFonts w:ascii="Times New Roman" w:hAnsi="Times New Roman" w:cs="Times New Roman"/>
          <w:sz w:val="24"/>
          <w:szCs w:val="24"/>
          <w:lang w:val="en-GB"/>
        </w:rPr>
        <w:t>.</w:t>
      </w:r>
      <w:r>
        <w:rPr>
          <w:rFonts w:ascii="Times New Roman" w:hAnsi="Times New Roman" w:cs="Times New Roman"/>
          <w:sz w:val="24"/>
          <w:szCs w:val="24"/>
          <w:lang w:val="en-GB"/>
        </w:rPr>
        <w:t>45</w:t>
      </w:r>
      <w:r w:rsidRPr="00C239D0">
        <w:rPr>
          <w:rFonts w:ascii="Times New Roman" w:hAnsi="Times New Roman" w:cs="Times New Roman"/>
          <w:sz w:val="24"/>
          <w:szCs w:val="24"/>
          <w:lang w:val="en-GB"/>
        </w:rPr>
        <w:t xml:space="preserve">], </w:t>
      </w:r>
      <w:r w:rsidRPr="00C239D0">
        <w:rPr>
          <w:rFonts w:ascii="Times New Roman" w:hAnsi="Times New Roman" w:cs="Times New Roman"/>
          <w:i/>
          <w:sz w:val="24"/>
          <w:szCs w:val="24"/>
          <w:lang w:val="en-GB"/>
        </w:rPr>
        <w:t>t</w:t>
      </w:r>
      <w:r w:rsidRPr="00C239D0">
        <w:rPr>
          <w:rFonts w:ascii="Times New Roman" w:hAnsi="Times New Roman" w:cs="Times New Roman"/>
          <w:sz w:val="24"/>
          <w:szCs w:val="24"/>
          <w:lang w:val="en-GB"/>
        </w:rPr>
        <w:t>(</w:t>
      </w:r>
      <w:r>
        <w:rPr>
          <w:rFonts w:ascii="Times New Roman" w:hAnsi="Times New Roman" w:cs="Times New Roman"/>
          <w:sz w:val="24"/>
          <w:szCs w:val="24"/>
          <w:lang w:val="en-GB"/>
        </w:rPr>
        <w:t>329</w:t>
      </w:r>
      <w:r w:rsidRPr="00C239D0">
        <w:rPr>
          <w:rFonts w:ascii="Times New Roman" w:hAnsi="Times New Roman" w:cs="Times New Roman"/>
          <w:sz w:val="24"/>
          <w:szCs w:val="24"/>
          <w:lang w:val="en-GB"/>
        </w:rPr>
        <w:t>) = 3.</w:t>
      </w:r>
      <w:r>
        <w:rPr>
          <w:rFonts w:ascii="Times New Roman" w:hAnsi="Times New Roman" w:cs="Times New Roman"/>
          <w:sz w:val="24"/>
          <w:szCs w:val="24"/>
          <w:lang w:val="en-GB"/>
        </w:rPr>
        <w:t>37</w:t>
      </w:r>
      <w:r w:rsidRPr="00C239D0">
        <w:rPr>
          <w:rFonts w:ascii="Times New Roman" w:hAnsi="Times New Roman" w:cs="Times New Roman"/>
          <w:sz w:val="24"/>
          <w:szCs w:val="24"/>
          <w:lang w:val="en-GB"/>
        </w:rPr>
        <w:t xml:space="preserve">, </w:t>
      </w:r>
      <w:r w:rsidRPr="00C239D0">
        <w:rPr>
          <w:rFonts w:ascii="Times New Roman" w:hAnsi="Times New Roman" w:cs="Times New Roman"/>
          <w:i/>
          <w:sz w:val="24"/>
          <w:szCs w:val="24"/>
          <w:lang w:val="en-GB"/>
        </w:rPr>
        <w:t>p</w:t>
      </w:r>
      <w:r w:rsidRPr="00C239D0">
        <w:rPr>
          <w:rFonts w:ascii="Times New Roman" w:hAnsi="Times New Roman" w:cs="Times New Roman"/>
          <w:sz w:val="24"/>
          <w:szCs w:val="24"/>
          <w:lang w:val="en-GB"/>
        </w:rPr>
        <w:t xml:space="preserve"> &lt; .001</w:t>
      </w:r>
      <w:r>
        <w:rPr>
          <w:rFonts w:ascii="Times New Roman" w:hAnsi="Times New Roman" w:cs="Times New Roman"/>
          <w:sz w:val="24"/>
          <w:szCs w:val="24"/>
          <w:lang w:val="en-GB"/>
        </w:rPr>
        <w:t>, and this link disap</w:t>
      </w:r>
      <w:r w:rsidRPr="00CA7286">
        <w:rPr>
          <w:rFonts w:ascii="Times New Roman" w:hAnsi="Times New Roman" w:cs="Times New Roman"/>
          <w:sz w:val="24"/>
          <w:szCs w:val="24"/>
          <w:lang w:val="en-GB"/>
        </w:rPr>
        <w:t xml:space="preserve">peared in the low credentials (control) condition, </w:t>
      </w:r>
      <w:r w:rsidRPr="00CA7286">
        <w:rPr>
          <w:rFonts w:ascii="Times New Roman" w:hAnsi="Times New Roman" w:cs="Times New Roman"/>
          <w:i/>
          <w:sz w:val="24"/>
          <w:szCs w:val="24"/>
          <w:lang w:val="en-GB"/>
        </w:rPr>
        <w:t>b</w:t>
      </w:r>
      <w:r w:rsidRPr="00CA7286">
        <w:rPr>
          <w:rFonts w:ascii="Times New Roman" w:hAnsi="Times New Roman" w:cs="Times New Roman"/>
          <w:sz w:val="24"/>
          <w:szCs w:val="24"/>
          <w:lang w:val="en-GB"/>
        </w:rPr>
        <w:t xml:space="preserve"> = -.03, 95% CI </w:t>
      </w:r>
      <w:r w:rsidRPr="00036539">
        <w:rPr>
          <w:rFonts w:ascii="Times New Roman" w:hAnsi="Times New Roman" w:cs="Times New Roman"/>
          <w:sz w:val="24"/>
          <w:szCs w:val="24"/>
          <w:lang w:val="en-GB"/>
        </w:rPr>
        <w:t>[-.</w:t>
      </w:r>
      <w:r w:rsidR="00036539" w:rsidRPr="00036539">
        <w:rPr>
          <w:rFonts w:ascii="Times New Roman" w:hAnsi="Times New Roman" w:cs="Times New Roman"/>
          <w:sz w:val="24"/>
          <w:szCs w:val="24"/>
          <w:lang w:val="en-GB"/>
        </w:rPr>
        <w:t>37</w:t>
      </w:r>
      <w:r w:rsidRPr="00036539">
        <w:rPr>
          <w:rFonts w:ascii="Times New Roman" w:hAnsi="Times New Roman" w:cs="Times New Roman"/>
          <w:sz w:val="24"/>
          <w:szCs w:val="24"/>
          <w:lang w:val="en-GB"/>
        </w:rPr>
        <w:t>, .</w:t>
      </w:r>
      <w:r w:rsidR="00036539" w:rsidRPr="00036539">
        <w:rPr>
          <w:rFonts w:ascii="Times New Roman" w:hAnsi="Times New Roman" w:cs="Times New Roman"/>
          <w:sz w:val="24"/>
          <w:szCs w:val="24"/>
          <w:lang w:val="en-GB"/>
        </w:rPr>
        <w:t>30</w:t>
      </w:r>
      <w:r w:rsidRPr="00CA7286">
        <w:rPr>
          <w:rFonts w:ascii="Times New Roman" w:hAnsi="Times New Roman" w:cs="Times New Roman"/>
          <w:sz w:val="24"/>
          <w:szCs w:val="24"/>
          <w:lang w:val="en-GB"/>
        </w:rPr>
        <w:t xml:space="preserve">], </w:t>
      </w:r>
      <w:r w:rsidRPr="00CA7286">
        <w:rPr>
          <w:rFonts w:ascii="Times New Roman" w:hAnsi="Times New Roman" w:cs="Times New Roman"/>
          <w:i/>
          <w:sz w:val="24"/>
          <w:szCs w:val="24"/>
          <w:lang w:val="en-GB"/>
        </w:rPr>
        <w:t>t</w:t>
      </w:r>
      <w:r w:rsidRPr="00CA7286">
        <w:rPr>
          <w:rFonts w:ascii="Times New Roman" w:hAnsi="Times New Roman" w:cs="Times New Roman"/>
          <w:sz w:val="24"/>
          <w:szCs w:val="24"/>
          <w:lang w:val="en-GB"/>
        </w:rPr>
        <w:t xml:space="preserve">(329) = -0.20, </w:t>
      </w:r>
      <w:r w:rsidRPr="00CA7286">
        <w:rPr>
          <w:rFonts w:ascii="Times New Roman" w:hAnsi="Times New Roman" w:cs="Times New Roman"/>
          <w:i/>
          <w:sz w:val="24"/>
          <w:szCs w:val="24"/>
          <w:lang w:val="en-GB"/>
        </w:rPr>
        <w:t>p</w:t>
      </w:r>
      <w:r w:rsidRPr="00CA7286">
        <w:rPr>
          <w:rFonts w:ascii="Times New Roman" w:hAnsi="Times New Roman" w:cs="Times New Roman"/>
          <w:sz w:val="24"/>
          <w:szCs w:val="24"/>
          <w:lang w:val="en-GB"/>
        </w:rPr>
        <w:t xml:space="preserve"> = .84</w:t>
      </w:r>
      <w:r w:rsidRPr="00C239D0">
        <w:rPr>
          <w:rFonts w:ascii="Times New Roman" w:hAnsi="Times New Roman" w:cs="Times New Roman"/>
          <w:sz w:val="24"/>
          <w:szCs w:val="24"/>
          <w:lang w:val="en-GB"/>
        </w:rPr>
        <w:t>. When initial attitude</w:t>
      </w:r>
      <w:r w:rsidR="00C21819">
        <w:rPr>
          <w:rFonts w:ascii="Times New Roman" w:hAnsi="Times New Roman" w:cs="Times New Roman"/>
          <w:sz w:val="24"/>
          <w:szCs w:val="24"/>
          <w:lang w:val="en-GB"/>
        </w:rPr>
        <w:t>s</w:t>
      </w:r>
      <w:r w:rsidRPr="00C239D0">
        <w:rPr>
          <w:rFonts w:ascii="Times New Roman" w:hAnsi="Times New Roman" w:cs="Times New Roman"/>
          <w:sz w:val="24"/>
          <w:szCs w:val="24"/>
          <w:lang w:val="en-GB"/>
        </w:rPr>
        <w:t xml:space="preserve"> </w:t>
      </w:r>
      <w:r w:rsidR="00C21819">
        <w:rPr>
          <w:rFonts w:ascii="Times New Roman" w:hAnsi="Times New Roman" w:cs="Times New Roman"/>
          <w:sz w:val="24"/>
          <w:szCs w:val="24"/>
          <w:lang w:val="en-GB"/>
        </w:rPr>
        <w:t xml:space="preserve">were more positive </w:t>
      </w:r>
      <w:r w:rsidR="00580388">
        <w:rPr>
          <w:rFonts w:ascii="Times New Roman" w:hAnsi="Times New Roman" w:cs="Times New Roman"/>
          <w:sz w:val="24"/>
          <w:szCs w:val="24"/>
          <w:lang w:val="en-GB"/>
        </w:rPr>
        <w:t xml:space="preserve">(+1 </w:t>
      </w:r>
      <w:r w:rsidR="00580388" w:rsidRPr="00BF3C6E">
        <w:rPr>
          <w:rFonts w:ascii="Times New Roman" w:hAnsi="Times New Roman" w:cs="Times New Roman"/>
          <w:i/>
          <w:sz w:val="24"/>
          <w:szCs w:val="24"/>
          <w:lang w:val="en-GB"/>
        </w:rPr>
        <w:t>SD</w:t>
      </w:r>
      <w:r w:rsidR="00580388">
        <w:rPr>
          <w:rFonts w:ascii="Times New Roman" w:hAnsi="Times New Roman" w:cs="Times New Roman"/>
          <w:sz w:val="24"/>
          <w:szCs w:val="24"/>
          <w:lang w:val="en-GB"/>
        </w:rPr>
        <w:t>)</w:t>
      </w:r>
      <w:r w:rsidRPr="00C239D0">
        <w:rPr>
          <w:rFonts w:ascii="Times New Roman" w:hAnsi="Times New Roman" w:cs="Times New Roman"/>
          <w:sz w:val="24"/>
          <w:szCs w:val="24"/>
          <w:lang w:val="en-GB"/>
        </w:rPr>
        <w:t xml:space="preserve">, support was stronger in the credentials than in the control condition, </w:t>
      </w:r>
      <w:r w:rsidRPr="00C239D0">
        <w:rPr>
          <w:rFonts w:ascii="Times New Roman" w:hAnsi="Times New Roman" w:cs="Times New Roman"/>
          <w:i/>
          <w:sz w:val="24"/>
          <w:szCs w:val="24"/>
          <w:lang w:val="en-GB"/>
        </w:rPr>
        <w:t>b</w:t>
      </w:r>
      <w:r w:rsidRPr="00C239D0">
        <w:rPr>
          <w:rFonts w:ascii="Times New Roman" w:hAnsi="Times New Roman" w:cs="Times New Roman"/>
          <w:sz w:val="24"/>
          <w:szCs w:val="24"/>
          <w:lang w:val="en-GB"/>
        </w:rPr>
        <w:t xml:space="preserve"> = .</w:t>
      </w:r>
      <w:r>
        <w:rPr>
          <w:rFonts w:ascii="Times New Roman" w:hAnsi="Times New Roman" w:cs="Times New Roman"/>
          <w:sz w:val="24"/>
          <w:szCs w:val="24"/>
          <w:lang w:val="en-GB"/>
        </w:rPr>
        <w:t>47</w:t>
      </w:r>
      <w:r w:rsidRPr="00C239D0">
        <w:rPr>
          <w:rFonts w:ascii="Times New Roman" w:hAnsi="Times New Roman" w:cs="Times New Roman"/>
          <w:sz w:val="24"/>
          <w:szCs w:val="24"/>
          <w:lang w:val="en-GB"/>
        </w:rPr>
        <w:t>, 95% CI [.</w:t>
      </w:r>
      <w:r>
        <w:rPr>
          <w:rFonts w:ascii="Times New Roman" w:hAnsi="Times New Roman" w:cs="Times New Roman"/>
          <w:sz w:val="24"/>
          <w:szCs w:val="24"/>
          <w:lang w:val="en-GB"/>
        </w:rPr>
        <w:t>08</w:t>
      </w:r>
      <w:r w:rsidRPr="00C239D0">
        <w:rPr>
          <w:rFonts w:ascii="Times New Roman" w:hAnsi="Times New Roman" w:cs="Times New Roman"/>
          <w:sz w:val="24"/>
          <w:szCs w:val="24"/>
          <w:lang w:val="en-GB"/>
        </w:rPr>
        <w:t>, .</w:t>
      </w:r>
      <w:r>
        <w:rPr>
          <w:rFonts w:ascii="Times New Roman" w:hAnsi="Times New Roman" w:cs="Times New Roman"/>
          <w:sz w:val="24"/>
          <w:szCs w:val="24"/>
          <w:lang w:val="en-GB"/>
        </w:rPr>
        <w:t>86</w:t>
      </w:r>
      <w:r w:rsidRPr="00C239D0">
        <w:rPr>
          <w:rFonts w:ascii="Times New Roman" w:hAnsi="Times New Roman" w:cs="Times New Roman"/>
          <w:sz w:val="24"/>
          <w:szCs w:val="24"/>
          <w:lang w:val="en-GB"/>
        </w:rPr>
        <w:t xml:space="preserve">], </w:t>
      </w:r>
      <w:r w:rsidRPr="00C239D0">
        <w:rPr>
          <w:rFonts w:ascii="Times New Roman" w:hAnsi="Times New Roman" w:cs="Times New Roman"/>
          <w:i/>
          <w:sz w:val="24"/>
          <w:szCs w:val="24"/>
          <w:lang w:val="en-GB"/>
        </w:rPr>
        <w:t>t</w:t>
      </w:r>
      <w:r w:rsidRPr="00C239D0">
        <w:rPr>
          <w:rFonts w:ascii="Times New Roman" w:hAnsi="Times New Roman" w:cs="Times New Roman"/>
          <w:sz w:val="24"/>
          <w:szCs w:val="24"/>
          <w:lang w:val="en-GB"/>
        </w:rPr>
        <w:t>(</w:t>
      </w:r>
      <w:r>
        <w:rPr>
          <w:rFonts w:ascii="Times New Roman" w:hAnsi="Times New Roman" w:cs="Times New Roman"/>
          <w:sz w:val="24"/>
          <w:szCs w:val="24"/>
          <w:lang w:val="en-GB"/>
        </w:rPr>
        <w:t>329</w:t>
      </w:r>
      <w:r w:rsidRPr="00C239D0">
        <w:rPr>
          <w:rFonts w:ascii="Times New Roman" w:hAnsi="Times New Roman" w:cs="Times New Roman"/>
          <w:sz w:val="24"/>
          <w:szCs w:val="24"/>
          <w:lang w:val="en-GB"/>
        </w:rPr>
        <w:t>) = 2.3</w:t>
      </w:r>
      <w:r>
        <w:rPr>
          <w:rFonts w:ascii="Times New Roman" w:hAnsi="Times New Roman" w:cs="Times New Roman"/>
          <w:sz w:val="24"/>
          <w:szCs w:val="24"/>
          <w:lang w:val="en-GB"/>
        </w:rPr>
        <w:t>8</w:t>
      </w:r>
      <w:r w:rsidRPr="00C239D0">
        <w:rPr>
          <w:rFonts w:ascii="Times New Roman" w:hAnsi="Times New Roman" w:cs="Times New Roman"/>
          <w:sz w:val="24"/>
          <w:szCs w:val="24"/>
          <w:lang w:val="en-GB"/>
        </w:rPr>
        <w:t xml:space="preserve">, </w:t>
      </w:r>
      <w:r w:rsidRPr="00C239D0">
        <w:rPr>
          <w:rFonts w:ascii="Times New Roman" w:hAnsi="Times New Roman" w:cs="Times New Roman"/>
          <w:i/>
          <w:sz w:val="24"/>
          <w:szCs w:val="24"/>
          <w:lang w:val="en-GB"/>
        </w:rPr>
        <w:t>p</w:t>
      </w:r>
      <w:r w:rsidRPr="00C239D0">
        <w:rPr>
          <w:rFonts w:ascii="Times New Roman" w:hAnsi="Times New Roman" w:cs="Times New Roman"/>
          <w:sz w:val="24"/>
          <w:szCs w:val="24"/>
          <w:lang w:val="en-GB"/>
        </w:rPr>
        <w:t xml:space="preserve"> = .</w:t>
      </w:r>
      <w:r>
        <w:rPr>
          <w:rFonts w:ascii="Times New Roman" w:hAnsi="Times New Roman" w:cs="Times New Roman"/>
          <w:sz w:val="24"/>
          <w:szCs w:val="24"/>
          <w:lang w:val="en-GB"/>
        </w:rPr>
        <w:t>018</w:t>
      </w:r>
      <w:r w:rsidRPr="00C239D0">
        <w:rPr>
          <w:rFonts w:ascii="Times New Roman" w:hAnsi="Times New Roman" w:cs="Times New Roman"/>
          <w:sz w:val="24"/>
          <w:szCs w:val="24"/>
          <w:lang w:val="en-GB"/>
        </w:rPr>
        <w:t>. When initial attitude</w:t>
      </w:r>
      <w:r w:rsidR="00C21819">
        <w:rPr>
          <w:rFonts w:ascii="Times New Roman" w:hAnsi="Times New Roman" w:cs="Times New Roman"/>
          <w:sz w:val="24"/>
          <w:szCs w:val="24"/>
          <w:lang w:val="en-GB"/>
        </w:rPr>
        <w:t>s</w:t>
      </w:r>
      <w:r w:rsidRPr="00C239D0">
        <w:rPr>
          <w:rFonts w:ascii="Times New Roman" w:hAnsi="Times New Roman" w:cs="Times New Roman"/>
          <w:sz w:val="24"/>
          <w:szCs w:val="24"/>
          <w:lang w:val="en-GB"/>
        </w:rPr>
        <w:t xml:space="preserve"> </w:t>
      </w:r>
      <w:r w:rsidR="00C21819">
        <w:rPr>
          <w:rFonts w:ascii="Times New Roman" w:hAnsi="Times New Roman" w:cs="Times New Roman"/>
          <w:sz w:val="24"/>
          <w:szCs w:val="24"/>
          <w:lang w:val="en-GB"/>
        </w:rPr>
        <w:t xml:space="preserve">were less positive (-1 </w:t>
      </w:r>
      <w:r w:rsidR="00C21819" w:rsidRPr="00C21819">
        <w:rPr>
          <w:rFonts w:ascii="Times New Roman" w:hAnsi="Times New Roman" w:cs="Times New Roman"/>
          <w:i/>
          <w:sz w:val="24"/>
          <w:szCs w:val="24"/>
          <w:lang w:val="en-GB"/>
        </w:rPr>
        <w:t>SD</w:t>
      </w:r>
      <w:r w:rsidR="00C21819">
        <w:rPr>
          <w:rFonts w:ascii="Times New Roman" w:hAnsi="Times New Roman" w:cs="Times New Roman"/>
          <w:sz w:val="24"/>
          <w:szCs w:val="24"/>
          <w:lang w:val="en-GB"/>
        </w:rPr>
        <w:t>)</w:t>
      </w:r>
      <w:r w:rsidRPr="00C239D0">
        <w:rPr>
          <w:rFonts w:ascii="Times New Roman" w:hAnsi="Times New Roman" w:cs="Times New Roman"/>
          <w:sz w:val="24"/>
          <w:szCs w:val="24"/>
          <w:lang w:val="en-GB"/>
        </w:rPr>
        <w:t xml:space="preserve">, </w:t>
      </w:r>
      <w:r>
        <w:rPr>
          <w:rFonts w:ascii="Times New Roman" w:hAnsi="Times New Roman" w:cs="Times New Roman"/>
          <w:sz w:val="24"/>
          <w:szCs w:val="24"/>
          <w:lang w:val="en-GB"/>
        </w:rPr>
        <w:t>support was stronger in the control condition</w:t>
      </w:r>
      <w:r w:rsidRPr="00C239D0">
        <w:rPr>
          <w:rFonts w:ascii="Times New Roman" w:hAnsi="Times New Roman" w:cs="Times New Roman"/>
          <w:sz w:val="24"/>
          <w:szCs w:val="24"/>
          <w:lang w:val="en-GB"/>
        </w:rPr>
        <w:t>,</w:t>
      </w:r>
      <w:r w:rsidRPr="00C239D0">
        <w:rPr>
          <w:rFonts w:ascii="Times New Roman" w:hAnsi="Times New Roman" w:cs="Times New Roman"/>
          <w:i/>
          <w:sz w:val="24"/>
          <w:szCs w:val="24"/>
          <w:lang w:val="en-GB"/>
        </w:rPr>
        <w:t xml:space="preserve"> b</w:t>
      </w:r>
      <w:r w:rsidRPr="00C239D0">
        <w:rPr>
          <w:rFonts w:ascii="Times New Roman" w:hAnsi="Times New Roman" w:cs="Times New Roman"/>
          <w:sz w:val="24"/>
          <w:szCs w:val="24"/>
          <w:lang w:val="en-GB"/>
        </w:rPr>
        <w:t xml:space="preserve"> = -.</w:t>
      </w:r>
      <w:r>
        <w:rPr>
          <w:rFonts w:ascii="Times New Roman" w:hAnsi="Times New Roman" w:cs="Times New Roman"/>
          <w:sz w:val="24"/>
          <w:szCs w:val="24"/>
          <w:lang w:val="en-GB"/>
        </w:rPr>
        <w:t>4</w:t>
      </w:r>
      <w:r w:rsidR="00036539">
        <w:rPr>
          <w:rFonts w:ascii="Times New Roman" w:hAnsi="Times New Roman" w:cs="Times New Roman"/>
          <w:sz w:val="24"/>
          <w:szCs w:val="24"/>
          <w:lang w:val="en-GB"/>
        </w:rPr>
        <w:t>8</w:t>
      </w:r>
      <w:r w:rsidRPr="00C239D0">
        <w:rPr>
          <w:rFonts w:ascii="Times New Roman" w:hAnsi="Times New Roman" w:cs="Times New Roman"/>
          <w:sz w:val="24"/>
          <w:szCs w:val="24"/>
          <w:lang w:val="en-GB"/>
        </w:rPr>
        <w:t>, 95% CI [-</w:t>
      </w:r>
      <w:r w:rsidR="00036539">
        <w:rPr>
          <w:rFonts w:ascii="Times New Roman" w:hAnsi="Times New Roman" w:cs="Times New Roman"/>
          <w:sz w:val="24"/>
          <w:szCs w:val="24"/>
          <w:lang w:val="en-GB"/>
        </w:rPr>
        <w:t>.94, -.02</w:t>
      </w:r>
      <w:r w:rsidRPr="00C239D0">
        <w:rPr>
          <w:rFonts w:ascii="Times New Roman" w:hAnsi="Times New Roman" w:cs="Times New Roman"/>
          <w:sz w:val="24"/>
          <w:szCs w:val="24"/>
          <w:lang w:val="en-GB"/>
        </w:rPr>
        <w:t xml:space="preserve">], </w:t>
      </w:r>
      <w:r w:rsidRPr="00C239D0">
        <w:rPr>
          <w:rFonts w:ascii="Times New Roman" w:hAnsi="Times New Roman" w:cs="Times New Roman"/>
          <w:i/>
          <w:sz w:val="24"/>
          <w:szCs w:val="24"/>
          <w:lang w:val="en-GB"/>
        </w:rPr>
        <w:t>t</w:t>
      </w:r>
      <w:r w:rsidRPr="00C239D0">
        <w:rPr>
          <w:rFonts w:ascii="Times New Roman" w:hAnsi="Times New Roman" w:cs="Times New Roman"/>
          <w:sz w:val="24"/>
          <w:szCs w:val="24"/>
          <w:lang w:val="en-GB"/>
        </w:rPr>
        <w:t>(</w:t>
      </w:r>
      <w:r>
        <w:rPr>
          <w:rFonts w:ascii="Times New Roman" w:hAnsi="Times New Roman" w:cs="Times New Roman"/>
          <w:sz w:val="24"/>
          <w:szCs w:val="24"/>
          <w:lang w:val="en-GB"/>
        </w:rPr>
        <w:t>329</w:t>
      </w:r>
      <w:r w:rsidRPr="00C239D0">
        <w:rPr>
          <w:rFonts w:ascii="Times New Roman" w:hAnsi="Times New Roman" w:cs="Times New Roman"/>
          <w:sz w:val="24"/>
          <w:szCs w:val="24"/>
          <w:lang w:val="en-GB"/>
        </w:rPr>
        <w:t>) = -</w:t>
      </w:r>
      <w:r w:rsidR="00036539">
        <w:rPr>
          <w:rFonts w:ascii="Times New Roman" w:hAnsi="Times New Roman" w:cs="Times New Roman"/>
          <w:sz w:val="24"/>
          <w:szCs w:val="24"/>
          <w:lang w:val="en-GB"/>
        </w:rPr>
        <w:t>2</w:t>
      </w:r>
      <w:r w:rsidRPr="00C239D0">
        <w:rPr>
          <w:rFonts w:ascii="Times New Roman" w:hAnsi="Times New Roman" w:cs="Times New Roman"/>
          <w:sz w:val="24"/>
          <w:szCs w:val="24"/>
          <w:lang w:val="en-GB"/>
        </w:rPr>
        <w:t>.</w:t>
      </w:r>
      <w:r w:rsidR="00036539">
        <w:rPr>
          <w:rFonts w:ascii="Times New Roman" w:hAnsi="Times New Roman" w:cs="Times New Roman"/>
          <w:sz w:val="24"/>
          <w:szCs w:val="24"/>
          <w:lang w:val="en-GB"/>
        </w:rPr>
        <w:t>04</w:t>
      </w:r>
      <w:r w:rsidRPr="00C239D0">
        <w:rPr>
          <w:rFonts w:ascii="Times New Roman" w:hAnsi="Times New Roman" w:cs="Times New Roman"/>
          <w:sz w:val="24"/>
          <w:szCs w:val="24"/>
          <w:lang w:val="en-GB"/>
        </w:rPr>
        <w:t xml:space="preserve">, </w:t>
      </w:r>
      <w:r w:rsidRPr="00C239D0">
        <w:rPr>
          <w:rFonts w:ascii="Times New Roman" w:hAnsi="Times New Roman" w:cs="Times New Roman"/>
          <w:i/>
          <w:sz w:val="24"/>
          <w:szCs w:val="24"/>
          <w:lang w:val="en-GB"/>
        </w:rPr>
        <w:t>p</w:t>
      </w:r>
      <w:r w:rsidRPr="00C239D0">
        <w:rPr>
          <w:rFonts w:ascii="Times New Roman" w:hAnsi="Times New Roman" w:cs="Times New Roman"/>
          <w:sz w:val="24"/>
          <w:szCs w:val="24"/>
          <w:lang w:val="en-GB"/>
        </w:rPr>
        <w:t xml:space="preserve"> = .</w:t>
      </w:r>
      <w:r>
        <w:rPr>
          <w:rFonts w:ascii="Times New Roman" w:hAnsi="Times New Roman" w:cs="Times New Roman"/>
          <w:sz w:val="24"/>
          <w:szCs w:val="24"/>
          <w:lang w:val="en-GB"/>
        </w:rPr>
        <w:t>0</w:t>
      </w:r>
      <w:r w:rsidR="00036539">
        <w:rPr>
          <w:rFonts w:ascii="Times New Roman" w:hAnsi="Times New Roman" w:cs="Times New Roman"/>
          <w:sz w:val="24"/>
          <w:szCs w:val="24"/>
          <w:lang w:val="en-GB"/>
        </w:rPr>
        <w:t>42</w:t>
      </w:r>
      <w:r w:rsidRPr="00C239D0">
        <w:rPr>
          <w:rFonts w:ascii="Times New Roman" w:hAnsi="Times New Roman" w:cs="Times New Roman"/>
          <w:sz w:val="24"/>
          <w:szCs w:val="24"/>
          <w:lang w:val="en-GB"/>
        </w:rPr>
        <w:t xml:space="preserve">. Hence, in the present study </w:t>
      </w:r>
      <w:r>
        <w:rPr>
          <w:rFonts w:ascii="Times New Roman" w:hAnsi="Times New Roman" w:cs="Times New Roman"/>
          <w:sz w:val="24"/>
          <w:szCs w:val="24"/>
          <w:lang w:val="en-GB"/>
        </w:rPr>
        <w:t xml:space="preserve">globally </w:t>
      </w:r>
      <w:r w:rsidRPr="00C239D0">
        <w:rPr>
          <w:rFonts w:ascii="Times New Roman" w:hAnsi="Times New Roman" w:cs="Times New Roman"/>
          <w:sz w:val="24"/>
          <w:szCs w:val="24"/>
          <w:lang w:val="en-GB"/>
        </w:rPr>
        <w:t>similar results emerge when considering a stronger tendency towards one focus (+1</w:t>
      </w:r>
      <w:r w:rsidR="00580388">
        <w:rPr>
          <w:rFonts w:ascii="Times New Roman" w:hAnsi="Times New Roman" w:cs="Times New Roman"/>
          <w:sz w:val="24"/>
          <w:szCs w:val="24"/>
          <w:lang w:val="en-GB"/>
        </w:rPr>
        <w:t xml:space="preserve"> </w:t>
      </w:r>
      <w:r w:rsidRPr="00580388">
        <w:rPr>
          <w:rFonts w:ascii="Times New Roman" w:hAnsi="Times New Roman" w:cs="Times New Roman"/>
          <w:i/>
          <w:sz w:val="24"/>
          <w:szCs w:val="24"/>
          <w:lang w:val="en-GB"/>
        </w:rPr>
        <w:t>SD</w:t>
      </w:r>
      <w:r w:rsidRPr="00C239D0">
        <w:rPr>
          <w:rFonts w:ascii="Times New Roman" w:hAnsi="Times New Roman" w:cs="Times New Roman"/>
          <w:sz w:val="24"/>
          <w:szCs w:val="24"/>
          <w:lang w:val="en-GB"/>
        </w:rPr>
        <w:t>) or a weaker tendency towards the other focus (-1</w:t>
      </w:r>
      <w:r w:rsidR="00580388">
        <w:rPr>
          <w:rFonts w:ascii="Times New Roman" w:hAnsi="Times New Roman" w:cs="Times New Roman"/>
          <w:sz w:val="24"/>
          <w:szCs w:val="24"/>
          <w:lang w:val="en-GB"/>
        </w:rPr>
        <w:t xml:space="preserve"> </w:t>
      </w:r>
      <w:r w:rsidRPr="00580388">
        <w:rPr>
          <w:rFonts w:ascii="Times New Roman" w:hAnsi="Times New Roman" w:cs="Times New Roman"/>
          <w:i/>
          <w:sz w:val="24"/>
          <w:szCs w:val="24"/>
          <w:lang w:val="en-GB"/>
        </w:rPr>
        <w:t>SD</w:t>
      </w:r>
      <w:r w:rsidRPr="00C239D0">
        <w:rPr>
          <w:rFonts w:ascii="Times New Roman" w:hAnsi="Times New Roman" w:cs="Times New Roman"/>
          <w:sz w:val="24"/>
          <w:szCs w:val="24"/>
          <w:lang w:val="en-GB"/>
        </w:rPr>
        <w:t>).</w:t>
      </w:r>
    </w:p>
    <w:p w14:paraId="4A923E89" w14:textId="31ABC990" w:rsidR="00EE25FB" w:rsidRDefault="00C21819" w:rsidP="00AF4F00">
      <w:pPr>
        <w:spacing w:after="0" w:line="480" w:lineRule="auto"/>
        <w:rPr>
          <w:rFonts w:ascii="Times New Roman" w:hAnsi="Times New Roman" w:cs="Times New Roman"/>
          <w:sz w:val="24"/>
          <w:szCs w:val="24"/>
          <w:lang w:val="en-GB"/>
        </w:rPr>
      </w:pPr>
      <w:r>
        <w:rPr>
          <w:noProof/>
          <w:lang w:val="es-ES" w:eastAsia="es-ES"/>
        </w:rPr>
        <w:drawing>
          <wp:inline distT="0" distB="0" distL="0" distR="0" wp14:anchorId="26605BA0" wp14:editId="493449A5">
            <wp:extent cx="5819775" cy="322707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75EC8D" w14:textId="6A0C8CB4" w:rsidR="00EE25FB" w:rsidRDefault="00EE25FB" w:rsidP="00AF4F00">
      <w:pPr>
        <w:spacing w:after="0" w:line="480" w:lineRule="auto"/>
        <w:rPr>
          <w:rFonts w:ascii="Times New Roman" w:hAnsi="Times New Roman" w:cs="Times New Roman"/>
          <w:sz w:val="24"/>
          <w:szCs w:val="24"/>
          <w:lang w:val="en-GB"/>
        </w:rPr>
      </w:pPr>
      <w:r w:rsidRPr="00AF4F00">
        <w:rPr>
          <w:rFonts w:ascii="Times New Roman" w:hAnsi="Times New Roman" w:cs="Times New Roman"/>
          <w:i/>
          <w:sz w:val="24"/>
          <w:szCs w:val="24"/>
          <w:lang w:val="en-GB"/>
        </w:rPr>
        <w:t xml:space="preserve">Figure </w:t>
      </w:r>
      <w:r w:rsidR="00DD2A79">
        <w:rPr>
          <w:rFonts w:ascii="Times New Roman" w:hAnsi="Times New Roman" w:cs="Times New Roman"/>
          <w:i/>
          <w:sz w:val="24"/>
          <w:szCs w:val="24"/>
          <w:lang w:val="en-GB"/>
        </w:rPr>
        <w:t>B.</w:t>
      </w:r>
      <w:r w:rsidRPr="00AF4F00">
        <w:rPr>
          <w:rFonts w:ascii="Times New Roman" w:hAnsi="Times New Roman" w:cs="Times New Roman"/>
          <w:i/>
          <w:sz w:val="24"/>
          <w:szCs w:val="24"/>
          <w:lang w:val="en-GB"/>
        </w:rPr>
        <w:t>1</w:t>
      </w:r>
      <w:r>
        <w:rPr>
          <w:rFonts w:ascii="Times New Roman" w:hAnsi="Times New Roman" w:cs="Times New Roman"/>
          <w:sz w:val="24"/>
          <w:szCs w:val="24"/>
          <w:lang w:val="en-GB"/>
        </w:rPr>
        <w:t xml:space="preserve">. Support for </w:t>
      </w:r>
      <w:r w:rsidR="009D4840">
        <w:rPr>
          <w:rFonts w:ascii="Times New Roman" w:hAnsi="Times New Roman" w:cs="Times New Roman"/>
          <w:sz w:val="24"/>
          <w:szCs w:val="24"/>
          <w:lang w:val="en-GB"/>
        </w:rPr>
        <w:t xml:space="preserve">affirmative action </w:t>
      </w:r>
      <w:r>
        <w:rPr>
          <w:rFonts w:ascii="Times New Roman" w:hAnsi="Times New Roman" w:cs="Times New Roman"/>
          <w:sz w:val="24"/>
          <w:szCs w:val="24"/>
          <w:lang w:val="en-GB"/>
        </w:rPr>
        <w:t xml:space="preserve">as a function of credentials, initial </w:t>
      </w:r>
      <w:r w:rsidR="009D4840">
        <w:rPr>
          <w:rFonts w:ascii="Times New Roman" w:hAnsi="Times New Roman" w:cs="Times New Roman"/>
          <w:sz w:val="24"/>
          <w:szCs w:val="24"/>
          <w:lang w:val="en-GB"/>
        </w:rPr>
        <w:t xml:space="preserve">intergroup </w:t>
      </w:r>
      <w:r>
        <w:rPr>
          <w:rFonts w:ascii="Times New Roman" w:hAnsi="Times New Roman" w:cs="Times New Roman"/>
          <w:sz w:val="24"/>
          <w:szCs w:val="24"/>
          <w:lang w:val="en-GB"/>
        </w:rPr>
        <w:t>attitude</w:t>
      </w:r>
      <w:r w:rsidR="00C21819">
        <w:rPr>
          <w:rFonts w:ascii="Times New Roman" w:hAnsi="Times New Roman" w:cs="Times New Roman"/>
          <w:sz w:val="24"/>
          <w:szCs w:val="24"/>
          <w:lang w:val="en-GB"/>
        </w:rPr>
        <w:t>s</w:t>
      </w:r>
      <w:r>
        <w:rPr>
          <w:rFonts w:ascii="Times New Roman" w:hAnsi="Times New Roman" w:cs="Times New Roman"/>
          <w:sz w:val="24"/>
          <w:szCs w:val="24"/>
          <w:lang w:val="en-GB"/>
        </w:rPr>
        <w:t>, and prevention focus, controlling for promotion focus.</w:t>
      </w:r>
    </w:p>
    <w:p w14:paraId="3200D4CF" w14:textId="580DB01F" w:rsidR="00EE25FB" w:rsidRDefault="00C21819" w:rsidP="00AF4F00">
      <w:pPr>
        <w:spacing w:after="0" w:line="480" w:lineRule="auto"/>
        <w:rPr>
          <w:rFonts w:ascii="Times New Roman" w:hAnsi="Times New Roman" w:cs="Times New Roman"/>
          <w:sz w:val="24"/>
          <w:szCs w:val="24"/>
          <w:lang w:val="en-GB"/>
        </w:rPr>
      </w:pPr>
      <w:r>
        <w:rPr>
          <w:noProof/>
          <w:lang w:val="es-ES" w:eastAsia="es-ES"/>
        </w:rPr>
        <w:lastRenderedPageBreak/>
        <w:drawing>
          <wp:inline distT="0" distB="0" distL="0" distR="0" wp14:anchorId="202A8AD4" wp14:editId="0D7B9EA4">
            <wp:extent cx="5810250" cy="322707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F0DF24" w14:textId="2EA59C55" w:rsidR="00EE25FB" w:rsidRPr="001826BC" w:rsidRDefault="00EE25FB" w:rsidP="00AF4F00">
      <w:pPr>
        <w:spacing w:after="0" w:line="480" w:lineRule="auto"/>
        <w:rPr>
          <w:rFonts w:ascii="Times New Roman" w:hAnsi="Times New Roman" w:cs="Times New Roman"/>
          <w:sz w:val="24"/>
          <w:szCs w:val="24"/>
          <w:lang w:val="en-GB"/>
        </w:rPr>
      </w:pPr>
      <w:r w:rsidRPr="000017D8">
        <w:rPr>
          <w:rFonts w:ascii="Times New Roman" w:hAnsi="Times New Roman" w:cs="Times New Roman"/>
          <w:i/>
          <w:sz w:val="24"/>
          <w:szCs w:val="24"/>
          <w:lang w:val="en-GB"/>
        </w:rPr>
        <w:t xml:space="preserve">Figure </w:t>
      </w:r>
      <w:r w:rsidR="00DD2A79">
        <w:rPr>
          <w:rFonts w:ascii="Times New Roman" w:hAnsi="Times New Roman" w:cs="Times New Roman"/>
          <w:i/>
          <w:sz w:val="24"/>
          <w:szCs w:val="24"/>
          <w:lang w:val="en-GB"/>
        </w:rPr>
        <w:t>B.</w:t>
      </w:r>
      <w:r w:rsidRPr="000017D8">
        <w:rPr>
          <w:rFonts w:ascii="Times New Roman" w:hAnsi="Times New Roman" w:cs="Times New Roman"/>
          <w:i/>
          <w:sz w:val="24"/>
          <w:szCs w:val="24"/>
          <w:lang w:val="en-GB"/>
        </w:rPr>
        <w:t>2</w:t>
      </w:r>
      <w:r>
        <w:rPr>
          <w:rFonts w:ascii="Times New Roman" w:hAnsi="Times New Roman" w:cs="Times New Roman"/>
          <w:sz w:val="24"/>
          <w:szCs w:val="24"/>
          <w:lang w:val="en-GB"/>
        </w:rPr>
        <w:t xml:space="preserve">. Support for </w:t>
      </w:r>
      <w:r w:rsidR="009D4840">
        <w:rPr>
          <w:rFonts w:ascii="Times New Roman" w:hAnsi="Times New Roman" w:cs="Times New Roman"/>
          <w:sz w:val="24"/>
          <w:szCs w:val="24"/>
          <w:lang w:val="en-GB"/>
        </w:rPr>
        <w:t>affirmative action</w:t>
      </w:r>
      <w:r>
        <w:rPr>
          <w:rFonts w:ascii="Times New Roman" w:hAnsi="Times New Roman" w:cs="Times New Roman"/>
          <w:sz w:val="24"/>
          <w:szCs w:val="24"/>
          <w:lang w:val="en-GB"/>
        </w:rPr>
        <w:t xml:space="preserve"> as a function of credentials, initial </w:t>
      </w:r>
      <w:r w:rsidR="009D4840">
        <w:rPr>
          <w:rFonts w:ascii="Times New Roman" w:hAnsi="Times New Roman" w:cs="Times New Roman"/>
          <w:sz w:val="24"/>
          <w:szCs w:val="24"/>
          <w:lang w:val="en-GB"/>
        </w:rPr>
        <w:t xml:space="preserve">intergroup </w:t>
      </w:r>
      <w:r>
        <w:rPr>
          <w:rFonts w:ascii="Times New Roman" w:hAnsi="Times New Roman" w:cs="Times New Roman"/>
          <w:sz w:val="24"/>
          <w:szCs w:val="24"/>
          <w:lang w:val="en-GB"/>
        </w:rPr>
        <w:t xml:space="preserve">attitude, and promotion focus, controlling for prevention focus. </w:t>
      </w:r>
    </w:p>
    <w:p w14:paraId="74AC7240" w14:textId="6F427CA9" w:rsidR="00EE25FB" w:rsidRPr="00C844D3" w:rsidRDefault="00EE25FB" w:rsidP="00C844D3">
      <w:pPr>
        <w:rPr>
          <w:rFonts w:ascii="Times New Roman" w:hAnsi="Times New Roman" w:cs="Times New Roman"/>
          <w:sz w:val="24"/>
          <w:szCs w:val="24"/>
          <w:lang w:val="en-GB"/>
        </w:rPr>
      </w:pPr>
    </w:p>
    <w:p w14:paraId="16A80667" w14:textId="77777777" w:rsidR="00F86D97" w:rsidRPr="00DD2A79" w:rsidRDefault="00DD54A9">
      <w:pPr>
        <w:rPr>
          <w:lang w:val="en-US"/>
        </w:rPr>
      </w:pPr>
    </w:p>
    <w:sectPr w:rsidR="00F86D97" w:rsidRPr="00DD2A7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E6DE0" w14:textId="77777777" w:rsidR="00DD54A9" w:rsidRDefault="00DD54A9">
      <w:pPr>
        <w:spacing w:after="0" w:line="240" w:lineRule="auto"/>
      </w:pPr>
      <w:r>
        <w:separator/>
      </w:r>
    </w:p>
  </w:endnote>
  <w:endnote w:type="continuationSeparator" w:id="0">
    <w:p w14:paraId="094EBDA7" w14:textId="77777777" w:rsidR="00DD54A9" w:rsidRDefault="00DD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C1A14" w14:textId="77777777" w:rsidR="00DD54A9" w:rsidRDefault="00DD54A9">
      <w:pPr>
        <w:spacing w:after="0" w:line="240" w:lineRule="auto"/>
      </w:pPr>
      <w:r>
        <w:separator/>
      </w:r>
    </w:p>
  </w:footnote>
  <w:footnote w:type="continuationSeparator" w:id="0">
    <w:p w14:paraId="5DD3EDC1" w14:textId="77777777" w:rsidR="00DD54A9" w:rsidRDefault="00DD5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16262353"/>
      <w:docPartObj>
        <w:docPartGallery w:val="Page Numbers (Top of Page)"/>
        <w:docPartUnique/>
      </w:docPartObj>
    </w:sdtPr>
    <w:sdtEndPr/>
    <w:sdtContent>
      <w:p w14:paraId="3FE8E6F2" w14:textId="66ACDA07" w:rsidR="00CA7286" w:rsidRPr="00CA7286" w:rsidRDefault="00EE25FB">
        <w:pPr>
          <w:pStyle w:val="Encabezado"/>
          <w:jc w:val="right"/>
          <w:rPr>
            <w:rFonts w:ascii="Times New Roman" w:hAnsi="Times New Roman" w:cs="Times New Roman"/>
          </w:rPr>
        </w:pPr>
        <w:r w:rsidRPr="00CA7286">
          <w:rPr>
            <w:rFonts w:ascii="Times New Roman" w:hAnsi="Times New Roman" w:cs="Times New Roman"/>
          </w:rPr>
          <w:fldChar w:fldCharType="begin"/>
        </w:r>
        <w:r w:rsidRPr="00CA7286">
          <w:rPr>
            <w:rFonts w:ascii="Times New Roman" w:hAnsi="Times New Roman" w:cs="Times New Roman"/>
          </w:rPr>
          <w:instrText>PAGE   \* MERGEFORMAT</w:instrText>
        </w:r>
        <w:r w:rsidRPr="00CA7286">
          <w:rPr>
            <w:rFonts w:ascii="Times New Roman" w:hAnsi="Times New Roman" w:cs="Times New Roman"/>
          </w:rPr>
          <w:fldChar w:fldCharType="separate"/>
        </w:r>
        <w:r w:rsidR="00D01D98" w:rsidRPr="00D01D98">
          <w:rPr>
            <w:rFonts w:ascii="Times New Roman" w:hAnsi="Times New Roman" w:cs="Times New Roman"/>
            <w:noProof/>
            <w:lang w:val="fr-FR"/>
          </w:rPr>
          <w:t>4</w:t>
        </w:r>
        <w:r w:rsidRPr="00CA7286">
          <w:rPr>
            <w:rFonts w:ascii="Times New Roman" w:hAnsi="Times New Roman" w:cs="Times New Roman"/>
          </w:rPr>
          <w:fldChar w:fldCharType="end"/>
        </w:r>
      </w:p>
    </w:sdtContent>
  </w:sdt>
  <w:p w14:paraId="64F0A6E1" w14:textId="77777777" w:rsidR="00CA7286" w:rsidRPr="00CA7286" w:rsidRDefault="00DD54A9">
    <w:pPr>
      <w:pStyle w:val="Encabezado"/>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E25FB"/>
    <w:rsid w:val="00036539"/>
    <w:rsid w:val="00064E4F"/>
    <w:rsid w:val="0009396F"/>
    <w:rsid w:val="001460EB"/>
    <w:rsid w:val="00155D84"/>
    <w:rsid w:val="001823E1"/>
    <w:rsid w:val="001B1392"/>
    <w:rsid w:val="001E623F"/>
    <w:rsid w:val="002B23E7"/>
    <w:rsid w:val="003805F5"/>
    <w:rsid w:val="00440D9C"/>
    <w:rsid w:val="004D7903"/>
    <w:rsid w:val="004D7F89"/>
    <w:rsid w:val="00580388"/>
    <w:rsid w:val="005C0FBB"/>
    <w:rsid w:val="00675A71"/>
    <w:rsid w:val="00931ADF"/>
    <w:rsid w:val="009D4840"/>
    <w:rsid w:val="00B2143D"/>
    <w:rsid w:val="00BF3C6E"/>
    <w:rsid w:val="00C21819"/>
    <w:rsid w:val="00C844D3"/>
    <w:rsid w:val="00D01D98"/>
    <w:rsid w:val="00D304F4"/>
    <w:rsid w:val="00D373CB"/>
    <w:rsid w:val="00DD2A79"/>
    <w:rsid w:val="00DD54A9"/>
    <w:rsid w:val="00E70216"/>
    <w:rsid w:val="00EE25FB"/>
    <w:rsid w:val="00EF5DED"/>
    <w:rsid w:val="00FF6FA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9043B"/>
  <w15:docId w15:val="{38BF8E41-A567-4C62-95D8-BD61F336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5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EE25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25FB"/>
    <w:rPr>
      <w:sz w:val="20"/>
      <w:szCs w:val="20"/>
    </w:rPr>
  </w:style>
  <w:style w:type="character" w:styleId="Refdenotaalfinal">
    <w:name w:val="endnote reference"/>
    <w:basedOn w:val="Fuentedeprrafopredeter"/>
    <w:uiPriority w:val="99"/>
    <w:semiHidden/>
    <w:unhideWhenUsed/>
    <w:rsid w:val="00EE25FB"/>
    <w:rPr>
      <w:vertAlign w:val="superscript"/>
    </w:rPr>
  </w:style>
  <w:style w:type="table" w:styleId="Tablaconcuadrcula">
    <w:name w:val="Table Grid"/>
    <w:basedOn w:val="Tablanormal"/>
    <w:uiPriority w:val="39"/>
    <w:rsid w:val="00EE2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E25FB"/>
    <w:pPr>
      <w:ind w:left="720"/>
      <w:contextualSpacing/>
    </w:pPr>
  </w:style>
  <w:style w:type="table" w:customStyle="1" w:styleId="Tableausimple21">
    <w:name w:val="Tableau simple 21"/>
    <w:basedOn w:val="Tablanormal"/>
    <w:uiPriority w:val="42"/>
    <w:rsid w:val="00EE25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EE25FB"/>
    <w:rPr>
      <w:sz w:val="16"/>
      <w:szCs w:val="16"/>
    </w:rPr>
  </w:style>
  <w:style w:type="paragraph" w:styleId="Textocomentario">
    <w:name w:val="annotation text"/>
    <w:basedOn w:val="Normal"/>
    <w:link w:val="TextocomentarioCar"/>
    <w:uiPriority w:val="99"/>
    <w:semiHidden/>
    <w:unhideWhenUsed/>
    <w:rsid w:val="00EE2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25FB"/>
    <w:rPr>
      <w:sz w:val="20"/>
      <w:szCs w:val="20"/>
    </w:rPr>
  </w:style>
  <w:style w:type="paragraph" w:styleId="Asuntodelcomentario">
    <w:name w:val="annotation subject"/>
    <w:basedOn w:val="Textocomentario"/>
    <w:next w:val="Textocomentario"/>
    <w:link w:val="AsuntodelcomentarioCar"/>
    <w:uiPriority w:val="99"/>
    <w:semiHidden/>
    <w:unhideWhenUsed/>
    <w:rsid w:val="00EE25FB"/>
    <w:rPr>
      <w:b/>
      <w:bCs/>
    </w:rPr>
  </w:style>
  <w:style w:type="character" w:customStyle="1" w:styleId="AsuntodelcomentarioCar">
    <w:name w:val="Asunto del comentario Car"/>
    <w:basedOn w:val="TextocomentarioCar"/>
    <w:link w:val="Asuntodelcomentario"/>
    <w:uiPriority w:val="99"/>
    <w:semiHidden/>
    <w:rsid w:val="00EE25FB"/>
    <w:rPr>
      <w:b/>
      <w:bCs/>
      <w:sz w:val="20"/>
      <w:szCs w:val="20"/>
    </w:rPr>
  </w:style>
  <w:style w:type="paragraph" w:styleId="Textodeglobo">
    <w:name w:val="Balloon Text"/>
    <w:basedOn w:val="Normal"/>
    <w:link w:val="TextodegloboCar"/>
    <w:uiPriority w:val="99"/>
    <w:semiHidden/>
    <w:unhideWhenUsed/>
    <w:rsid w:val="00EE25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FB"/>
    <w:rPr>
      <w:rFonts w:ascii="Segoe UI" w:hAnsi="Segoe UI" w:cs="Segoe UI"/>
      <w:sz w:val="18"/>
      <w:szCs w:val="18"/>
    </w:rPr>
  </w:style>
  <w:style w:type="paragraph" w:styleId="Encabezado">
    <w:name w:val="header"/>
    <w:basedOn w:val="Normal"/>
    <w:link w:val="EncabezadoCar"/>
    <w:uiPriority w:val="99"/>
    <w:unhideWhenUsed/>
    <w:rsid w:val="00EE25F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E25FB"/>
  </w:style>
  <w:style w:type="paragraph" w:styleId="Piedepgina">
    <w:name w:val="footer"/>
    <w:basedOn w:val="Normal"/>
    <w:link w:val="PiedepginaCar"/>
    <w:uiPriority w:val="99"/>
    <w:unhideWhenUsed/>
    <w:rsid w:val="00EE25F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EE25FB"/>
  </w:style>
  <w:style w:type="paragraph" w:customStyle="1" w:styleId="EndNoteBibliographyTitle">
    <w:name w:val="EndNote Bibliography Title"/>
    <w:basedOn w:val="Normal"/>
    <w:link w:val="EndNoteBibliographyTitleCar"/>
    <w:rsid w:val="00EE25FB"/>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EE25FB"/>
    <w:rPr>
      <w:rFonts w:ascii="Calibri" w:hAnsi="Calibri"/>
      <w:noProof/>
      <w:lang w:val="en-US"/>
    </w:rPr>
  </w:style>
  <w:style w:type="paragraph" w:customStyle="1" w:styleId="EndNoteBibliography">
    <w:name w:val="EndNote Bibliography"/>
    <w:basedOn w:val="Normal"/>
    <w:link w:val="EndNoteBibliographyCar"/>
    <w:rsid w:val="00EE25FB"/>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EE25FB"/>
    <w:rPr>
      <w:rFonts w:ascii="Calibri" w:hAnsi="Calibri"/>
      <w:noProof/>
      <w:lang w:val="en-US"/>
    </w:rPr>
  </w:style>
  <w:style w:type="character" w:styleId="Hipervnculo">
    <w:name w:val="Hyperlink"/>
    <w:basedOn w:val="Fuentedeprrafopredeter"/>
    <w:uiPriority w:val="99"/>
    <w:unhideWhenUsed/>
    <w:rsid w:val="00EE25FB"/>
    <w:rPr>
      <w:color w:val="0563C1" w:themeColor="hyperlink"/>
      <w:u w:val="single"/>
    </w:rPr>
  </w:style>
  <w:style w:type="paragraph" w:styleId="HTMLconformatoprevio">
    <w:name w:val="HTML Preformatted"/>
    <w:basedOn w:val="Normal"/>
    <w:link w:val="HTMLconformatoprevioCar"/>
    <w:uiPriority w:val="99"/>
    <w:semiHidden/>
    <w:unhideWhenUsed/>
    <w:rsid w:val="0009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conformatoprevioCar">
    <w:name w:val="HTML con formato previo Car"/>
    <w:basedOn w:val="Fuentedeprrafopredeter"/>
    <w:link w:val="HTMLconformatoprevio"/>
    <w:uiPriority w:val="99"/>
    <w:semiHidden/>
    <w:rsid w:val="0009396F"/>
    <w:rPr>
      <w:rFonts w:ascii="Courier New" w:eastAsia="Times New Roman" w:hAnsi="Courier New" w:cs="Courier New"/>
      <w:sz w:val="20"/>
      <w:szCs w:val="20"/>
      <w:lang w:val="en-GB" w:eastAsia="en-GB"/>
    </w:rPr>
  </w:style>
  <w:style w:type="character" w:customStyle="1" w:styleId="gnkrckgcgsb">
    <w:name w:val="gnkrckgcgsb"/>
    <w:basedOn w:val="Fuentedeprrafopredeter"/>
    <w:rsid w:val="0009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925">
      <w:bodyDiv w:val="1"/>
      <w:marLeft w:val="0"/>
      <w:marRight w:val="0"/>
      <w:marTop w:val="0"/>
      <w:marBottom w:val="0"/>
      <w:divBdr>
        <w:top w:val="none" w:sz="0" w:space="0" w:color="auto"/>
        <w:left w:val="none" w:sz="0" w:space="0" w:color="auto"/>
        <w:bottom w:val="none" w:sz="0" w:space="0" w:color="auto"/>
        <w:right w:val="none" w:sz="0" w:space="0" w:color="auto"/>
      </w:divBdr>
    </w:div>
    <w:div w:id="9064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77/13684302177331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x.doi.org/10.1002/ejsp.4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177/1368430210376077"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CloudStation\Psycho\Manip\00.%20Papiers\04%20short%20paper%20RF%20attitude%20Credits\anciennes%20versions\result%2010-item%20DP%20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CloudStation\Psycho\Manip\00.%20Papiers\04%20short%20paper%20RF%20attitude%20Credits\anciennes%20versions\result%2010-item%20DP%20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1620850143873"/>
          <c:y val="0.19732491729918461"/>
          <c:w val="0.70098798581706767"/>
          <c:h val="0.62474142799022525"/>
        </c:manualLayout>
      </c:layout>
      <c:lineChart>
        <c:grouping val="standard"/>
        <c:varyColors val="0"/>
        <c:ser>
          <c:idx val="0"/>
          <c:order val="0"/>
          <c:tx>
            <c:strRef>
              <c:f>SuppMat!$I$27</c:f>
              <c:strCache>
                <c:ptCount val="1"/>
                <c:pt idx="0">
                  <c:v>Control</c:v>
                </c:pt>
              </c:strCache>
            </c:strRef>
          </c:tx>
          <c:spPr>
            <a:ln w="22225">
              <a:solidFill>
                <a:schemeClr val="bg1">
                  <a:lumMod val="65000"/>
                </a:schemeClr>
              </a:solidFill>
              <a:prstDash val="sysDash"/>
            </a:ln>
          </c:spPr>
          <c:marker>
            <c:symbol val="square"/>
            <c:size val="5"/>
            <c:spPr>
              <a:solidFill>
                <a:schemeClr val="bg1">
                  <a:lumMod val="65000"/>
                </a:schemeClr>
              </a:solidFill>
              <a:ln>
                <a:noFill/>
              </a:ln>
            </c:spPr>
          </c:marker>
          <c:cat>
            <c:multiLvlStrRef>
              <c:f>SuppMat!$J$25:$N$26</c:f>
              <c:multiLvlStrCache>
                <c:ptCount val="5"/>
                <c:lvl>
                  <c:pt idx="0">
                    <c:v>Low (-1SD)</c:v>
                  </c:pt>
                  <c:pt idx="1">
                    <c:v>High (+1SD)</c:v>
                  </c:pt>
                  <c:pt idx="3">
                    <c:v>Low (-1SD)</c:v>
                  </c:pt>
                  <c:pt idx="4">
                    <c:v>High (+1SD)</c:v>
                  </c:pt>
                </c:lvl>
                <c:lvl>
                  <c:pt idx="0">
                    <c:v>Initial intergroup attitudes</c:v>
                  </c:pt>
                </c:lvl>
              </c:multiLvlStrCache>
            </c:multiLvlStrRef>
          </c:cat>
          <c:val>
            <c:numRef>
              <c:f>SuppMat!$J$27:$N$27</c:f>
              <c:numCache>
                <c:formatCode>General</c:formatCode>
                <c:ptCount val="5"/>
                <c:pt idx="0">
                  <c:v>2.3119999999999998</c:v>
                </c:pt>
                <c:pt idx="1">
                  <c:v>2.1680000000000006</c:v>
                </c:pt>
                <c:pt idx="3">
                  <c:v>2.1880000000000002</c:v>
                </c:pt>
                <c:pt idx="4">
                  <c:v>3.4919999999999995</c:v>
                </c:pt>
              </c:numCache>
            </c:numRef>
          </c:val>
          <c:smooth val="0"/>
          <c:extLst xmlns:c16r2="http://schemas.microsoft.com/office/drawing/2015/06/chart">
            <c:ext xmlns:c16="http://schemas.microsoft.com/office/drawing/2014/chart" uri="{C3380CC4-5D6E-409C-BE32-E72D297353CC}">
              <c16:uniqueId val="{00000000-642D-47B3-8AE0-3C027176B1B8}"/>
            </c:ext>
          </c:extLst>
        </c:ser>
        <c:ser>
          <c:idx val="1"/>
          <c:order val="1"/>
          <c:tx>
            <c:strRef>
              <c:f>SuppMat!$I$28</c:f>
              <c:strCache>
                <c:ptCount val="1"/>
                <c:pt idx="0">
                  <c:v>Credentials</c:v>
                </c:pt>
              </c:strCache>
            </c:strRef>
          </c:tx>
          <c:spPr>
            <a:ln w="22225">
              <a:solidFill>
                <a:schemeClr val="tx1"/>
              </a:solidFill>
            </a:ln>
          </c:spPr>
          <c:marker>
            <c:spPr>
              <a:solidFill>
                <a:schemeClr val="tx1"/>
              </a:solidFill>
              <a:ln>
                <a:noFill/>
              </a:ln>
            </c:spPr>
          </c:marker>
          <c:cat>
            <c:multiLvlStrRef>
              <c:f>SuppMat!$J$25:$N$26</c:f>
              <c:multiLvlStrCache>
                <c:ptCount val="5"/>
                <c:lvl>
                  <c:pt idx="0">
                    <c:v>Low (-1SD)</c:v>
                  </c:pt>
                  <c:pt idx="1">
                    <c:v>High (+1SD)</c:v>
                  </c:pt>
                  <c:pt idx="3">
                    <c:v>Low (-1SD)</c:v>
                  </c:pt>
                  <c:pt idx="4">
                    <c:v>High (+1SD)</c:v>
                  </c:pt>
                </c:lvl>
                <c:lvl>
                  <c:pt idx="0">
                    <c:v>Initial intergroup attitudes</c:v>
                  </c:pt>
                </c:lvl>
              </c:multiLvlStrCache>
            </c:multiLvlStrRef>
          </c:cat>
          <c:val>
            <c:numRef>
              <c:f>SuppMat!$J$28:$N$28</c:f>
              <c:numCache>
                <c:formatCode>General</c:formatCode>
                <c:ptCount val="5"/>
                <c:pt idx="0">
                  <c:v>1.4539999999999993</c:v>
                </c:pt>
                <c:pt idx="1">
                  <c:v>3.2499999999999996</c:v>
                </c:pt>
                <c:pt idx="3">
                  <c:v>2.2939999999999996</c:v>
                </c:pt>
                <c:pt idx="4">
                  <c:v>1.722</c:v>
                </c:pt>
              </c:numCache>
            </c:numRef>
          </c:val>
          <c:smooth val="0"/>
          <c:extLst xmlns:c16r2="http://schemas.microsoft.com/office/drawing/2015/06/chart">
            <c:ext xmlns:c16="http://schemas.microsoft.com/office/drawing/2014/chart" uri="{C3380CC4-5D6E-409C-BE32-E72D297353CC}">
              <c16:uniqueId val="{00000001-642D-47B3-8AE0-3C027176B1B8}"/>
            </c:ext>
          </c:extLst>
        </c:ser>
        <c:dLbls>
          <c:showLegendKey val="0"/>
          <c:showVal val="0"/>
          <c:showCatName val="0"/>
          <c:showSerName val="0"/>
          <c:showPercent val="0"/>
          <c:showBubbleSize val="0"/>
        </c:dLbls>
        <c:marker val="1"/>
        <c:smooth val="0"/>
        <c:axId val="-108146032"/>
        <c:axId val="-108143312"/>
      </c:lineChart>
      <c:catAx>
        <c:axId val="-108146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H" sz="1100">
                    <a:solidFill>
                      <a:sysClr val="windowText" lastClr="000000"/>
                    </a:solidFill>
                    <a:latin typeface="Times New Roman" panose="02020603050405020304" pitchFamily="18" charset="0"/>
                    <a:cs typeface="Times New Roman" panose="02020603050405020304" pitchFamily="18" charset="0"/>
                  </a:rPr>
                  <a:t>Prevention</a:t>
                </a:r>
                <a:r>
                  <a:rPr lang="fr-CH" sz="1100" baseline="0">
                    <a:solidFill>
                      <a:sysClr val="windowText" lastClr="000000"/>
                    </a:solidFill>
                    <a:latin typeface="Times New Roman" panose="02020603050405020304" pitchFamily="18" charset="0"/>
                    <a:cs typeface="Times New Roman" panose="02020603050405020304" pitchFamily="18" charset="0"/>
                  </a:rPr>
                  <a:t> orientation</a:t>
                </a:r>
              </a:p>
              <a:p>
                <a:pPr>
                  <a:defRPr sz="1000" b="0" i="0" u="none" strike="noStrike" kern="1200" baseline="0">
                    <a:solidFill>
                      <a:schemeClr val="tx1">
                        <a:lumMod val="65000"/>
                        <a:lumOff val="35000"/>
                      </a:schemeClr>
                    </a:solidFill>
                    <a:latin typeface="+mn-lt"/>
                    <a:ea typeface="+mn-ea"/>
                    <a:cs typeface="+mn-cs"/>
                  </a:defRPr>
                </a:pPr>
                <a:endParaRPr lang="fr-CH" sz="1100" baseline="0">
                  <a:solidFill>
                    <a:sysClr val="windowText" lastClr="000000"/>
                  </a:solidFill>
                  <a:latin typeface="Times New Roman" panose="02020603050405020304" pitchFamily="18" charset="0"/>
                  <a:cs typeface="Times New Roman" panose="02020603050405020304" pitchFamily="18" charset="0"/>
                </a:endParaRPr>
              </a:p>
              <a:p>
                <a:pPr>
                  <a:defRPr sz="1000" b="0" i="0" u="none" strike="noStrike" kern="1200" baseline="0">
                    <a:solidFill>
                      <a:schemeClr val="tx1">
                        <a:lumMod val="65000"/>
                        <a:lumOff val="35000"/>
                      </a:schemeClr>
                    </a:solidFill>
                    <a:latin typeface="+mn-lt"/>
                    <a:ea typeface="+mn-ea"/>
                    <a:cs typeface="+mn-cs"/>
                  </a:defRPr>
                </a:pPr>
                <a:r>
                  <a:rPr lang="fr-CH" sz="1100">
                    <a:solidFill>
                      <a:sysClr val="windowText" lastClr="000000"/>
                    </a:solidFill>
                    <a:latin typeface="Times New Roman" panose="02020603050405020304" pitchFamily="18" charset="0"/>
                    <a:cs typeface="Times New Roman" panose="02020603050405020304" pitchFamily="18" charset="0"/>
                  </a:rPr>
                  <a:t>Low (-1SD)			High </a:t>
                </a:r>
                <a:r>
                  <a:rPr lang="fr-CH" sz="1100" baseline="0">
                    <a:solidFill>
                      <a:sysClr val="windowText" lastClr="000000"/>
                    </a:solidFill>
                    <a:latin typeface="Times New Roman" panose="02020603050405020304" pitchFamily="18" charset="0"/>
                    <a:cs typeface="Times New Roman" panose="02020603050405020304" pitchFamily="18" charset="0"/>
                  </a:rPr>
                  <a:t>(+1SD)</a:t>
                </a:r>
                <a:endParaRPr lang="fr-CH"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365272013833793"/>
              <c:y val="3.3915852666593478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08143312"/>
        <c:crosses val="autoZero"/>
        <c:auto val="1"/>
        <c:lblAlgn val="ctr"/>
        <c:lblOffset val="100"/>
        <c:noMultiLvlLbl val="0"/>
      </c:catAx>
      <c:valAx>
        <c:axId val="-108143312"/>
        <c:scaling>
          <c:orientation val="minMax"/>
          <c:max val="7"/>
          <c:min val="1"/>
        </c:scaling>
        <c:delete val="0"/>
        <c:axPos val="l"/>
        <c:majorGridlines>
          <c:spPr>
            <a:ln w="9525" cap="flat" cmpd="sng" algn="ctr">
              <a:solidFill>
                <a:schemeClr val="tx1">
                  <a:lumMod val="15000"/>
                  <a:lumOff val="85000"/>
                </a:schemeClr>
              </a:solidFill>
              <a:round/>
            </a:ln>
            <a:effectLst/>
          </c:spPr>
        </c:majorGridlines>
        <c:title>
          <c:tx>
            <c:rich>
              <a:bodyPr/>
              <a:lstStyle/>
              <a:p>
                <a:pPr>
                  <a:defRPr sz="1100">
                    <a:latin typeface="Times New Roman" panose="02020603050405020304" pitchFamily="18" charset="0"/>
                    <a:cs typeface="Times New Roman" panose="02020603050405020304" pitchFamily="18" charset="0"/>
                  </a:defRPr>
                </a:pPr>
                <a:r>
                  <a:rPr lang="fr-CH" sz="1100" b="0">
                    <a:latin typeface="Times New Roman" panose="02020603050405020304" pitchFamily="18" charset="0"/>
                    <a:cs typeface="Times New Roman" panose="02020603050405020304" pitchFamily="18" charset="0"/>
                  </a:rPr>
                  <a:t>S</a:t>
                </a:r>
                <a:r>
                  <a:rPr lang="fr-CH" sz="1100" b="0" baseline="0">
                    <a:latin typeface="Times New Roman" panose="02020603050405020304" pitchFamily="18" charset="0"/>
                    <a:cs typeface="Times New Roman" panose="02020603050405020304" pitchFamily="18" charset="0"/>
                  </a:rPr>
                  <a:t>upport for </a:t>
                </a:r>
                <a:r>
                  <a:rPr lang="en-GB" sz="1100" b="0" i="0" u="none" strike="noStrike" baseline="0">
                    <a:effectLst/>
                  </a:rPr>
                  <a:t>affirmative action</a:t>
                </a:r>
                <a:endParaRPr lang="fr-CH" sz="1100" b="0">
                  <a:latin typeface="Times New Roman" panose="02020603050405020304" pitchFamily="18" charset="0"/>
                  <a:cs typeface="Times New Roman" panose="02020603050405020304" pitchFamily="18" charset="0"/>
                </a:endParaRPr>
              </a:p>
            </c:rich>
          </c:tx>
          <c:layout>
            <c:manualLayout>
              <c:xMode val="edge"/>
              <c:yMode val="edge"/>
              <c:x val="1.875242991128407E-2"/>
              <c:y val="0.24059697771803121"/>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08146032"/>
        <c:crosses val="autoZero"/>
        <c:crossBetween val="between"/>
      </c:valAx>
      <c:spPr>
        <a:noFill/>
        <a:ln>
          <a:noFill/>
        </a:ln>
        <a:effectLst/>
      </c:spPr>
    </c:plotArea>
    <c:legend>
      <c:legendPos val="b"/>
      <c:layout>
        <c:manualLayout>
          <c:xMode val="edge"/>
          <c:yMode val="edge"/>
          <c:x val="0.81081409962643558"/>
          <c:y val="0.28688875731959368"/>
          <c:w val="0.18160195253371109"/>
          <c:h val="0.21239235206390192"/>
        </c:manualLayout>
      </c:layout>
      <c:overlay val="0"/>
      <c:spPr>
        <a:noFill/>
        <a:ln>
          <a:solidFill>
            <a:schemeClr val="bg1">
              <a:lumMod val="50000"/>
            </a:schemeClr>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1620850143873"/>
          <c:y val="0.19732491729918461"/>
          <c:w val="0.6922447398993159"/>
          <c:h val="0.62474142799022525"/>
        </c:manualLayout>
      </c:layout>
      <c:lineChart>
        <c:grouping val="standard"/>
        <c:varyColors val="0"/>
        <c:ser>
          <c:idx val="0"/>
          <c:order val="0"/>
          <c:tx>
            <c:strRef>
              <c:f>SuppMat!$I$46</c:f>
              <c:strCache>
                <c:ptCount val="1"/>
                <c:pt idx="0">
                  <c:v>Control</c:v>
                </c:pt>
              </c:strCache>
            </c:strRef>
          </c:tx>
          <c:spPr>
            <a:ln w="22225">
              <a:solidFill>
                <a:schemeClr val="bg1">
                  <a:lumMod val="65000"/>
                </a:schemeClr>
              </a:solidFill>
              <a:prstDash val="sysDash"/>
            </a:ln>
          </c:spPr>
          <c:marker>
            <c:symbol val="square"/>
            <c:size val="5"/>
            <c:spPr>
              <a:solidFill>
                <a:schemeClr val="bg1">
                  <a:lumMod val="65000"/>
                </a:schemeClr>
              </a:solidFill>
              <a:ln>
                <a:noFill/>
              </a:ln>
            </c:spPr>
          </c:marker>
          <c:cat>
            <c:multiLvlStrRef>
              <c:f>SuppMat!$J$44:$N$45</c:f>
              <c:multiLvlStrCache>
                <c:ptCount val="5"/>
                <c:lvl>
                  <c:pt idx="0">
                    <c:v>Low (-1SD)</c:v>
                  </c:pt>
                  <c:pt idx="1">
                    <c:v>High (+1SD)</c:v>
                  </c:pt>
                  <c:pt idx="3">
                    <c:v>Low (-1SD)</c:v>
                  </c:pt>
                  <c:pt idx="4">
                    <c:v>High (+1SD)</c:v>
                  </c:pt>
                </c:lvl>
                <c:lvl>
                  <c:pt idx="0">
                    <c:v>Initial intergroup attitudes</c:v>
                  </c:pt>
                </c:lvl>
              </c:multiLvlStrCache>
            </c:multiLvlStrRef>
          </c:cat>
          <c:val>
            <c:numRef>
              <c:f>SuppMat!$J$46:$N$46</c:f>
              <c:numCache>
                <c:formatCode>General</c:formatCode>
                <c:ptCount val="5"/>
                <c:pt idx="0">
                  <c:v>2.1039999999999996</c:v>
                </c:pt>
                <c:pt idx="1">
                  <c:v>3.3320000000000003</c:v>
                </c:pt>
                <c:pt idx="3">
                  <c:v>2.3959999999999999</c:v>
                </c:pt>
                <c:pt idx="4">
                  <c:v>2.3279999999999998</c:v>
                </c:pt>
              </c:numCache>
            </c:numRef>
          </c:val>
          <c:smooth val="0"/>
          <c:extLst xmlns:c16r2="http://schemas.microsoft.com/office/drawing/2015/06/chart">
            <c:ext xmlns:c16="http://schemas.microsoft.com/office/drawing/2014/chart" uri="{C3380CC4-5D6E-409C-BE32-E72D297353CC}">
              <c16:uniqueId val="{00000000-E0C4-499E-B8CA-5FD2D34305EF}"/>
            </c:ext>
          </c:extLst>
        </c:ser>
        <c:ser>
          <c:idx val="1"/>
          <c:order val="1"/>
          <c:tx>
            <c:strRef>
              <c:f>SuppMat!$I$47</c:f>
              <c:strCache>
                <c:ptCount val="1"/>
                <c:pt idx="0">
                  <c:v>Credentials</c:v>
                </c:pt>
              </c:strCache>
            </c:strRef>
          </c:tx>
          <c:spPr>
            <a:ln w="22225">
              <a:solidFill>
                <a:schemeClr val="tx1"/>
              </a:solidFill>
            </a:ln>
          </c:spPr>
          <c:marker>
            <c:spPr>
              <a:solidFill>
                <a:schemeClr val="tx1"/>
              </a:solidFill>
              <a:ln>
                <a:noFill/>
              </a:ln>
            </c:spPr>
          </c:marker>
          <c:cat>
            <c:multiLvlStrRef>
              <c:f>SuppMat!$J$44:$N$45</c:f>
              <c:multiLvlStrCache>
                <c:ptCount val="5"/>
                <c:lvl>
                  <c:pt idx="0">
                    <c:v>Low (-1SD)</c:v>
                  </c:pt>
                  <c:pt idx="1">
                    <c:v>High (+1SD)</c:v>
                  </c:pt>
                  <c:pt idx="3">
                    <c:v>Low (-1SD)</c:v>
                  </c:pt>
                  <c:pt idx="4">
                    <c:v>High (+1SD)</c:v>
                  </c:pt>
                </c:lvl>
                <c:lvl>
                  <c:pt idx="0">
                    <c:v>Initial intergroup attitudes</c:v>
                  </c:pt>
                </c:lvl>
              </c:multiLvlStrCache>
            </c:multiLvlStrRef>
          </c:cat>
          <c:val>
            <c:numRef>
              <c:f>SuppMat!$J$47:$N$47</c:f>
              <c:numCache>
                <c:formatCode>General</c:formatCode>
                <c:ptCount val="5"/>
                <c:pt idx="0">
                  <c:v>2.3139999999999996</c:v>
                </c:pt>
                <c:pt idx="1">
                  <c:v>1.706</c:v>
                </c:pt>
                <c:pt idx="3">
                  <c:v>1.4339999999999995</c:v>
                </c:pt>
                <c:pt idx="4">
                  <c:v>3.2659999999999996</c:v>
                </c:pt>
              </c:numCache>
            </c:numRef>
          </c:val>
          <c:smooth val="0"/>
          <c:extLst xmlns:c16r2="http://schemas.microsoft.com/office/drawing/2015/06/chart">
            <c:ext xmlns:c16="http://schemas.microsoft.com/office/drawing/2014/chart" uri="{C3380CC4-5D6E-409C-BE32-E72D297353CC}">
              <c16:uniqueId val="{00000001-E0C4-499E-B8CA-5FD2D34305EF}"/>
            </c:ext>
          </c:extLst>
        </c:ser>
        <c:dLbls>
          <c:showLegendKey val="0"/>
          <c:showVal val="0"/>
          <c:showCatName val="0"/>
          <c:showSerName val="0"/>
          <c:showPercent val="0"/>
          <c:showBubbleSize val="0"/>
        </c:dLbls>
        <c:marker val="1"/>
        <c:smooth val="0"/>
        <c:axId val="-108148208"/>
        <c:axId val="-108154192"/>
      </c:lineChart>
      <c:catAx>
        <c:axId val="-108148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H" sz="1100">
                    <a:solidFill>
                      <a:sysClr val="windowText" lastClr="000000"/>
                    </a:solidFill>
                    <a:latin typeface="Times New Roman" panose="02020603050405020304" pitchFamily="18" charset="0"/>
                    <a:cs typeface="Times New Roman" panose="02020603050405020304" pitchFamily="18" charset="0"/>
                  </a:rPr>
                  <a:t>Promotion</a:t>
                </a:r>
                <a:r>
                  <a:rPr lang="fr-CH" sz="1100" baseline="0">
                    <a:solidFill>
                      <a:sysClr val="windowText" lastClr="000000"/>
                    </a:solidFill>
                    <a:latin typeface="Times New Roman" panose="02020603050405020304" pitchFamily="18" charset="0"/>
                    <a:cs typeface="Times New Roman" panose="02020603050405020304" pitchFamily="18" charset="0"/>
                  </a:rPr>
                  <a:t> orientation</a:t>
                </a:r>
              </a:p>
              <a:p>
                <a:pPr>
                  <a:defRPr sz="1000" b="0" i="0" u="none" strike="noStrike" kern="1200" baseline="0">
                    <a:solidFill>
                      <a:schemeClr val="tx1">
                        <a:lumMod val="65000"/>
                        <a:lumOff val="35000"/>
                      </a:schemeClr>
                    </a:solidFill>
                    <a:latin typeface="+mn-lt"/>
                    <a:ea typeface="+mn-ea"/>
                    <a:cs typeface="+mn-cs"/>
                  </a:defRPr>
                </a:pPr>
                <a:endParaRPr lang="fr-CH" sz="1100" baseline="0">
                  <a:solidFill>
                    <a:sysClr val="windowText" lastClr="000000"/>
                  </a:solidFill>
                  <a:latin typeface="Times New Roman" panose="02020603050405020304" pitchFamily="18" charset="0"/>
                  <a:cs typeface="Times New Roman" panose="02020603050405020304" pitchFamily="18" charset="0"/>
                </a:endParaRPr>
              </a:p>
              <a:p>
                <a:pPr>
                  <a:defRPr sz="1000" b="0" i="0" u="none" strike="noStrike" kern="1200" baseline="0">
                    <a:solidFill>
                      <a:schemeClr val="tx1">
                        <a:lumMod val="65000"/>
                        <a:lumOff val="35000"/>
                      </a:schemeClr>
                    </a:solidFill>
                    <a:latin typeface="+mn-lt"/>
                    <a:ea typeface="+mn-ea"/>
                    <a:cs typeface="+mn-cs"/>
                  </a:defRPr>
                </a:pPr>
                <a:r>
                  <a:rPr lang="fr-CH" sz="1100">
                    <a:solidFill>
                      <a:sysClr val="windowText" lastClr="000000"/>
                    </a:solidFill>
                    <a:latin typeface="Times New Roman" panose="02020603050405020304" pitchFamily="18" charset="0"/>
                    <a:cs typeface="Times New Roman" panose="02020603050405020304" pitchFamily="18" charset="0"/>
                  </a:rPr>
                  <a:t>Low (-1SD)			High </a:t>
                </a:r>
                <a:r>
                  <a:rPr lang="fr-CH" sz="1100" baseline="0">
                    <a:solidFill>
                      <a:sysClr val="windowText" lastClr="000000"/>
                    </a:solidFill>
                    <a:latin typeface="Times New Roman" panose="02020603050405020304" pitchFamily="18" charset="0"/>
                    <a:cs typeface="Times New Roman" panose="02020603050405020304" pitchFamily="18" charset="0"/>
                  </a:rPr>
                  <a:t>(+1SD)</a:t>
                </a:r>
                <a:endParaRPr lang="fr-CH"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365272013833793"/>
              <c:y val="3.3915852666593478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08154192"/>
        <c:crosses val="autoZero"/>
        <c:auto val="1"/>
        <c:lblAlgn val="ctr"/>
        <c:lblOffset val="100"/>
        <c:noMultiLvlLbl val="0"/>
      </c:catAx>
      <c:valAx>
        <c:axId val="-108154192"/>
        <c:scaling>
          <c:orientation val="minMax"/>
          <c:max val="7"/>
          <c:min val="1"/>
        </c:scaling>
        <c:delete val="0"/>
        <c:axPos val="l"/>
        <c:majorGridlines>
          <c:spPr>
            <a:ln w="9525" cap="flat" cmpd="sng" algn="ctr">
              <a:solidFill>
                <a:schemeClr val="tx1">
                  <a:lumMod val="15000"/>
                  <a:lumOff val="85000"/>
                </a:schemeClr>
              </a:solidFill>
              <a:round/>
            </a:ln>
            <a:effectLst/>
          </c:spPr>
        </c:majorGridlines>
        <c:title>
          <c:tx>
            <c:rich>
              <a:bodyPr/>
              <a:lstStyle/>
              <a:p>
                <a:pPr>
                  <a:defRPr sz="1100">
                    <a:latin typeface="Times New Roman" panose="02020603050405020304" pitchFamily="18" charset="0"/>
                    <a:cs typeface="Times New Roman" panose="02020603050405020304" pitchFamily="18" charset="0"/>
                  </a:defRPr>
                </a:pPr>
                <a:r>
                  <a:rPr lang="fr-CH" sz="1100" b="0">
                    <a:latin typeface="Times New Roman" panose="02020603050405020304" pitchFamily="18" charset="0"/>
                    <a:cs typeface="Times New Roman" panose="02020603050405020304" pitchFamily="18" charset="0"/>
                  </a:rPr>
                  <a:t>S</a:t>
                </a:r>
                <a:r>
                  <a:rPr lang="fr-CH" sz="1100" b="0" baseline="0">
                    <a:latin typeface="Times New Roman" panose="02020603050405020304" pitchFamily="18" charset="0"/>
                    <a:cs typeface="Times New Roman" panose="02020603050405020304" pitchFamily="18" charset="0"/>
                  </a:rPr>
                  <a:t>upport for affirmative action</a:t>
                </a:r>
                <a:endParaRPr lang="fr-CH" sz="1100" b="0">
                  <a:latin typeface="Times New Roman" panose="02020603050405020304" pitchFamily="18" charset="0"/>
                  <a:cs typeface="Times New Roman" panose="02020603050405020304" pitchFamily="18" charset="0"/>
                </a:endParaRPr>
              </a:p>
            </c:rich>
          </c:tx>
          <c:layout>
            <c:manualLayout>
              <c:xMode val="edge"/>
              <c:yMode val="edge"/>
              <c:x val="1.875242991128407E-2"/>
              <c:y val="0.24429554398483533"/>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08148208"/>
        <c:crosses val="autoZero"/>
        <c:crossBetween val="between"/>
      </c:valAx>
      <c:spPr>
        <a:noFill/>
        <a:ln>
          <a:noFill/>
        </a:ln>
        <a:effectLst/>
      </c:spPr>
    </c:plotArea>
    <c:legend>
      <c:legendPos val="b"/>
      <c:layout>
        <c:manualLayout>
          <c:xMode val="edge"/>
          <c:yMode val="edge"/>
          <c:x val="0.8043318273740373"/>
          <c:y val="0.28688875731959368"/>
          <c:w val="0.18808416161094618"/>
          <c:h val="0.21239235206390192"/>
        </c:manualLayout>
      </c:layout>
      <c:overlay val="0"/>
      <c:spPr>
        <a:noFill/>
        <a:ln>
          <a:solidFill>
            <a:schemeClr val="bg1">
              <a:lumMod val="50000"/>
            </a:schemeClr>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5978</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Unige</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Lalot</dc:creator>
  <cp:keywords/>
  <dc:description/>
  <cp:lastModifiedBy>Ana Montero</cp:lastModifiedBy>
  <cp:revision>2</cp:revision>
  <dcterms:created xsi:type="dcterms:W3CDTF">2019-11-27T18:41:00Z</dcterms:created>
  <dcterms:modified xsi:type="dcterms:W3CDTF">2019-11-27T18:41:00Z</dcterms:modified>
</cp:coreProperties>
</file>