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270BA" w14:textId="6F6E57ED" w:rsidR="00690A34" w:rsidRPr="00220E51" w:rsidRDefault="00690A34" w:rsidP="00BF5105">
      <w:pPr>
        <w:spacing w:line="480" w:lineRule="auto"/>
        <w:rPr>
          <w:rFonts w:ascii="Arial" w:hAnsi="Arial" w:cs="Arial"/>
          <w:b/>
          <w:sz w:val="22"/>
          <w:szCs w:val="22"/>
        </w:rPr>
      </w:pPr>
      <w:r w:rsidRPr="00220E51">
        <w:rPr>
          <w:rFonts w:ascii="Arial" w:hAnsi="Arial" w:cs="Arial"/>
          <w:b/>
          <w:sz w:val="22"/>
          <w:szCs w:val="22"/>
        </w:rPr>
        <w:t>Abstract</w:t>
      </w:r>
    </w:p>
    <w:p w14:paraId="191B75ED" w14:textId="77777777" w:rsidR="00690A34" w:rsidRPr="00220E51" w:rsidRDefault="00690A34" w:rsidP="00BF5105">
      <w:pPr>
        <w:spacing w:line="480" w:lineRule="auto"/>
        <w:rPr>
          <w:rFonts w:ascii="Arial" w:hAnsi="Arial" w:cs="Arial"/>
          <w:b/>
          <w:sz w:val="22"/>
          <w:szCs w:val="22"/>
        </w:rPr>
      </w:pPr>
    </w:p>
    <w:p w14:paraId="4D87BD38" w14:textId="77777777" w:rsidR="00690A34" w:rsidRPr="00220E51" w:rsidRDefault="00690A34" w:rsidP="00BF5105">
      <w:pPr>
        <w:spacing w:line="480" w:lineRule="auto"/>
        <w:rPr>
          <w:rFonts w:ascii="Arial" w:hAnsi="Arial" w:cs="Arial"/>
          <w:b/>
          <w:sz w:val="22"/>
          <w:szCs w:val="22"/>
        </w:rPr>
      </w:pPr>
    </w:p>
    <w:p w14:paraId="4E99B473" w14:textId="77777777" w:rsidR="00D17869" w:rsidRPr="008A5BB9" w:rsidRDefault="00D17869" w:rsidP="00D17869">
      <w:pPr>
        <w:spacing w:line="480" w:lineRule="auto"/>
        <w:rPr>
          <w:rFonts w:ascii="Arial" w:hAnsi="Arial" w:cs="Arial"/>
          <w:color w:val="FF0000"/>
          <w:sz w:val="22"/>
          <w:szCs w:val="22"/>
        </w:rPr>
      </w:pPr>
      <w:r>
        <w:rPr>
          <w:rFonts w:ascii="Arial" w:hAnsi="Arial" w:cs="Arial"/>
          <w:b/>
          <w:color w:val="FF0000"/>
          <w:sz w:val="22"/>
          <w:szCs w:val="22"/>
        </w:rPr>
        <w:t xml:space="preserve">Background: </w:t>
      </w:r>
      <w:r w:rsidRPr="00887F4D">
        <w:rPr>
          <w:rFonts w:ascii="Arial" w:hAnsi="Arial" w:cs="Arial"/>
          <w:color w:val="FF0000"/>
          <w:sz w:val="22"/>
          <w:szCs w:val="22"/>
        </w:rPr>
        <w:t xml:space="preserve">Understanding </w:t>
      </w:r>
      <w:r w:rsidRPr="00220E51">
        <w:rPr>
          <w:rFonts w:ascii="Arial" w:hAnsi="Arial" w:cs="Arial"/>
          <w:sz w:val="22"/>
          <w:szCs w:val="22"/>
        </w:rPr>
        <w:t>successful</w:t>
      </w:r>
      <w:r>
        <w:rPr>
          <w:rFonts w:ascii="Arial" w:hAnsi="Arial" w:cs="Arial"/>
          <w:sz w:val="22"/>
          <w:szCs w:val="22"/>
        </w:rPr>
        <w:t xml:space="preserve"> </w:t>
      </w:r>
      <w:r w:rsidRPr="008A5BB9">
        <w:rPr>
          <w:rFonts w:ascii="Arial" w:hAnsi="Arial" w:cs="Arial"/>
          <w:color w:val="FF0000"/>
          <w:sz w:val="22"/>
          <w:szCs w:val="22"/>
        </w:rPr>
        <w:t xml:space="preserve">and unsuccessful </w:t>
      </w:r>
      <w:r w:rsidRPr="00220E51">
        <w:rPr>
          <w:rFonts w:ascii="Arial" w:hAnsi="Arial" w:cs="Arial"/>
          <w:sz w:val="22"/>
          <w:szCs w:val="22"/>
        </w:rPr>
        <w:t xml:space="preserve">behavioural treatment </w:t>
      </w:r>
      <w:r>
        <w:rPr>
          <w:rFonts w:ascii="Arial" w:hAnsi="Arial" w:cs="Arial"/>
          <w:sz w:val="22"/>
          <w:szCs w:val="22"/>
        </w:rPr>
        <w:t>for pain is</w:t>
      </w:r>
      <w:r w:rsidRPr="00220E51">
        <w:rPr>
          <w:rFonts w:ascii="Arial" w:hAnsi="Arial" w:cs="Arial"/>
          <w:sz w:val="22"/>
          <w:szCs w:val="22"/>
        </w:rPr>
        <w:t xml:space="preserve"> essential. </w:t>
      </w:r>
      <w:r w:rsidRPr="00701DE2">
        <w:rPr>
          <w:rFonts w:ascii="Arial" w:hAnsi="Arial" w:cs="Arial"/>
          <w:b/>
          <w:color w:val="FF0000"/>
          <w:sz w:val="22"/>
          <w:szCs w:val="22"/>
        </w:rPr>
        <w:t>Aim</w:t>
      </w:r>
      <w:r w:rsidRPr="00701DE2">
        <w:rPr>
          <w:rFonts w:ascii="Arial" w:hAnsi="Arial" w:cs="Arial"/>
          <w:color w:val="FF0000"/>
          <w:sz w:val="22"/>
          <w:szCs w:val="22"/>
        </w:rPr>
        <w:t>:</w:t>
      </w:r>
      <w:r>
        <w:rPr>
          <w:rFonts w:ascii="Arial" w:hAnsi="Arial" w:cs="Arial"/>
          <w:sz w:val="22"/>
          <w:szCs w:val="22"/>
        </w:rPr>
        <w:t xml:space="preserve"> </w:t>
      </w:r>
      <w:r w:rsidRPr="00220E51">
        <w:rPr>
          <w:rFonts w:ascii="Arial" w:hAnsi="Arial" w:cs="Arial"/>
          <w:sz w:val="22"/>
          <w:szCs w:val="22"/>
        </w:rPr>
        <w:t>We carried out a retrospective survey of 130 people who had undergone pain rehabilitation based on Ac</w:t>
      </w:r>
      <w:r>
        <w:rPr>
          <w:rFonts w:ascii="Arial" w:hAnsi="Arial" w:cs="Arial"/>
          <w:sz w:val="22"/>
          <w:szCs w:val="22"/>
        </w:rPr>
        <w:t xml:space="preserve">ceptance and Commitment Therapy, </w:t>
      </w:r>
      <w:r w:rsidRPr="00701DE2">
        <w:rPr>
          <w:rFonts w:ascii="Arial" w:hAnsi="Arial" w:cs="Arial"/>
          <w:color w:val="FF0000"/>
          <w:sz w:val="22"/>
          <w:szCs w:val="22"/>
        </w:rPr>
        <w:t>aiming to identify factors associated with non-response</w:t>
      </w:r>
      <w:r w:rsidRPr="00887F4D">
        <w:rPr>
          <w:rFonts w:ascii="Arial" w:hAnsi="Arial" w:cs="Arial"/>
          <w:color w:val="FF0000"/>
          <w:sz w:val="22"/>
          <w:szCs w:val="22"/>
        </w:rPr>
        <w:t>.</w:t>
      </w:r>
      <w:r>
        <w:rPr>
          <w:rFonts w:ascii="Arial" w:hAnsi="Arial" w:cs="Arial"/>
          <w:color w:val="FF0000"/>
          <w:sz w:val="22"/>
          <w:szCs w:val="22"/>
        </w:rPr>
        <w:t xml:space="preserve"> </w:t>
      </w:r>
      <w:r w:rsidRPr="00701DE2">
        <w:rPr>
          <w:rFonts w:ascii="Arial" w:hAnsi="Arial" w:cs="Arial"/>
          <w:b/>
          <w:color w:val="FF0000"/>
          <w:sz w:val="22"/>
          <w:szCs w:val="22"/>
        </w:rPr>
        <w:t>Method</w:t>
      </w:r>
      <w:r>
        <w:rPr>
          <w:rFonts w:ascii="Arial" w:hAnsi="Arial" w:cs="Arial"/>
          <w:color w:val="FF0000"/>
          <w:sz w:val="22"/>
          <w:szCs w:val="22"/>
        </w:rPr>
        <w:t xml:space="preserve">: The sample was selected using reliable change index to define ‘responders’ and ‘non-responders’ to key outcome measures. </w:t>
      </w:r>
      <w:r w:rsidRPr="00220E51">
        <w:rPr>
          <w:rFonts w:ascii="Arial" w:hAnsi="Arial" w:cs="Arial"/>
          <w:sz w:val="22"/>
          <w:szCs w:val="22"/>
        </w:rPr>
        <w:t xml:space="preserve">We surveyed a range of treatment-related, systemic, practical and personal factors that may have affected their treatment, and then compared </w:t>
      </w:r>
      <w:r>
        <w:rPr>
          <w:rFonts w:ascii="Arial" w:hAnsi="Arial" w:cs="Arial"/>
          <w:sz w:val="22"/>
          <w:szCs w:val="22"/>
        </w:rPr>
        <w:t>‘</w:t>
      </w:r>
      <w:r w:rsidRPr="008A5BB9">
        <w:rPr>
          <w:rFonts w:ascii="Arial" w:hAnsi="Arial" w:cs="Arial"/>
          <w:color w:val="FF0000"/>
          <w:sz w:val="22"/>
          <w:szCs w:val="22"/>
        </w:rPr>
        <w:t xml:space="preserve">non-responders’ to ‘responders’, </w:t>
      </w:r>
      <w:r w:rsidRPr="00220E51">
        <w:rPr>
          <w:rFonts w:ascii="Arial" w:hAnsi="Arial" w:cs="Arial"/>
          <w:sz w:val="22"/>
          <w:szCs w:val="22"/>
        </w:rPr>
        <w:t>control</w:t>
      </w:r>
      <w:r>
        <w:rPr>
          <w:rFonts w:ascii="Arial" w:hAnsi="Arial" w:cs="Arial"/>
          <w:sz w:val="22"/>
          <w:szCs w:val="22"/>
        </w:rPr>
        <w:t>ling</w:t>
      </w:r>
      <w:r w:rsidRPr="00220E51">
        <w:rPr>
          <w:rFonts w:ascii="Arial" w:hAnsi="Arial" w:cs="Arial"/>
          <w:sz w:val="22"/>
          <w:szCs w:val="22"/>
        </w:rPr>
        <w:t xml:space="preserve"> for factors that might not be causal or specific to non-response.</w:t>
      </w:r>
      <w:r>
        <w:rPr>
          <w:rFonts w:ascii="Arial" w:hAnsi="Arial" w:cs="Arial"/>
          <w:sz w:val="22"/>
          <w:szCs w:val="22"/>
        </w:rPr>
        <w:t xml:space="preserve"> </w:t>
      </w:r>
      <w:r w:rsidRPr="00701DE2">
        <w:rPr>
          <w:rFonts w:ascii="Arial" w:hAnsi="Arial" w:cs="Arial"/>
          <w:b/>
          <w:color w:val="FF0000"/>
          <w:sz w:val="22"/>
          <w:szCs w:val="22"/>
        </w:rPr>
        <w:t>Results:</w:t>
      </w:r>
      <w:r>
        <w:rPr>
          <w:rFonts w:ascii="Arial" w:hAnsi="Arial" w:cs="Arial"/>
          <w:sz w:val="22"/>
          <w:szCs w:val="22"/>
        </w:rPr>
        <w:t xml:space="preserve"> </w:t>
      </w:r>
      <w:r w:rsidRPr="00220E51">
        <w:rPr>
          <w:rFonts w:ascii="Arial" w:hAnsi="Arial" w:cs="Arial"/>
          <w:sz w:val="22"/>
          <w:szCs w:val="22"/>
        </w:rPr>
        <w:t xml:space="preserve">Logistic regression analysis showed two themes that distinguished the groups, ‘People outside programme’ and ‘Emotional state’. </w:t>
      </w:r>
      <w:r w:rsidRPr="00701DE2">
        <w:rPr>
          <w:rFonts w:ascii="Arial" w:hAnsi="Arial" w:cs="Arial"/>
          <w:b/>
          <w:color w:val="FF0000"/>
          <w:sz w:val="22"/>
          <w:szCs w:val="22"/>
        </w:rPr>
        <w:t>Discussion:</w:t>
      </w:r>
      <w:r w:rsidRPr="00220E51">
        <w:rPr>
          <w:rFonts w:ascii="Arial" w:hAnsi="Arial" w:cs="Arial"/>
          <w:sz w:val="22"/>
          <w:szCs w:val="22"/>
        </w:rPr>
        <w:t xml:space="preserve"> These data have </w:t>
      </w:r>
      <w:r>
        <w:rPr>
          <w:rFonts w:ascii="Arial" w:hAnsi="Arial" w:cs="Arial"/>
          <w:sz w:val="22"/>
          <w:szCs w:val="22"/>
        </w:rPr>
        <w:t>clinical implications,</w:t>
      </w:r>
      <w:r w:rsidRPr="00220E51">
        <w:rPr>
          <w:rFonts w:ascii="Arial" w:hAnsi="Arial" w:cs="Arial"/>
          <w:sz w:val="22"/>
          <w:szCs w:val="22"/>
        </w:rPr>
        <w:t xml:space="preserve"> as such factors can be addressed directly or incorporated into an assessment of treatment ‘readiness’. This study introduced a novel methodology for the investigation of </w:t>
      </w:r>
      <w:r>
        <w:rPr>
          <w:rFonts w:ascii="Arial" w:hAnsi="Arial" w:cs="Arial"/>
          <w:sz w:val="22"/>
          <w:szCs w:val="22"/>
        </w:rPr>
        <w:t xml:space="preserve">pain </w:t>
      </w:r>
      <w:r w:rsidRPr="00220E51">
        <w:rPr>
          <w:rFonts w:ascii="Arial" w:hAnsi="Arial" w:cs="Arial"/>
          <w:sz w:val="22"/>
          <w:szCs w:val="22"/>
        </w:rPr>
        <w:t xml:space="preserve">treatment response, which allowed </w:t>
      </w:r>
      <w:r w:rsidRPr="008A5BB9">
        <w:rPr>
          <w:rFonts w:ascii="Arial" w:hAnsi="Arial" w:cs="Arial"/>
          <w:color w:val="FF0000"/>
          <w:sz w:val="22"/>
          <w:szCs w:val="22"/>
        </w:rPr>
        <w:t>a broad</w:t>
      </w:r>
      <w:r>
        <w:rPr>
          <w:rFonts w:ascii="Arial" w:hAnsi="Arial" w:cs="Arial"/>
          <w:sz w:val="22"/>
          <w:szCs w:val="22"/>
        </w:rPr>
        <w:t xml:space="preserve"> </w:t>
      </w:r>
      <w:r w:rsidRPr="00220E51">
        <w:rPr>
          <w:rFonts w:ascii="Arial" w:hAnsi="Arial" w:cs="Arial"/>
          <w:sz w:val="22"/>
          <w:szCs w:val="22"/>
        </w:rPr>
        <w:t>study</w:t>
      </w:r>
      <w:r>
        <w:rPr>
          <w:rFonts w:ascii="Arial" w:hAnsi="Arial" w:cs="Arial"/>
          <w:sz w:val="22"/>
          <w:szCs w:val="22"/>
        </w:rPr>
        <w:t xml:space="preserve"> </w:t>
      </w:r>
      <w:r w:rsidRPr="008A5BB9">
        <w:rPr>
          <w:rFonts w:ascii="Arial" w:hAnsi="Arial" w:cs="Arial"/>
          <w:color w:val="FF0000"/>
          <w:sz w:val="22"/>
          <w:szCs w:val="22"/>
        </w:rPr>
        <w:t>of</w:t>
      </w:r>
      <w:r w:rsidRPr="00220E51">
        <w:rPr>
          <w:rFonts w:ascii="Arial" w:hAnsi="Arial" w:cs="Arial"/>
          <w:sz w:val="22"/>
          <w:szCs w:val="22"/>
        </w:rPr>
        <w:t xml:space="preserve"> </w:t>
      </w:r>
      <w:r>
        <w:rPr>
          <w:rFonts w:ascii="Arial" w:hAnsi="Arial" w:cs="Arial"/>
          <w:sz w:val="22"/>
          <w:szCs w:val="22"/>
        </w:rPr>
        <w:t>clinically relevant variables</w:t>
      </w:r>
      <w:r w:rsidRPr="00220E51">
        <w:rPr>
          <w:rFonts w:ascii="Arial" w:hAnsi="Arial" w:cs="Arial"/>
          <w:sz w:val="22"/>
          <w:szCs w:val="22"/>
        </w:rPr>
        <w:t xml:space="preserve">, but with greater rigour than </w:t>
      </w:r>
      <w:r w:rsidRPr="008A5BB9">
        <w:rPr>
          <w:rFonts w:ascii="Arial" w:hAnsi="Arial" w:cs="Arial"/>
          <w:color w:val="FF0000"/>
          <w:sz w:val="22"/>
          <w:szCs w:val="22"/>
        </w:rPr>
        <w:t>conventional</w:t>
      </w:r>
      <w:r w:rsidRPr="00220E51">
        <w:rPr>
          <w:rFonts w:ascii="Arial" w:hAnsi="Arial" w:cs="Arial"/>
          <w:sz w:val="22"/>
          <w:szCs w:val="22"/>
        </w:rPr>
        <w:t xml:space="preserve"> </w:t>
      </w:r>
      <w:r>
        <w:rPr>
          <w:rFonts w:ascii="Arial" w:hAnsi="Arial" w:cs="Arial"/>
          <w:sz w:val="22"/>
          <w:szCs w:val="22"/>
        </w:rPr>
        <w:t>self-report</w:t>
      </w:r>
      <w:r w:rsidRPr="008A5BB9">
        <w:rPr>
          <w:rFonts w:ascii="Arial" w:hAnsi="Arial" w:cs="Arial"/>
          <w:color w:val="FF0000"/>
          <w:sz w:val="22"/>
          <w:szCs w:val="22"/>
        </w:rPr>
        <w:t xml:space="preserve">s of </w:t>
      </w:r>
      <w:r w:rsidRPr="00220E51">
        <w:rPr>
          <w:rFonts w:ascii="Arial" w:hAnsi="Arial" w:cs="Arial"/>
          <w:sz w:val="22"/>
          <w:szCs w:val="22"/>
        </w:rPr>
        <w:t xml:space="preserve">‘helpful factors’ in treatment. </w:t>
      </w:r>
    </w:p>
    <w:p w14:paraId="6B72E90E" w14:textId="2B9B6F43" w:rsidR="00690A34" w:rsidRDefault="00690A34" w:rsidP="00BF5105">
      <w:pPr>
        <w:spacing w:line="480" w:lineRule="auto"/>
        <w:rPr>
          <w:rFonts w:ascii="Arial" w:hAnsi="Arial" w:cs="Arial"/>
          <w:sz w:val="22"/>
          <w:szCs w:val="22"/>
        </w:rPr>
      </w:pPr>
      <w:bookmarkStart w:id="0" w:name="_GoBack"/>
      <w:bookmarkEnd w:id="0"/>
    </w:p>
    <w:p w14:paraId="253168CB" w14:textId="77777777" w:rsidR="00344D9C" w:rsidRPr="00220E51" w:rsidRDefault="00344D9C" w:rsidP="00BF5105">
      <w:pPr>
        <w:spacing w:line="480" w:lineRule="auto"/>
        <w:rPr>
          <w:rFonts w:ascii="Arial" w:hAnsi="Arial" w:cs="Arial"/>
          <w:sz w:val="22"/>
          <w:szCs w:val="22"/>
        </w:rPr>
      </w:pPr>
    </w:p>
    <w:p w14:paraId="3263A484" w14:textId="77777777" w:rsidR="009673D6" w:rsidRPr="00220E51" w:rsidRDefault="009673D6" w:rsidP="00BF5105">
      <w:pPr>
        <w:spacing w:line="480" w:lineRule="auto"/>
        <w:rPr>
          <w:rFonts w:ascii="Arial" w:hAnsi="Arial" w:cs="Arial"/>
          <w:sz w:val="22"/>
          <w:szCs w:val="22"/>
        </w:rPr>
      </w:pPr>
    </w:p>
    <w:p w14:paraId="33AB1B1E" w14:textId="77777777" w:rsidR="009673D6" w:rsidRPr="00220E51" w:rsidRDefault="009673D6" w:rsidP="00BF5105">
      <w:pPr>
        <w:spacing w:line="480" w:lineRule="auto"/>
        <w:rPr>
          <w:rFonts w:ascii="Arial" w:hAnsi="Arial" w:cs="Arial"/>
          <w:b/>
          <w:sz w:val="22"/>
          <w:szCs w:val="22"/>
        </w:rPr>
      </w:pPr>
    </w:p>
    <w:p w14:paraId="463C2C75" w14:textId="77777777" w:rsidR="009673D6" w:rsidRPr="00220E51" w:rsidRDefault="009673D6" w:rsidP="00BF5105">
      <w:pPr>
        <w:spacing w:line="480" w:lineRule="auto"/>
        <w:rPr>
          <w:rFonts w:ascii="Arial" w:hAnsi="Arial" w:cs="Arial"/>
          <w:b/>
          <w:sz w:val="22"/>
          <w:szCs w:val="22"/>
        </w:rPr>
      </w:pPr>
    </w:p>
    <w:p w14:paraId="0D826730" w14:textId="77777777" w:rsidR="0021126D" w:rsidRPr="00220E51" w:rsidRDefault="009673D6" w:rsidP="00BF5105">
      <w:pPr>
        <w:spacing w:line="480" w:lineRule="auto"/>
        <w:rPr>
          <w:rFonts w:ascii="Arial" w:hAnsi="Arial" w:cs="Arial"/>
          <w:b/>
          <w:sz w:val="22"/>
          <w:szCs w:val="22"/>
        </w:rPr>
      </w:pPr>
      <w:r w:rsidRPr="00220E51">
        <w:rPr>
          <w:rFonts w:ascii="Arial" w:hAnsi="Arial" w:cs="Arial"/>
          <w:b/>
          <w:sz w:val="22"/>
          <w:szCs w:val="22"/>
        </w:rPr>
        <w:t>Keywords</w:t>
      </w:r>
    </w:p>
    <w:p w14:paraId="5EBD5861" w14:textId="77777777" w:rsidR="0021126D" w:rsidRPr="00220E51" w:rsidRDefault="0021126D" w:rsidP="00BF5105">
      <w:pPr>
        <w:spacing w:line="480" w:lineRule="auto"/>
        <w:rPr>
          <w:rFonts w:ascii="Arial" w:hAnsi="Arial" w:cs="Arial"/>
          <w:b/>
          <w:sz w:val="22"/>
          <w:szCs w:val="22"/>
        </w:rPr>
      </w:pPr>
    </w:p>
    <w:p w14:paraId="20F46711" w14:textId="77777777" w:rsidR="0021126D" w:rsidRPr="00220E51" w:rsidRDefault="0021126D" w:rsidP="00BF5105">
      <w:pPr>
        <w:spacing w:line="480" w:lineRule="auto"/>
        <w:rPr>
          <w:rFonts w:ascii="Arial" w:hAnsi="Arial" w:cs="Arial"/>
          <w:sz w:val="22"/>
          <w:szCs w:val="22"/>
        </w:rPr>
      </w:pPr>
      <w:r w:rsidRPr="00220E51">
        <w:rPr>
          <w:rFonts w:ascii="Arial" w:hAnsi="Arial" w:cs="Arial"/>
          <w:sz w:val="22"/>
          <w:szCs w:val="22"/>
        </w:rPr>
        <w:t>Cognitive-behavioural therapy; Acceptance and Commitment Therapy; Treatment Process; Outcome; Pain Management; Treatment Failure</w:t>
      </w:r>
    </w:p>
    <w:p w14:paraId="5B22CB3E" w14:textId="77777777" w:rsidR="00690A34" w:rsidRPr="00220E51" w:rsidRDefault="00690A34" w:rsidP="00BF5105">
      <w:pPr>
        <w:spacing w:line="480" w:lineRule="auto"/>
        <w:rPr>
          <w:rFonts w:ascii="Arial" w:hAnsi="Arial" w:cs="Arial"/>
          <w:b/>
          <w:sz w:val="22"/>
          <w:szCs w:val="22"/>
        </w:rPr>
      </w:pPr>
      <w:r w:rsidRPr="00220E51">
        <w:rPr>
          <w:rFonts w:ascii="Arial" w:hAnsi="Arial" w:cs="Arial"/>
          <w:b/>
          <w:sz w:val="22"/>
          <w:szCs w:val="22"/>
        </w:rPr>
        <w:br w:type="page"/>
      </w:r>
    </w:p>
    <w:p w14:paraId="60DC0215" w14:textId="77777777" w:rsidR="0021126D" w:rsidRPr="00220E51" w:rsidRDefault="0021126D" w:rsidP="00BF5105">
      <w:pPr>
        <w:spacing w:line="480" w:lineRule="auto"/>
        <w:rPr>
          <w:rFonts w:ascii="Arial" w:hAnsi="Arial" w:cs="Arial"/>
          <w:b/>
          <w:sz w:val="22"/>
          <w:szCs w:val="22"/>
        </w:rPr>
      </w:pPr>
    </w:p>
    <w:p w14:paraId="7348C36E" w14:textId="77777777" w:rsidR="0021126D" w:rsidRPr="00220E51" w:rsidRDefault="0021126D" w:rsidP="00BF5105">
      <w:pPr>
        <w:spacing w:line="480" w:lineRule="auto"/>
        <w:rPr>
          <w:rFonts w:ascii="Arial" w:hAnsi="Arial" w:cs="Arial"/>
          <w:b/>
          <w:sz w:val="22"/>
          <w:szCs w:val="22"/>
        </w:rPr>
      </w:pPr>
    </w:p>
    <w:p w14:paraId="497E5111" w14:textId="10218BAD" w:rsidR="00690A34" w:rsidRPr="00220E51" w:rsidRDefault="00690A34" w:rsidP="00BF5105">
      <w:pPr>
        <w:spacing w:line="480" w:lineRule="auto"/>
        <w:rPr>
          <w:rFonts w:ascii="Arial" w:hAnsi="Arial" w:cs="Arial"/>
          <w:b/>
          <w:sz w:val="22"/>
          <w:szCs w:val="22"/>
        </w:rPr>
      </w:pPr>
      <w:r w:rsidRPr="00220E51">
        <w:rPr>
          <w:rFonts w:ascii="Arial" w:hAnsi="Arial" w:cs="Arial"/>
          <w:b/>
          <w:sz w:val="22"/>
          <w:szCs w:val="22"/>
        </w:rPr>
        <w:t>Introduction</w:t>
      </w:r>
    </w:p>
    <w:p w14:paraId="0DF8C7A1" w14:textId="77777777" w:rsidR="00690A34" w:rsidRPr="00220E51" w:rsidRDefault="00690A34" w:rsidP="00BF5105">
      <w:pPr>
        <w:spacing w:line="480" w:lineRule="auto"/>
        <w:rPr>
          <w:rFonts w:ascii="Arial" w:hAnsi="Arial" w:cs="Arial"/>
          <w:b/>
          <w:sz w:val="22"/>
          <w:szCs w:val="22"/>
        </w:rPr>
      </w:pPr>
    </w:p>
    <w:p w14:paraId="1C0F25C9" w14:textId="109B5152" w:rsidR="0074528E" w:rsidRPr="00220E51" w:rsidRDefault="0074528E" w:rsidP="00BF5105">
      <w:pPr>
        <w:spacing w:line="480" w:lineRule="auto"/>
        <w:rPr>
          <w:rFonts w:ascii="Arial" w:hAnsi="Arial" w:cs="Arial"/>
          <w:sz w:val="22"/>
          <w:szCs w:val="22"/>
        </w:rPr>
      </w:pPr>
      <w:r w:rsidRPr="00220E51">
        <w:rPr>
          <w:rFonts w:ascii="Arial" w:hAnsi="Arial" w:cs="Arial"/>
          <w:sz w:val="22"/>
          <w:szCs w:val="22"/>
        </w:rPr>
        <w:t xml:space="preserve">The need to understand the therapeutic processes underpinning successful psychological treatment </w:t>
      </w:r>
      <w:r w:rsidR="006345D7">
        <w:rPr>
          <w:rFonts w:ascii="Arial" w:hAnsi="Arial" w:cs="Arial"/>
          <w:sz w:val="22"/>
          <w:szCs w:val="22"/>
        </w:rPr>
        <w:t xml:space="preserve">for pain </w:t>
      </w:r>
      <w:r w:rsidRPr="00220E51">
        <w:rPr>
          <w:rFonts w:ascii="Arial" w:hAnsi="Arial" w:cs="Arial"/>
          <w:sz w:val="22"/>
          <w:szCs w:val="22"/>
        </w:rPr>
        <w:t xml:space="preserve">is </w:t>
      </w:r>
      <w:r w:rsidR="00402C97" w:rsidRPr="00220E51">
        <w:rPr>
          <w:rFonts w:ascii="Arial" w:hAnsi="Arial" w:cs="Arial"/>
          <w:sz w:val="22"/>
          <w:szCs w:val="22"/>
        </w:rPr>
        <w:t>paramount</w:t>
      </w:r>
      <w:r w:rsidRPr="00220E51">
        <w:rPr>
          <w:rFonts w:ascii="Arial" w:hAnsi="Arial" w:cs="Arial"/>
          <w:sz w:val="22"/>
          <w:szCs w:val="22"/>
        </w:rPr>
        <w:t xml:space="preserve">. </w:t>
      </w:r>
      <w:r w:rsidR="00F47CA0" w:rsidRPr="00220E51">
        <w:rPr>
          <w:rFonts w:ascii="Arial" w:hAnsi="Arial" w:cs="Arial"/>
          <w:sz w:val="22"/>
          <w:szCs w:val="22"/>
        </w:rPr>
        <w:t xml:space="preserve">Historically, psychological therapy research has </w:t>
      </w:r>
      <w:r w:rsidR="00952C59">
        <w:rPr>
          <w:rFonts w:ascii="Arial" w:hAnsi="Arial" w:cs="Arial"/>
          <w:sz w:val="22"/>
          <w:szCs w:val="22"/>
        </w:rPr>
        <w:t xml:space="preserve">generally </w:t>
      </w:r>
      <w:r w:rsidR="00F47CA0" w:rsidRPr="00220E51">
        <w:rPr>
          <w:rFonts w:ascii="Arial" w:hAnsi="Arial" w:cs="Arial"/>
          <w:sz w:val="22"/>
          <w:szCs w:val="22"/>
        </w:rPr>
        <w:t>focused on validating ‘packages’ of treatment with little understanding of the ‘active ingredients’ of positive outcome</w:t>
      </w:r>
      <w:r w:rsidR="009E13E2" w:rsidRPr="00220E51">
        <w:rPr>
          <w:rFonts w:ascii="Arial" w:hAnsi="Arial" w:cs="Arial"/>
          <w:sz w:val="22"/>
          <w:szCs w:val="22"/>
        </w:rPr>
        <w:t xml:space="preserve"> (</w:t>
      </w:r>
      <w:r w:rsidR="00666A8C">
        <w:rPr>
          <w:rFonts w:ascii="Arial" w:hAnsi="Arial" w:cs="Arial"/>
          <w:sz w:val="22"/>
          <w:szCs w:val="22"/>
        </w:rPr>
        <w:t xml:space="preserve">Medical Research Council </w:t>
      </w:r>
      <w:r w:rsidR="00666A8C" w:rsidRPr="00666A8C">
        <w:rPr>
          <w:rFonts w:ascii="Arial" w:hAnsi="Arial" w:cs="Arial"/>
          <w:sz w:val="22"/>
          <w:szCs w:val="22"/>
        </w:rPr>
        <w:t>[</w:t>
      </w:r>
      <w:r w:rsidR="00666A8C">
        <w:rPr>
          <w:rFonts w:ascii="Arial" w:hAnsi="Arial" w:cs="Arial"/>
          <w:sz w:val="22"/>
          <w:szCs w:val="22"/>
        </w:rPr>
        <w:t>MRC</w:t>
      </w:r>
      <w:r w:rsidR="00666A8C" w:rsidRPr="00666A8C">
        <w:rPr>
          <w:rFonts w:ascii="Arial" w:hAnsi="Arial" w:cs="Arial"/>
          <w:sz w:val="22"/>
          <w:szCs w:val="22"/>
        </w:rPr>
        <w:t>]</w:t>
      </w:r>
      <w:r w:rsidR="00666A8C">
        <w:rPr>
          <w:rFonts w:ascii="Arial" w:hAnsi="Arial" w:cs="Arial"/>
          <w:sz w:val="22"/>
          <w:szCs w:val="22"/>
        </w:rPr>
        <w:t>, 2008</w:t>
      </w:r>
      <w:r w:rsidR="009E13E2" w:rsidRPr="00220E51">
        <w:rPr>
          <w:rFonts w:ascii="Arial" w:hAnsi="Arial" w:cs="Arial"/>
          <w:sz w:val="22"/>
          <w:szCs w:val="22"/>
        </w:rPr>
        <w:t>)</w:t>
      </w:r>
      <w:r w:rsidR="00F47CA0" w:rsidRPr="00220E51">
        <w:rPr>
          <w:rFonts w:ascii="Arial" w:hAnsi="Arial" w:cs="Arial"/>
          <w:sz w:val="22"/>
          <w:szCs w:val="22"/>
        </w:rPr>
        <w:t>. However, w</w:t>
      </w:r>
      <w:r w:rsidRPr="00220E51">
        <w:rPr>
          <w:rFonts w:ascii="Arial" w:hAnsi="Arial" w:cs="Arial"/>
          <w:sz w:val="22"/>
          <w:szCs w:val="22"/>
        </w:rPr>
        <w:t xml:space="preserve">ithout </w:t>
      </w:r>
      <w:r w:rsidR="00F47CA0" w:rsidRPr="00220E51">
        <w:rPr>
          <w:rFonts w:ascii="Arial" w:hAnsi="Arial" w:cs="Arial"/>
          <w:sz w:val="22"/>
          <w:szCs w:val="22"/>
        </w:rPr>
        <w:t xml:space="preserve">such </w:t>
      </w:r>
      <w:r w:rsidRPr="00220E51">
        <w:rPr>
          <w:rFonts w:ascii="Arial" w:hAnsi="Arial" w:cs="Arial"/>
          <w:sz w:val="22"/>
          <w:szCs w:val="22"/>
        </w:rPr>
        <w:t>an understanding</w:t>
      </w:r>
      <w:r w:rsidR="00F47CA0" w:rsidRPr="00220E51">
        <w:rPr>
          <w:rFonts w:ascii="Arial" w:hAnsi="Arial" w:cs="Arial"/>
          <w:sz w:val="22"/>
          <w:szCs w:val="22"/>
        </w:rPr>
        <w:t>,</w:t>
      </w:r>
      <w:r w:rsidRPr="00220E51">
        <w:rPr>
          <w:rFonts w:ascii="Arial" w:hAnsi="Arial" w:cs="Arial"/>
          <w:sz w:val="22"/>
          <w:szCs w:val="22"/>
        </w:rPr>
        <w:t xml:space="preserve"> the community of applied researchers is unlikely to be able to generate treatments of increasing effect size. Also, unanticipated findings, such as the failure of well-conceived treatments (</w:t>
      </w:r>
      <w:r w:rsidR="00402C97" w:rsidRPr="00220E51">
        <w:rPr>
          <w:rFonts w:ascii="Arial" w:hAnsi="Arial" w:cs="Arial"/>
          <w:sz w:val="22"/>
          <w:szCs w:val="22"/>
        </w:rPr>
        <w:t>Williams et al., 2014)</w:t>
      </w:r>
      <w:r w:rsidRPr="00220E51">
        <w:rPr>
          <w:rFonts w:ascii="Arial" w:hAnsi="Arial" w:cs="Arial"/>
          <w:sz w:val="22"/>
          <w:szCs w:val="22"/>
        </w:rPr>
        <w:t xml:space="preserve"> are likely to go unexplained. </w:t>
      </w:r>
    </w:p>
    <w:p w14:paraId="0C294FA3" w14:textId="77777777" w:rsidR="00F47CA0" w:rsidRPr="00220E51" w:rsidRDefault="00F47CA0" w:rsidP="00BF5105">
      <w:pPr>
        <w:spacing w:line="480" w:lineRule="auto"/>
        <w:rPr>
          <w:rFonts w:ascii="Arial" w:hAnsi="Arial" w:cs="Arial"/>
          <w:sz w:val="22"/>
          <w:szCs w:val="22"/>
        </w:rPr>
      </w:pPr>
    </w:p>
    <w:p w14:paraId="27E0DBDC" w14:textId="4EFF1F0C" w:rsidR="0074528E" w:rsidRPr="00220E51" w:rsidRDefault="00666A8C" w:rsidP="00BF5105">
      <w:pPr>
        <w:spacing w:line="480" w:lineRule="auto"/>
        <w:rPr>
          <w:rFonts w:ascii="Arial" w:hAnsi="Arial" w:cs="Arial"/>
          <w:sz w:val="22"/>
          <w:szCs w:val="22"/>
        </w:rPr>
      </w:pPr>
      <w:r>
        <w:rPr>
          <w:rFonts w:ascii="Arial" w:hAnsi="Arial" w:cs="Arial"/>
          <w:sz w:val="22"/>
          <w:szCs w:val="22"/>
        </w:rPr>
        <w:t>To truly understand successful treatment</w:t>
      </w:r>
      <w:r w:rsidR="00EE53D2">
        <w:rPr>
          <w:rFonts w:ascii="Arial" w:hAnsi="Arial" w:cs="Arial"/>
          <w:sz w:val="22"/>
          <w:szCs w:val="22"/>
        </w:rPr>
        <w:t>,</w:t>
      </w:r>
      <w:r>
        <w:rPr>
          <w:rFonts w:ascii="Arial" w:hAnsi="Arial" w:cs="Arial"/>
          <w:sz w:val="22"/>
          <w:szCs w:val="22"/>
        </w:rPr>
        <w:t xml:space="preserve"> a better understanding of its counterpart is necessary</w:t>
      </w:r>
      <w:r w:rsidR="0074528E" w:rsidRPr="00220E51">
        <w:rPr>
          <w:rFonts w:ascii="Arial" w:hAnsi="Arial" w:cs="Arial"/>
          <w:sz w:val="22"/>
          <w:szCs w:val="22"/>
        </w:rPr>
        <w:t xml:space="preserve">. </w:t>
      </w:r>
      <w:r w:rsidR="00F47CA0" w:rsidRPr="00220E51">
        <w:rPr>
          <w:rFonts w:ascii="Arial" w:hAnsi="Arial" w:cs="Arial"/>
          <w:sz w:val="22"/>
          <w:szCs w:val="22"/>
        </w:rPr>
        <w:t xml:space="preserve">Psychological treatment studies </w:t>
      </w:r>
      <w:r w:rsidR="00952C59">
        <w:rPr>
          <w:rFonts w:ascii="Arial" w:hAnsi="Arial" w:cs="Arial"/>
          <w:sz w:val="22"/>
          <w:szCs w:val="22"/>
        </w:rPr>
        <w:t xml:space="preserve">for pain </w:t>
      </w:r>
      <w:r w:rsidR="00F47CA0" w:rsidRPr="00220E51">
        <w:rPr>
          <w:rFonts w:ascii="Arial" w:hAnsi="Arial" w:cs="Arial"/>
          <w:sz w:val="22"/>
          <w:szCs w:val="22"/>
        </w:rPr>
        <w:t xml:space="preserve">typically report significant group </w:t>
      </w:r>
      <w:r w:rsidR="0074528E" w:rsidRPr="00220E51">
        <w:rPr>
          <w:rFonts w:ascii="Arial" w:hAnsi="Arial" w:cs="Arial"/>
          <w:sz w:val="22"/>
          <w:szCs w:val="22"/>
        </w:rPr>
        <w:t>mean improvements</w:t>
      </w:r>
      <w:r w:rsidR="00F47CA0" w:rsidRPr="00220E51">
        <w:rPr>
          <w:rFonts w:ascii="Arial" w:hAnsi="Arial" w:cs="Arial"/>
          <w:sz w:val="22"/>
          <w:szCs w:val="22"/>
        </w:rPr>
        <w:t>, yet these groups</w:t>
      </w:r>
      <w:r w:rsidR="0074528E" w:rsidRPr="00220E51">
        <w:rPr>
          <w:rFonts w:ascii="Arial" w:hAnsi="Arial" w:cs="Arial"/>
          <w:sz w:val="22"/>
          <w:szCs w:val="22"/>
        </w:rPr>
        <w:t xml:space="preserve"> will include many participants who </w:t>
      </w:r>
      <w:r w:rsidR="00402C97" w:rsidRPr="00220E51">
        <w:rPr>
          <w:rFonts w:ascii="Arial" w:hAnsi="Arial" w:cs="Arial"/>
          <w:sz w:val="22"/>
          <w:szCs w:val="22"/>
        </w:rPr>
        <w:t>had no</w:t>
      </w:r>
      <w:r w:rsidR="0074528E" w:rsidRPr="00220E51">
        <w:rPr>
          <w:rFonts w:ascii="Arial" w:hAnsi="Arial" w:cs="Arial"/>
          <w:sz w:val="22"/>
          <w:szCs w:val="22"/>
        </w:rPr>
        <w:t xml:space="preserve"> improve</w:t>
      </w:r>
      <w:r w:rsidR="00402C97" w:rsidRPr="00220E51">
        <w:rPr>
          <w:rFonts w:ascii="Arial" w:hAnsi="Arial" w:cs="Arial"/>
          <w:sz w:val="22"/>
          <w:szCs w:val="22"/>
        </w:rPr>
        <w:t>ment</w:t>
      </w:r>
      <w:r w:rsidR="0074528E" w:rsidRPr="00220E51">
        <w:rPr>
          <w:rFonts w:ascii="Arial" w:hAnsi="Arial" w:cs="Arial"/>
          <w:sz w:val="22"/>
          <w:szCs w:val="22"/>
        </w:rPr>
        <w:t xml:space="preserve">. A review of psychological </w:t>
      </w:r>
      <w:r w:rsidR="00402C97" w:rsidRPr="00220E51">
        <w:rPr>
          <w:rFonts w:ascii="Arial" w:hAnsi="Arial" w:cs="Arial"/>
          <w:sz w:val="22"/>
          <w:szCs w:val="22"/>
        </w:rPr>
        <w:t xml:space="preserve">treatment research in the </w:t>
      </w:r>
      <w:r w:rsidR="0074528E" w:rsidRPr="00220E51">
        <w:rPr>
          <w:rFonts w:ascii="Arial" w:hAnsi="Arial" w:cs="Arial"/>
          <w:sz w:val="22"/>
          <w:szCs w:val="22"/>
        </w:rPr>
        <w:t xml:space="preserve">chronic pain </w:t>
      </w:r>
      <w:r w:rsidR="00402C97" w:rsidRPr="00220E51">
        <w:rPr>
          <w:rFonts w:ascii="Arial" w:hAnsi="Arial" w:cs="Arial"/>
          <w:sz w:val="22"/>
          <w:szCs w:val="22"/>
        </w:rPr>
        <w:t xml:space="preserve">literature </w:t>
      </w:r>
      <w:r w:rsidR="0074528E" w:rsidRPr="00220E51">
        <w:rPr>
          <w:rFonts w:ascii="Arial" w:hAnsi="Arial" w:cs="Arial"/>
          <w:sz w:val="22"/>
          <w:szCs w:val="22"/>
        </w:rPr>
        <w:t xml:space="preserve">advised </w:t>
      </w:r>
      <w:r w:rsidR="002F37CF" w:rsidRPr="00220E51">
        <w:rPr>
          <w:rFonts w:ascii="Arial" w:hAnsi="Arial" w:cs="Arial"/>
          <w:sz w:val="22"/>
          <w:szCs w:val="22"/>
        </w:rPr>
        <w:t>the use of</w:t>
      </w:r>
      <w:r w:rsidR="0074528E" w:rsidRPr="00220E51">
        <w:rPr>
          <w:rFonts w:ascii="Arial" w:hAnsi="Arial" w:cs="Arial"/>
          <w:sz w:val="22"/>
          <w:szCs w:val="22"/>
        </w:rPr>
        <w:t xml:space="preserve"> </w:t>
      </w:r>
      <w:r w:rsidR="00402C97" w:rsidRPr="00220E51">
        <w:rPr>
          <w:rFonts w:ascii="Arial" w:hAnsi="Arial" w:cs="Arial"/>
          <w:sz w:val="22"/>
          <w:szCs w:val="22"/>
        </w:rPr>
        <w:t>responder analyse</w:t>
      </w:r>
      <w:r w:rsidR="0074528E" w:rsidRPr="00220E51">
        <w:rPr>
          <w:rFonts w:ascii="Arial" w:hAnsi="Arial" w:cs="Arial"/>
          <w:sz w:val="22"/>
          <w:szCs w:val="22"/>
        </w:rPr>
        <w:t>s and atte</w:t>
      </w:r>
      <w:r w:rsidR="00766B4F" w:rsidRPr="00220E51">
        <w:rPr>
          <w:rFonts w:ascii="Arial" w:hAnsi="Arial" w:cs="Arial"/>
          <w:sz w:val="22"/>
          <w:szCs w:val="22"/>
        </w:rPr>
        <w:t>ntion to adverse events (Morley</w:t>
      </w:r>
      <w:r w:rsidR="0074528E" w:rsidRPr="00220E51">
        <w:rPr>
          <w:rFonts w:ascii="Arial" w:hAnsi="Arial" w:cs="Arial"/>
          <w:sz w:val="22"/>
          <w:szCs w:val="22"/>
        </w:rPr>
        <w:t>,</w:t>
      </w:r>
      <w:r w:rsidR="00766B4F" w:rsidRPr="00220E51">
        <w:rPr>
          <w:rFonts w:ascii="Arial" w:hAnsi="Arial" w:cs="Arial"/>
          <w:sz w:val="22"/>
          <w:szCs w:val="22"/>
        </w:rPr>
        <w:t xml:space="preserve"> Williams &amp; Eccleston, </w:t>
      </w:r>
      <w:r w:rsidR="0074528E" w:rsidRPr="00220E51">
        <w:rPr>
          <w:rFonts w:ascii="Arial" w:hAnsi="Arial" w:cs="Arial"/>
          <w:sz w:val="22"/>
          <w:szCs w:val="22"/>
        </w:rPr>
        <w:t>2013)</w:t>
      </w:r>
      <w:r w:rsidR="00E901E0">
        <w:rPr>
          <w:rFonts w:ascii="Arial" w:hAnsi="Arial" w:cs="Arial"/>
          <w:sz w:val="22"/>
          <w:szCs w:val="22"/>
        </w:rPr>
        <w:t xml:space="preserve">, </w:t>
      </w:r>
      <w:r w:rsidR="00E901E0" w:rsidRPr="00EB49C7">
        <w:rPr>
          <w:rFonts w:ascii="Arial" w:hAnsi="Arial" w:cs="Arial"/>
          <w:color w:val="FF0000"/>
          <w:sz w:val="22"/>
          <w:szCs w:val="22"/>
        </w:rPr>
        <w:t>where the classification of individual patients as treatment responders, or non-responders, allows researchers to go beyond mean scores in the search for p</w:t>
      </w:r>
      <w:r w:rsidR="00E901E0">
        <w:rPr>
          <w:rFonts w:ascii="Arial" w:hAnsi="Arial" w:cs="Arial"/>
          <w:color w:val="FF0000"/>
          <w:sz w:val="22"/>
          <w:szCs w:val="22"/>
        </w:rPr>
        <w:t>redictors of treatment response</w:t>
      </w:r>
      <w:r w:rsidR="0074528E" w:rsidRPr="00220E51">
        <w:rPr>
          <w:rFonts w:ascii="Arial" w:hAnsi="Arial" w:cs="Arial"/>
          <w:sz w:val="22"/>
          <w:szCs w:val="22"/>
        </w:rPr>
        <w:t xml:space="preserve">. </w:t>
      </w:r>
      <w:r w:rsidR="00402C97" w:rsidRPr="00220E51">
        <w:rPr>
          <w:rFonts w:ascii="Arial" w:hAnsi="Arial" w:cs="Arial"/>
          <w:sz w:val="22"/>
          <w:szCs w:val="22"/>
        </w:rPr>
        <w:t>Currently</w:t>
      </w:r>
      <w:r w:rsidR="0074528E" w:rsidRPr="00220E51">
        <w:rPr>
          <w:rFonts w:ascii="Arial" w:hAnsi="Arial" w:cs="Arial"/>
          <w:sz w:val="22"/>
          <w:szCs w:val="22"/>
        </w:rPr>
        <w:t xml:space="preserve">, it remains unclear why </w:t>
      </w:r>
      <w:r w:rsidR="00952C59">
        <w:rPr>
          <w:rFonts w:ascii="Arial" w:hAnsi="Arial" w:cs="Arial"/>
          <w:sz w:val="22"/>
          <w:szCs w:val="22"/>
        </w:rPr>
        <w:t xml:space="preserve">some </w:t>
      </w:r>
      <w:r w:rsidR="0074528E" w:rsidRPr="00220E51">
        <w:rPr>
          <w:rFonts w:ascii="Arial" w:hAnsi="Arial" w:cs="Arial"/>
          <w:sz w:val="22"/>
          <w:szCs w:val="22"/>
        </w:rPr>
        <w:t>patients do not benefit</w:t>
      </w:r>
      <w:r w:rsidR="00F47CA0" w:rsidRPr="00220E51">
        <w:rPr>
          <w:rFonts w:ascii="Arial" w:hAnsi="Arial" w:cs="Arial"/>
          <w:sz w:val="22"/>
          <w:szCs w:val="22"/>
        </w:rPr>
        <w:t>.</w:t>
      </w:r>
      <w:r w:rsidR="00244EFF">
        <w:rPr>
          <w:rFonts w:ascii="Arial" w:hAnsi="Arial" w:cs="Arial"/>
          <w:sz w:val="22"/>
          <w:szCs w:val="22"/>
        </w:rPr>
        <w:t xml:space="preserve"> </w:t>
      </w:r>
    </w:p>
    <w:p w14:paraId="785F50DF" w14:textId="77777777" w:rsidR="00F47CA0" w:rsidRPr="00220E51" w:rsidRDefault="00F47CA0" w:rsidP="00BF5105">
      <w:pPr>
        <w:spacing w:line="480" w:lineRule="auto"/>
        <w:rPr>
          <w:rFonts w:ascii="Arial" w:hAnsi="Arial" w:cs="Arial"/>
          <w:sz w:val="22"/>
          <w:szCs w:val="22"/>
        </w:rPr>
      </w:pPr>
    </w:p>
    <w:p w14:paraId="7BAE85ED" w14:textId="381A60DC" w:rsidR="0074528E" w:rsidRPr="00220E51" w:rsidRDefault="00E901E0" w:rsidP="00BF5105">
      <w:pPr>
        <w:spacing w:line="480" w:lineRule="auto"/>
        <w:rPr>
          <w:rFonts w:ascii="Arial" w:hAnsi="Arial" w:cs="Arial"/>
          <w:sz w:val="22"/>
          <w:szCs w:val="22"/>
        </w:rPr>
      </w:pPr>
      <w:r>
        <w:rPr>
          <w:rFonts w:ascii="Arial" w:hAnsi="Arial" w:cs="Arial"/>
          <w:color w:val="FF0000"/>
          <w:sz w:val="22"/>
          <w:szCs w:val="22"/>
        </w:rPr>
        <w:t>Eliot (2010) identified t</w:t>
      </w:r>
      <w:r w:rsidRPr="009D43AD">
        <w:rPr>
          <w:rFonts w:ascii="Arial" w:hAnsi="Arial" w:cs="Arial"/>
          <w:color w:val="FF0000"/>
          <w:sz w:val="22"/>
          <w:szCs w:val="22"/>
        </w:rPr>
        <w:t>hree</w:t>
      </w:r>
      <w:r>
        <w:rPr>
          <w:rFonts w:ascii="Arial" w:hAnsi="Arial" w:cs="Arial"/>
          <w:color w:val="FF0000"/>
          <w:sz w:val="22"/>
          <w:szCs w:val="22"/>
        </w:rPr>
        <w:t xml:space="preserve"> key methodological approaches in therapy process research</w:t>
      </w:r>
      <w:r w:rsidR="002F70D1">
        <w:rPr>
          <w:rFonts w:ascii="Arial" w:hAnsi="Arial" w:cs="Arial"/>
          <w:sz w:val="22"/>
          <w:szCs w:val="22"/>
        </w:rPr>
        <w:t>,</w:t>
      </w:r>
      <w:r w:rsidR="00952C59">
        <w:rPr>
          <w:rFonts w:ascii="Arial" w:hAnsi="Arial" w:cs="Arial"/>
          <w:sz w:val="22"/>
          <w:szCs w:val="22"/>
        </w:rPr>
        <w:t xml:space="preserve"> </w:t>
      </w:r>
      <w:r w:rsidR="002F70D1">
        <w:rPr>
          <w:rFonts w:ascii="Arial" w:hAnsi="Arial" w:cs="Arial"/>
          <w:sz w:val="22"/>
          <w:szCs w:val="22"/>
        </w:rPr>
        <w:t xml:space="preserve">all of which can potentially </w:t>
      </w:r>
      <w:r w:rsidR="00952C59">
        <w:rPr>
          <w:rFonts w:ascii="Arial" w:hAnsi="Arial" w:cs="Arial"/>
          <w:sz w:val="22"/>
          <w:szCs w:val="22"/>
        </w:rPr>
        <w:t>be applied to pain treatment</w:t>
      </w:r>
      <w:r w:rsidR="0074528E" w:rsidRPr="00220E51">
        <w:rPr>
          <w:rFonts w:ascii="Arial" w:hAnsi="Arial" w:cs="Arial"/>
          <w:sz w:val="22"/>
          <w:szCs w:val="22"/>
        </w:rPr>
        <w:t xml:space="preserve">. ‘Process-outcome’ research is usually quantitative, using in-therapy variables to predict outcome; this includes examining mediators of treatment outcome in RCTs. ‘Sequential process’ designs </w:t>
      </w:r>
      <w:r w:rsidR="00C93940" w:rsidRPr="00220E51">
        <w:rPr>
          <w:rFonts w:ascii="Arial" w:hAnsi="Arial" w:cs="Arial"/>
          <w:sz w:val="22"/>
          <w:szCs w:val="22"/>
        </w:rPr>
        <w:t xml:space="preserve">analyse </w:t>
      </w:r>
      <w:r w:rsidR="0074528E" w:rsidRPr="00220E51">
        <w:rPr>
          <w:rFonts w:ascii="Arial" w:hAnsi="Arial" w:cs="Arial"/>
          <w:sz w:val="22"/>
          <w:szCs w:val="22"/>
        </w:rPr>
        <w:t xml:space="preserve">the events </w:t>
      </w:r>
      <w:r w:rsidR="00C93940" w:rsidRPr="00220E51">
        <w:rPr>
          <w:rFonts w:ascii="Arial" w:hAnsi="Arial" w:cs="Arial"/>
          <w:sz w:val="22"/>
          <w:szCs w:val="22"/>
        </w:rPr>
        <w:t>with</w:t>
      </w:r>
      <w:r w:rsidR="0074528E" w:rsidRPr="00220E51">
        <w:rPr>
          <w:rFonts w:ascii="Arial" w:hAnsi="Arial" w:cs="Arial"/>
          <w:sz w:val="22"/>
          <w:szCs w:val="22"/>
        </w:rPr>
        <w:t xml:space="preserve">in </w:t>
      </w:r>
      <w:r w:rsidR="00C93940" w:rsidRPr="00220E51">
        <w:rPr>
          <w:rFonts w:ascii="Arial" w:hAnsi="Arial" w:cs="Arial"/>
          <w:sz w:val="22"/>
          <w:szCs w:val="22"/>
        </w:rPr>
        <w:t xml:space="preserve">and between </w:t>
      </w:r>
      <w:r w:rsidR="0074528E" w:rsidRPr="00220E51">
        <w:rPr>
          <w:rFonts w:ascii="Arial" w:hAnsi="Arial" w:cs="Arial"/>
          <w:sz w:val="22"/>
          <w:szCs w:val="22"/>
        </w:rPr>
        <w:t xml:space="preserve">therapy sessions in order to establish </w:t>
      </w:r>
      <w:r w:rsidR="0074528E" w:rsidRPr="00220E51">
        <w:rPr>
          <w:rFonts w:ascii="Arial" w:hAnsi="Arial" w:cs="Arial"/>
          <w:sz w:val="22"/>
          <w:szCs w:val="22"/>
        </w:rPr>
        <w:lastRenderedPageBreak/>
        <w:t xml:space="preserve">dependencies between therapist and client responses. Finally, the ‘helpful factors’ design directly asks recipients of treatment about their opinion of effective therapeutic factors. </w:t>
      </w:r>
    </w:p>
    <w:p w14:paraId="7154CC4E" w14:textId="77777777" w:rsidR="00F47CA0" w:rsidRPr="00220E51" w:rsidRDefault="00F47CA0" w:rsidP="00BF5105">
      <w:pPr>
        <w:spacing w:line="480" w:lineRule="auto"/>
        <w:rPr>
          <w:rFonts w:ascii="Arial" w:hAnsi="Arial" w:cs="Arial"/>
          <w:sz w:val="22"/>
          <w:szCs w:val="22"/>
        </w:rPr>
      </w:pPr>
    </w:p>
    <w:p w14:paraId="5D2ECC3D" w14:textId="3933791F" w:rsidR="00F47CA0" w:rsidRPr="00220E51" w:rsidRDefault="0074528E" w:rsidP="00BF5105">
      <w:pPr>
        <w:spacing w:line="480" w:lineRule="auto"/>
        <w:rPr>
          <w:rFonts w:ascii="Arial" w:hAnsi="Arial" w:cs="Arial"/>
          <w:sz w:val="22"/>
          <w:szCs w:val="22"/>
        </w:rPr>
      </w:pPr>
      <w:r w:rsidRPr="00220E51">
        <w:rPr>
          <w:rFonts w:ascii="Arial" w:hAnsi="Arial" w:cs="Arial"/>
          <w:sz w:val="22"/>
          <w:szCs w:val="22"/>
        </w:rPr>
        <w:t>The ‘helpful factors’ design is attractive as it stays close to the patient’s experience, can be done in routine treatment settings, and it does not restrict patient responses to the researcher’s pre-ordained variables. Recent examples of research in this tradition include careful qualitative interviews (</w:t>
      </w:r>
      <w:r w:rsidR="00766B4F" w:rsidRPr="00220E51">
        <w:rPr>
          <w:rFonts w:ascii="Arial" w:hAnsi="Arial" w:cs="Arial"/>
          <w:sz w:val="22"/>
          <w:szCs w:val="22"/>
        </w:rPr>
        <w:t>e</w:t>
      </w:r>
      <w:r w:rsidR="00FF33C3" w:rsidRPr="00220E51">
        <w:rPr>
          <w:rFonts w:ascii="Arial" w:hAnsi="Arial" w:cs="Arial"/>
          <w:sz w:val="22"/>
          <w:szCs w:val="22"/>
        </w:rPr>
        <w:t>.</w:t>
      </w:r>
      <w:r w:rsidR="00766B4F" w:rsidRPr="00220E51">
        <w:rPr>
          <w:rFonts w:ascii="Arial" w:hAnsi="Arial" w:cs="Arial"/>
          <w:sz w:val="22"/>
          <w:szCs w:val="22"/>
        </w:rPr>
        <w:t>g.</w:t>
      </w:r>
      <w:r w:rsidR="00FF33C3" w:rsidRPr="00220E51">
        <w:rPr>
          <w:rFonts w:ascii="Arial" w:hAnsi="Arial" w:cs="Arial"/>
          <w:sz w:val="22"/>
          <w:szCs w:val="22"/>
        </w:rPr>
        <w:t xml:space="preserve"> Bendelin et al., 2011</w:t>
      </w:r>
      <w:r w:rsidRPr="00220E51">
        <w:rPr>
          <w:rFonts w:ascii="Arial" w:hAnsi="Arial" w:cs="Arial"/>
          <w:sz w:val="22"/>
          <w:szCs w:val="22"/>
        </w:rPr>
        <w:t>) or qualitative analysis of diary entries (</w:t>
      </w:r>
      <w:r w:rsidR="00766B4F" w:rsidRPr="00220E51">
        <w:rPr>
          <w:rFonts w:ascii="Arial" w:hAnsi="Arial" w:cs="Arial"/>
          <w:sz w:val="22"/>
          <w:szCs w:val="22"/>
        </w:rPr>
        <w:t xml:space="preserve">e.g. </w:t>
      </w:r>
      <w:r w:rsidR="005F1598" w:rsidRPr="00220E51">
        <w:rPr>
          <w:rFonts w:ascii="Arial" w:hAnsi="Arial" w:cs="Arial"/>
          <w:sz w:val="22"/>
          <w:szCs w:val="22"/>
        </w:rPr>
        <w:t xml:space="preserve">Kristjánsdóttir </w:t>
      </w:r>
      <w:r w:rsidR="00766B4F" w:rsidRPr="00220E51">
        <w:rPr>
          <w:rFonts w:ascii="Arial" w:hAnsi="Arial" w:cs="Arial"/>
          <w:sz w:val="22"/>
          <w:szCs w:val="22"/>
        </w:rPr>
        <w:t>et al., 2011</w:t>
      </w:r>
      <w:r w:rsidRPr="00220E51">
        <w:rPr>
          <w:rFonts w:ascii="Arial" w:hAnsi="Arial" w:cs="Arial"/>
          <w:sz w:val="22"/>
          <w:szCs w:val="22"/>
        </w:rPr>
        <w:t xml:space="preserve">). However, the potential power of this design is restricted by the limitations of self-report. Humans are frequently inaccurate about the causes for their own actions and reactions; decades of research on this phenomenon suggest that patients may not necessarily be experts on the causes for their own therapeutic </w:t>
      </w:r>
      <w:r w:rsidR="00402C97" w:rsidRPr="00220E51">
        <w:rPr>
          <w:rFonts w:ascii="Arial" w:hAnsi="Arial" w:cs="Arial"/>
          <w:sz w:val="22"/>
          <w:szCs w:val="22"/>
        </w:rPr>
        <w:t>response</w:t>
      </w:r>
      <w:r w:rsidRPr="00220E51">
        <w:rPr>
          <w:rFonts w:ascii="Arial" w:hAnsi="Arial" w:cs="Arial"/>
          <w:sz w:val="22"/>
          <w:szCs w:val="22"/>
        </w:rPr>
        <w:t xml:space="preserve">. </w:t>
      </w:r>
    </w:p>
    <w:p w14:paraId="675E1C65" w14:textId="77777777" w:rsidR="00F47CA0" w:rsidRPr="00220E51" w:rsidRDefault="00F47CA0" w:rsidP="00BF5105">
      <w:pPr>
        <w:spacing w:line="480" w:lineRule="auto"/>
        <w:rPr>
          <w:rFonts w:ascii="Arial" w:hAnsi="Arial" w:cs="Arial"/>
          <w:sz w:val="22"/>
          <w:szCs w:val="22"/>
        </w:rPr>
      </w:pPr>
    </w:p>
    <w:p w14:paraId="20743F89" w14:textId="3FD4D942" w:rsidR="0074528E" w:rsidRPr="00220E51" w:rsidRDefault="00402C97" w:rsidP="00BF5105">
      <w:pPr>
        <w:spacing w:line="480" w:lineRule="auto"/>
        <w:rPr>
          <w:rFonts w:ascii="Arial" w:hAnsi="Arial" w:cs="Arial"/>
          <w:sz w:val="22"/>
          <w:szCs w:val="22"/>
        </w:rPr>
      </w:pPr>
      <w:r w:rsidRPr="00220E51">
        <w:rPr>
          <w:rFonts w:ascii="Arial" w:hAnsi="Arial" w:cs="Arial"/>
          <w:sz w:val="22"/>
          <w:szCs w:val="22"/>
        </w:rPr>
        <w:t>R</w:t>
      </w:r>
      <w:r w:rsidR="0074528E" w:rsidRPr="00220E51">
        <w:rPr>
          <w:rFonts w:ascii="Arial" w:hAnsi="Arial" w:cs="Arial"/>
          <w:sz w:val="22"/>
          <w:szCs w:val="22"/>
        </w:rPr>
        <w:t>esults from ‘helpful factors’ research will depend on which participants are asked; to gain information about helpful therapeutic factors, it makes little sense to ask individuals who did not benefit from therapy. Conversely, barriers to treatment are best explored in those who have most evidently encountered them (i.e. non-responders). However, ‘helpful factors’ studies usually sample an unselected group of patients who</w:t>
      </w:r>
      <w:r w:rsidRPr="00220E51">
        <w:rPr>
          <w:rFonts w:ascii="Arial" w:hAnsi="Arial" w:cs="Arial"/>
          <w:sz w:val="22"/>
          <w:szCs w:val="22"/>
        </w:rPr>
        <w:t xml:space="preserve"> have experienced a treatment, ignoring</w:t>
      </w:r>
      <w:r w:rsidR="0074528E" w:rsidRPr="00220E51">
        <w:rPr>
          <w:rFonts w:ascii="Arial" w:hAnsi="Arial" w:cs="Arial"/>
          <w:sz w:val="22"/>
          <w:szCs w:val="22"/>
        </w:rPr>
        <w:t xml:space="preserve"> whether these individuals benefited from the treatment or not. </w:t>
      </w:r>
    </w:p>
    <w:p w14:paraId="26B63360" w14:textId="77777777" w:rsidR="00F47CA0" w:rsidRPr="00220E51" w:rsidRDefault="00F47CA0" w:rsidP="00BF5105">
      <w:pPr>
        <w:spacing w:line="480" w:lineRule="auto"/>
        <w:rPr>
          <w:rFonts w:ascii="Arial" w:hAnsi="Arial" w:cs="Arial"/>
          <w:sz w:val="22"/>
          <w:szCs w:val="22"/>
        </w:rPr>
      </w:pPr>
    </w:p>
    <w:p w14:paraId="36DDC417" w14:textId="7350D62A" w:rsidR="0074528E" w:rsidRDefault="0074528E" w:rsidP="00BF5105">
      <w:pPr>
        <w:spacing w:line="480" w:lineRule="auto"/>
        <w:rPr>
          <w:rFonts w:ascii="Arial" w:hAnsi="Arial" w:cs="Arial"/>
          <w:sz w:val="22"/>
          <w:szCs w:val="22"/>
        </w:rPr>
      </w:pPr>
      <w:r w:rsidRPr="00220E51">
        <w:rPr>
          <w:rFonts w:ascii="Arial" w:hAnsi="Arial" w:cs="Arial"/>
          <w:sz w:val="22"/>
          <w:szCs w:val="22"/>
        </w:rPr>
        <w:t>In this study, we deployed a method that may extend the usefulness of the ‘helpful factors’ design by controlling for difficulties in self-report. We used this design in the context of intensive, residential, group-based</w:t>
      </w:r>
      <w:r w:rsidR="0051790C" w:rsidRPr="00220E51">
        <w:rPr>
          <w:rFonts w:ascii="Arial" w:hAnsi="Arial" w:cs="Arial"/>
          <w:sz w:val="22"/>
          <w:szCs w:val="22"/>
        </w:rPr>
        <w:t xml:space="preserve"> </w:t>
      </w:r>
      <w:r w:rsidR="00952C59" w:rsidRPr="00220E51">
        <w:rPr>
          <w:rFonts w:ascii="Arial" w:hAnsi="Arial" w:cs="Arial"/>
          <w:sz w:val="22"/>
          <w:szCs w:val="22"/>
        </w:rPr>
        <w:t xml:space="preserve">Acceptance and Commitment Therapy </w:t>
      </w:r>
      <w:r w:rsidR="00952C59">
        <w:rPr>
          <w:rFonts w:ascii="Arial" w:hAnsi="Arial" w:cs="Arial"/>
          <w:sz w:val="22"/>
          <w:szCs w:val="22"/>
        </w:rPr>
        <w:t>(</w:t>
      </w:r>
      <w:r w:rsidR="002F37CF" w:rsidRPr="00220E51">
        <w:rPr>
          <w:rFonts w:ascii="Arial" w:hAnsi="Arial" w:cs="Arial"/>
          <w:sz w:val="22"/>
          <w:szCs w:val="22"/>
        </w:rPr>
        <w:t>ACT</w:t>
      </w:r>
      <w:r w:rsidR="00952C59">
        <w:rPr>
          <w:rFonts w:ascii="Arial" w:hAnsi="Arial" w:cs="Arial"/>
          <w:sz w:val="22"/>
          <w:szCs w:val="22"/>
        </w:rPr>
        <w:t>)</w:t>
      </w:r>
      <w:r w:rsidRPr="00220E51">
        <w:rPr>
          <w:rFonts w:ascii="Arial" w:hAnsi="Arial" w:cs="Arial"/>
          <w:sz w:val="22"/>
          <w:szCs w:val="22"/>
        </w:rPr>
        <w:t xml:space="preserve"> treatment for chronic pain tha</w:t>
      </w:r>
      <w:r w:rsidR="00D065CA" w:rsidRPr="00220E51">
        <w:rPr>
          <w:rFonts w:ascii="Arial" w:hAnsi="Arial" w:cs="Arial"/>
          <w:sz w:val="22"/>
          <w:szCs w:val="22"/>
        </w:rPr>
        <w:t>t is, on average, effective (Veehof, Oskam, Schreurs &amp; Bohlmeijer, 2011</w:t>
      </w:r>
      <w:r w:rsidRPr="00220E51">
        <w:rPr>
          <w:rFonts w:ascii="Arial" w:hAnsi="Arial" w:cs="Arial"/>
          <w:sz w:val="22"/>
          <w:szCs w:val="22"/>
        </w:rPr>
        <w:t xml:space="preserve">). </w:t>
      </w:r>
      <w:r w:rsidR="002B180C" w:rsidRPr="00220E51">
        <w:rPr>
          <w:rFonts w:ascii="Arial" w:hAnsi="Arial" w:cs="Arial"/>
          <w:sz w:val="22"/>
          <w:szCs w:val="22"/>
        </w:rPr>
        <w:t>Exploring</w:t>
      </w:r>
      <w:r w:rsidRPr="00220E51">
        <w:rPr>
          <w:rFonts w:ascii="Arial" w:hAnsi="Arial" w:cs="Arial"/>
          <w:sz w:val="22"/>
          <w:szCs w:val="22"/>
        </w:rPr>
        <w:t xml:space="preserve"> the reasons for treatment non-response, we asked a series of patients, defined as non-responders by statistical criteria, about a </w:t>
      </w:r>
      <w:r w:rsidRPr="00220E51">
        <w:rPr>
          <w:rFonts w:ascii="Arial" w:hAnsi="Arial" w:cs="Arial"/>
          <w:sz w:val="22"/>
          <w:szCs w:val="22"/>
        </w:rPr>
        <w:lastRenderedPageBreak/>
        <w:t xml:space="preserve">range of individual, systemic and therapy-related factors that may have affected their treatment outcome. </w:t>
      </w:r>
      <w:r w:rsidR="00FE37B8">
        <w:rPr>
          <w:rFonts w:ascii="Arial" w:hAnsi="Arial" w:cs="Arial"/>
          <w:sz w:val="22"/>
          <w:szCs w:val="22"/>
        </w:rPr>
        <w:t xml:space="preserve">We asked about a wide range of factors that reflected patients’ report and therapist formulations for potential treatment success or failure, rather than focusing purely on theory-driven psychological processes </w:t>
      </w:r>
      <w:r w:rsidRPr="00220E51">
        <w:rPr>
          <w:rFonts w:ascii="Arial" w:hAnsi="Arial" w:cs="Arial"/>
          <w:sz w:val="22"/>
          <w:szCs w:val="22"/>
        </w:rPr>
        <w:t xml:space="preserve">Then, </w:t>
      </w:r>
      <w:r w:rsidR="00C4721A" w:rsidRPr="00220E51">
        <w:rPr>
          <w:rFonts w:ascii="Arial" w:hAnsi="Arial" w:cs="Arial"/>
          <w:sz w:val="22"/>
          <w:szCs w:val="22"/>
        </w:rPr>
        <w:t xml:space="preserve">to check that their opinions were related to outcome, </w:t>
      </w:r>
      <w:r w:rsidRPr="00220E51">
        <w:rPr>
          <w:rFonts w:ascii="Arial" w:hAnsi="Arial" w:cs="Arial"/>
          <w:sz w:val="22"/>
          <w:szCs w:val="22"/>
        </w:rPr>
        <w:t>we compared their responses to a group of patients who were statistically defined ‘responders’. We hypothesised that we would find clear differences between responders’ and no</w:t>
      </w:r>
      <w:r w:rsidR="00043AAC">
        <w:rPr>
          <w:rFonts w:ascii="Arial" w:hAnsi="Arial" w:cs="Arial"/>
          <w:sz w:val="22"/>
          <w:szCs w:val="22"/>
        </w:rPr>
        <w:t>n-responders’ views of helpful and</w:t>
      </w:r>
      <w:r w:rsidRPr="00220E51">
        <w:rPr>
          <w:rFonts w:ascii="Arial" w:hAnsi="Arial" w:cs="Arial"/>
          <w:sz w:val="22"/>
          <w:szCs w:val="22"/>
        </w:rPr>
        <w:t xml:space="preserve"> unhelpful factors in treatment. However, we also noted that th</w:t>
      </w:r>
      <w:r w:rsidR="002A31F6">
        <w:rPr>
          <w:rFonts w:ascii="Arial" w:hAnsi="Arial" w:cs="Arial"/>
          <w:sz w:val="22"/>
          <w:szCs w:val="22"/>
        </w:rPr>
        <w:t xml:space="preserve">is novel approach </w:t>
      </w:r>
      <w:r w:rsidRPr="00220E51">
        <w:rPr>
          <w:rFonts w:ascii="Arial" w:hAnsi="Arial" w:cs="Arial"/>
          <w:sz w:val="22"/>
          <w:szCs w:val="22"/>
        </w:rPr>
        <w:t xml:space="preserve">would be most clearly vindicated if we found that non-responders cited some ‘unhelpful factors’ that were also cited as unhelpful by responders. </w:t>
      </w:r>
    </w:p>
    <w:p w14:paraId="1F234732" w14:textId="77777777" w:rsidR="00E82AF1" w:rsidRPr="00220E51" w:rsidRDefault="00E82AF1" w:rsidP="00BF5105">
      <w:pPr>
        <w:spacing w:line="480" w:lineRule="auto"/>
        <w:rPr>
          <w:rFonts w:ascii="Arial" w:hAnsi="Arial" w:cs="Arial"/>
          <w:sz w:val="22"/>
          <w:szCs w:val="22"/>
        </w:rPr>
      </w:pPr>
    </w:p>
    <w:p w14:paraId="40A9ACB0" w14:textId="77777777" w:rsidR="00C237A4" w:rsidRPr="00220E51" w:rsidRDefault="00C237A4" w:rsidP="00BF5105">
      <w:pPr>
        <w:spacing w:line="480" w:lineRule="auto"/>
        <w:rPr>
          <w:rFonts w:ascii="Arial" w:hAnsi="Arial" w:cs="Arial"/>
          <w:b/>
          <w:sz w:val="22"/>
          <w:szCs w:val="22"/>
        </w:rPr>
      </w:pPr>
      <w:r w:rsidRPr="00220E51">
        <w:rPr>
          <w:rFonts w:ascii="Arial" w:hAnsi="Arial" w:cs="Arial"/>
          <w:b/>
          <w:sz w:val="22"/>
          <w:szCs w:val="22"/>
        </w:rPr>
        <w:t>Method</w:t>
      </w:r>
    </w:p>
    <w:p w14:paraId="4852ABBC" w14:textId="77777777" w:rsidR="005F1437" w:rsidRPr="00220E51" w:rsidRDefault="005F1437" w:rsidP="00BF5105">
      <w:pPr>
        <w:spacing w:line="480" w:lineRule="auto"/>
        <w:rPr>
          <w:rFonts w:ascii="Arial" w:hAnsi="Arial" w:cs="Arial"/>
          <w:sz w:val="22"/>
          <w:szCs w:val="22"/>
        </w:rPr>
      </w:pPr>
    </w:p>
    <w:p w14:paraId="2693364C" w14:textId="77777777" w:rsidR="00347B4B" w:rsidRPr="00220E51" w:rsidRDefault="00347B4B" w:rsidP="00BF5105">
      <w:pPr>
        <w:spacing w:line="480" w:lineRule="auto"/>
        <w:rPr>
          <w:rFonts w:ascii="Arial" w:hAnsi="Arial" w:cs="Arial"/>
          <w:i/>
          <w:sz w:val="22"/>
          <w:szCs w:val="22"/>
        </w:rPr>
      </w:pPr>
      <w:r w:rsidRPr="00220E51">
        <w:rPr>
          <w:rFonts w:ascii="Arial" w:hAnsi="Arial" w:cs="Arial"/>
          <w:i/>
          <w:sz w:val="22"/>
          <w:szCs w:val="22"/>
        </w:rPr>
        <w:t>Participants</w:t>
      </w:r>
    </w:p>
    <w:p w14:paraId="7896C3C5" w14:textId="31FFF2FF" w:rsidR="00347B4B" w:rsidRPr="00220E51" w:rsidRDefault="00347B4B" w:rsidP="00BF5105">
      <w:pPr>
        <w:spacing w:line="480" w:lineRule="auto"/>
        <w:rPr>
          <w:rFonts w:ascii="Arial" w:hAnsi="Arial" w:cs="Arial"/>
          <w:sz w:val="22"/>
          <w:szCs w:val="22"/>
        </w:rPr>
      </w:pPr>
      <w:r w:rsidRPr="00220E51">
        <w:rPr>
          <w:rFonts w:ascii="Arial" w:hAnsi="Arial" w:cs="Arial"/>
          <w:sz w:val="22"/>
          <w:szCs w:val="22"/>
        </w:rPr>
        <w:t xml:space="preserve">We </w:t>
      </w:r>
      <w:r w:rsidR="00D47F34" w:rsidRPr="00220E51">
        <w:rPr>
          <w:rFonts w:ascii="Arial" w:hAnsi="Arial" w:cs="Arial"/>
          <w:sz w:val="22"/>
          <w:szCs w:val="22"/>
        </w:rPr>
        <w:t>sent a retrospective questionnaire to</w:t>
      </w:r>
      <w:r w:rsidRPr="00220E51">
        <w:rPr>
          <w:rFonts w:ascii="Arial" w:hAnsi="Arial" w:cs="Arial"/>
          <w:sz w:val="22"/>
          <w:szCs w:val="22"/>
        </w:rPr>
        <w:t xml:space="preserve"> 130 people with chronic, non-malignant pain who had consecutively attended psychologically-based treatment </w:t>
      </w:r>
      <w:r w:rsidR="00D9457D" w:rsidRPr="00220E51">
        <w:rPr>
          <w:rFonts w:ascii="Arial" w:hAnsi="Arial" w:cs="Arial"/>
          <w:sz w:val="22"/>
          <w:szCs w:val="22"/>
        </w:rPr>
        <w:t xml:space="preserve">and follow up </w:t>
      </w:r>
      <w:r w:rsidRPr="00220E51">
        <w:rPr>
          <w:rFonts w:ascii="Arial" w:hAnsi="Arial" w:cs="Arial"/>
          <w:sz w:val="22"/>
          <w:szCs w:val="22"/>
        </w:rPr>
        <w:t xml:space="preserve">at a national specialist service. </w:t>
      </w:r>
      <w:r w:rsidR="000845AD">
        <w:rPr>
          <w:rFonts w:ascii="Arial" w:hAnsi="Arial" w:cs="Arial"/>
          <w:sz w:val="22"/>
          <w:szCs w:val="22"/>
        </w:rPr>
        <w:t>This group included 65 treatment non-responders (69% female) and</w:t>
      </w:r>
      <w:r w:rsidR="000845AD" w:rsidRPr="00220E51">
        <w:rPr>
          <w:rFonts w:ascii="Arial" w:hAnsi="Arial" w:cs="Arial"/>
          <w:sz w:val="22"/>
          <w:szCs w:val="22"/>
        </w:rPr>
        <w:t xml:space="preserve"> 65 responders</w:t>
      </w:r>
      <w:r w:rsidR="000845AD">
        <w:rPr>
          <w:rFonts w:ascii="Arial" w:hAnsi="Arial" w:cs="Arial"/>
          <w:sz w:val="22"/>
          <w:szCs w:val="22"/>
        </w:rPr>
        <w:t xml:space="preserve"> (83% female</w:t>
      </w:r>
      <w:r w:rsidR="000845AD" w:rsidRPr="00220E51">
        <w:rPr>
          <w:rFonts w:ascii="Arial" w:hAnsi="Arial" w:cs="Arial"/>
          <w:sz w:val="22"/>
          <w:szCs w:val="22"/>
        </w:rPr>
        <w:t>)</w:t>
      </w:r>
      <w:r w:rsidR="000845AD">
        <w:rPr>
          <w:rFonts w:ascii="Arial" w:hAnsi="Arial" w:cs="Arial"/>
          <w:sz w:val="22"/>
          <w:szCs w:val="22"/>
        </w:rPr>
        <w:t xml:space="preserve">. </w:t>
      </w:r>
      <w:r w:rsidR="00043AAC">
        <w:rPr>
          <w:rFonts w:ascii="Arial" w:hAnsi="Arial" w:cs="Arial"/>
          <w:sz w:val="22"/>
          <w:szCs w:val="22"/>
        </w:rPr>
        <w:t>Seventy-five</w:t>
      </w:r>
      <w:r w:rsidRPr="00220E51">
        <w:rPr>
          <w:rFonts w:ascii="Arial" w:hAnsi="Arial" w:cs="Arial"/>
          <w:sz w:val="22"/>
          <w:szCs w:val="22"/>
        </w:rPr>
        <w:t xml:space="preserve"> of </w:t>
      </w:r>
      <w:r w:rsidR="007F3024" w:rsidRPr="00220E51">
        <w:rPr>
          <w:rFonts w:ascii="Arial" w:hAnsi="Arial" w:cs="Arial"/>
          <w:sz w:val="22"/>
          <w:szCs w:val="22"/>
        </w:rPr>
        <w:t xml:space="preserve">those who were successfully contacted </w:t>
      </w:r>
      <w:r w:rsidRPr="00220E51">
        <w:rPr>
          <w:rFonts w:ascii="Arial" w:hAnsi="Arial" w:cs="Arial"/>
          <w:sz w:val="22"/>
          <w:szCs w:val="22"/>
        </w:rPr>
        <w:t>(62%</w:t>
      </w:r>
      <w:r w:rsidR="007F3024" w:rsidRPr="00220E51">
        <w:rPr>
          <w:rFonts w:ascii="Arial" w:hAnsi="Arial" w:cs="Arial"/>
          <w:sz w:val="22"/>
          <w:szCs w:val="22"/>
        </w:rPr>
        <w:t>, see below</w:t>
      </w:r>
      <w:r w:rsidRPr="00220E51">
        <w:rPr>
          <w:rFonts w:ascii="Arial" w:hAnsi="Arial" w:cs="Arial"/>
          <w:sz w:val="22"/>
          <w:szCs w:val="22"/>
        </w:rPr>
        <w:t xml:space="preserve">) </w:t>
      </w:r>
      <w:r w:rsidR="007F3024" w:rsidRPr="00220E51">
        <w:rPr>
          <w:rFonts w:ascii="Arial" w:hAnsi="Arial" w:cs="Arial"/>
          <w:sz w:val="22"/>
          <w:szCs w:val="22"/>
        </w:rPr>
        <w:t xml:space="preserve">returned data. </w:t>
      </w:r>
      <w:r w:rsidRPr="00220E51">
        <w:rPr>
          <w:rFonts w:ascii="Arial" w:hAnsi="Arial" w:cs="Arial"/>
          <w:sz w:val="22"/>
          <w:szCs w:val="22"/>
        </w:rPr>
        <w:t xml:space="preserve">Mean age was </w:t>
      </w:r>
      <w:r w:rsidR="009E13E2" w:rsidRPr="00220E51">
        <w:rPr>
          <w:rFonts w:ascii="Arial" w:hAnsi="Arial" w:cs="Arial"/>
          <w:sz w:val="22"/>
          <w:szCs w:val="22"/>
        </w:rPr>
        <w:t>44.0</w:t>
      </w:r>
      <w:r w:rsidR="001045AB" w:rsidRPr="00220E51">
        <w:rPr>
          <w:rFonts w:ascii="Arial" w:hAnsi="Arial" w:cs="Arial"/>
          <w:sz w:val="22"/>
          <w:szCs w:val="22"/>
        </w:rPr>
        <w:t xml:space="preserve"> years, 67</w:t>
      </w:r>
      <w:r w:rsidRPr="00220E51">
        <w:rPr>
          <w:rFonts w:ascii="Arial" w:hAnsi="Arial" w:cs="Arial"/>
          <w:sz w:val="22"/>
          <w:szCs w:val="22"/>
        </w:rPr>
        <w:t>% were fema</w:t>
      </w:r>
      <w:r w:rsidR="001045AB" w:rsidRPr="00220E51">
        <w:rPr>
          <w:rFonts w:ascii="Arial" w:hAnsi="Arial" w:cs="Arial"/>
          <w:sz w:val="22"/>
          <w:szCs w:val="22"/>
        </w:rPr>
        <w:t>le, a</w:t>
      </w:r>
      <w:r w:rsidR="009E13E2" w:rsidRPr="00220E51">
        <w:rPr>
          <w:rFonts w:ascii="Arial" w:hAnsi="Arial" w:cs="Arial"/>
          <w:sz w:val="22"/>
          <w:szCs w:val="22"/>
        </w:rPr>
        <w:t>nd mean pain duration was 140.6</w:t>
      </w:r>
      <w:r w:rsidR="001045AB" w:rsidRPr="00220E51">
        <w:rPr>
          <w:rFonts w:ascii="Arial" w:hAnsi="Arial" w:cs="Arial"/>
          <w:sz w:val="22"/>
          <w:szCs w:val="22"/>
        </w:rPr>
        <w:t xml:space="preserve"> months</w:t>
      </w:r>
      <w:r w:rsidRPr="00220E51">
        <w:rPr>
          <w:rFonts w:ascii="Arial" w:hAnsi="Arial" w:cs="Arial"/>
          <w:sz w:val="22"/>
          <w:szCs w:val="22"/>
        </w:rPr>
        <w:t>. They had relatively high lev</w:t>
      </w:r>
      <w:r w:rsidR="001045AB" w:rsidRPr="00220E51">
        <w:rPr>
          <w:rFonts w:ascii="Arial" w:hAnsi="Arial" w:cs="Arial"/>
          <w:sz w:val="22"/>
          <w:szCs w:val="22"/>
        </w:rPr>
        <w:t>els of pain (6.9</w:t>
      </w:r>
      <w:r w:rsidRPr="00220E51">
        <w:rPr>
          <w:rFonts w:ascii="Arial" w:hAnsi="Arial" w:cs="Arial"/>
          <w:sz w:val="22"/>
          <w:szCs w:val="22"/>
        </w:rPr>
        <w:t>/10), low mood, and high levels of functional disability (</w:t>
      </w:r>
      <w:r w:rsidR="00785D9A">
        <w:rPr>
          <w:rFonts w:ascii="Arial" w:hAnsi="Arial" w:cs="Arial"/>
          <w:sz w:val="22"/>
          <w:szCs w:val="22"/>
        </w:rPr>
        <w:t>10</w:t>
      </w:r>
      <w:r w:rsidRPr="00220E51">
        <w:rPr>
          <w:rFonts w:ascii="Arial" w:hAnsi="Arial" w:cs="Arial"/>
          <w:sz w:val="22"/>
          <w:szCs w:val="22"/>
        </w:rPr>
        <w:t xml:space="preserve">% in full time work). Their core problems were a heterogeneous group of musculoskeletal pain diagnoses, including Fibromyalgia, Lower Back Pain, and Failed Back Surgery Syndrome. Patients had been clinically selected for treatment, such that they had sufficient spoken English and cognitive capacity to engage in group treatment. We did not apply inclusion or exclusion criteria beyond this. </w:t>
      </w:r>
    </w:p>
    <w:p w14:paraId="4AE14551" w14:textId="77777777" w:rsidR="00347B4B" w:rsidRPr="00220E51" w:rsidRDefault="00347B4B" w:rsidP="00BF5105">
      <w:pPr>
        <w:spacing w:line="480" w:lineRule="auto"/>
        <w:rPr>
          <w:rFonts w:ascii="Arial" w:hAnsi="Arial" w:cs="Arial"/>
          <w:sz w:val="22"/>
          <w:szCs w:val="22"/>
        </w:rPr>
      </w:pPr>
    </w:p>
    <w:p w14:paraId="3F2D0BDE" w14:textId="07E3023E" w:rsidR="00347B4B" w:rsidRPr="00220E51" w:rsidRDefault="00347B4B" w:rsidP="00BF5105">
      <w:pPr>
        <w:spacing w:line="480" w:lineRule="auto"/>
        <w:rPr>
          <w:rFonts w:ascii="Arial" w:hAnsi="Arial" w:cs="Arial"/>
          <w:sz w:val="22"/>
          <w:szCs w:val="22"/>
        </w:rPr>
      </w:pPr>
      <w:r w:rsidRPr="00220E51">
        <w:rPr>
          <w:rFonts w:ascii="Arial" w:hAnsi="Arial" w:cs="Arial"/>
          <w:sz w:val="22"/>
          <w:szCs w:val="22"/>
        </w:rPr>
        <w:lastRenderedPageBreak/>
        <w:t xml:space="preserve">All participants had </w:t>
      </w:r>
      <w:r w:rsidR="001045AB" w:rsidRPr="00220E51">
        <w:rPr>
          <w:rFonts w:ascii="Arial" w:hAnsi="Arial" w:cs="Arial"/>
          <w:sz w:val="22"/>
          <w:szCs w:val="22"/>
        </w:rPr>
        <w:t>completed</w:t>
      </w:r>
      <w:r w:rsidRPr="00220E51">
        <w:rPr>
          <w:rFonts w:ascii="Arial" w:hAnsi="Arial" w:cs="Arial"/>
          <w:sz w:val="22"/>
          <w:szCs w:val="22"/>
        </w:rPr>
        <w:t xml:space="preserve"> intensive</w:t>
      </w:r>
      <w:r w:rsidR="007F3024" w:rsidRPr="00220E51">
        <w:rPr>
          <w:rFonts w:ascii="Arial" w:hAnsi="Arial" w:cs="Arial"/>
          <w:sz w:val="22"/>
          <w:szCs w:val="22"/>
        </w:rPr>
        <w:t>,</w:t>
      </w:r>
      <w:r w:rsidRPr="00220E51">
        <w:rPr>
          <w:rFonts w:ascii="Arial" w:hAnsi="Arial" w:cs="Arial"/>
          <w:sz w:val="22"/>
          <w:szCs w:val="22"/>
        </w:rPr>
        <w:t xml:space="preserve"> residential</w:t>
      </w:r>
      <w:r w:rsidR="007F3024" w:rsidRPr="00220E51">
        <w:rPr>
          <w:rFonts w:ascii="Arial" w:hAnsi="Arial" w:cs="Arial"/>
          <w:sz w:val="22"/>
          <w:szCs w:val="22"/>
        </w:rPr>
        <w:t>,</w:t>
      </w:r>
      <w:r w:rsidRPr="00220E51">
        <w:rPr>
          <w:rFonts w:ascii="Arial" w:hAnsi="Arial" w:cs="Arial"/>
          <w:sz w:val="22"/>
          <w:szCs w:val="22"/>
        </w:rPr>
        <w:t xml:space="preserve"> </w:t>
      </w:r>
      <w:r w:rsidR="007F3024" w:rsidRPr="00220E51">
        <w:rPr>
          <w:rFonts w:ascii="Arial" w:hAnsi="Arial" w:cs="Arial"/>
          <w:sz w:val="22"/>
          <w:szCs w:val="22"/>
        </w:rPr>
        <w:t xml:space="preserve">psychologically-based </w:t>
      </w:r>
      <w:r w:rsidRPr="00220E51">
        <w:rPr>
          <w:rFonts w:ascii="Arial" w:hAnsi="Arial" w:cs="Arial"/>
          <w:sz w:val="22"/>
          <w:szCs w:val="22"/>
        </w:rPr>
        <w:t>pain rehabilitation treatment</w:t>
      </w:r>
      <w:r w:rsidR="007F3024" w:rsidRPr="00220E51">
        <w:rPr>
          <w:rFonts w:ascii="Arial" w:hAnsi="Arial" w:cs="Arial"/>
          <w:sz w:val="22"/>
          <w:szCs w:val="22"/>
        </w:rPr>
        <w:t xml:space="preserve"> (3 or 4 weeks)</w:t>
      </w:r>
      <w:r w:rsidR="008C0702" w:rsidRPr="00220E51">
        <w:rPr>
          <w:rFonts w:ascii="Arial" w:hAnsi="Arial" w:cs="Arial"/>
          <w:sz w:val="22"/>
          <w:szCs w:val="22"/>
        </w:rPr>
        <w:t xml:space="preserve"> between </w:t>
      </w:r>
      <w:r w:rsidR="005E6844" w:rsidRPr="00220E51">
        <w:rPr>
          <w:rFonts w:ascii="Arial" w:hAnsi="Arial" w:cs="Arial"/>
          <w:sz w:val="22"/>
          <w:szCs w:val="22"/>
        </w:rPr>
        <w:t>5</w:t>
      </w:r>
      <w:r w:rsidR="008C0702" w:rsidRPr="00220E51">
        <w:rPr>
          <w:rFonts w:ascii="Arial" w:hAnsi="Arial" w:cs="Arial"/>
          <w:sz w:val="22"/>
          <w:szCs w:val="22"/>
        </w:rPr>
        <w:t xml:space="preserve"> and </w:t>
      </w:r>
      <w:r w:rsidR="005E6844" w:rsidRPr="00220E51">
        <w:rPr>
          <w:rFonts w:ascii="Arial" w:hAnsi="Arial" w:cs="Arial"/>
          <w:sz w:val="22"/>
          <w:szCs w:val="22"/>
        </w:rPr>
        <w:t>43</w:t>
      </w:r>
      <w:r w:rsidR="008C0702" w:rsidRPr="00220E51">
        <w:rPr>
          <w:rFonts w:ascii="Arial" w:hAnsi="Arial" w:cs="Arial"/>
          <w:sz w:val="22"/>
          <w:szCs w:val="22"/>
        </w:rPr>
        <w:t xml:space="preserve"> </w:t>
      </w:r>
      <w:r w:rsidR="001045AB" w:rsidRPr="00220E51">
        <w:rPr>
          <w:rFonts w:ascii="Arial" w:hAnsi="Arial" w:cs="Arial"/>
          <w:sz w:val="22"/>
          <w:szCs w:val="22"/>
        </w:rPr>
        <w:t>months</w:t>
      </w:r>
      <w:r w:rsidR="008C0702" w:rsidRPr="00220E51">
        <w:rPr>
          <w:rFonts w:ascii="Arial" w:hAnsi="Arial" w:cs="Arial"/>
          <w:sz w:val="22"/>
          <w:szCs w:val="22"/>
        </w:rPr>
        <w:t xml:space="preserve"> pr</w:t>
      </w:r>
      <w:r w:rsidR="001045AB" w:rsidRPr="00220E51">
        <w:rPr>
          <w:rFonts w:ascii="Arial" w:hAnsi="Arial" w:cs="Arial"/>
          <w:sz w:val="22"/>
          <w:szCs w:val="22"/>
        </w:rPr>
        <w:t>ior to the study</w:t>
      </w:r>
      <w:r w:rsidR="005E6844" w:rsidRPr="00220E51">
        <w:rPr>
          <w:rFonts w:ascii="Arial" w:hAnsi="Arial" w:cs="Arial"/>
          <w:sz w:val="22"/>
          <w:szCs w:val="22"/>
        </w:rPr>
        <w:t xml:space="preserve"> (</w:t>
      </w:r>
      <w:r w:rsidR="00E901E0" w:rsidRPr="00E901E0">
        <w:rPr>
          <w:rFonts w:ascii="Arial" w:hAnsi="Arial" w:cs="Arial"/>
          <w:i/>
          <w:color w:val="FF0000"/>
          <w:sz w:val="22"/>
          <w:szCs w:val="22"/>
        </w:rPr>
        <w:t>Mdn</w:t>
      </w:r>
      <w:r w:rsidR="00E7605C" w:rsidRPr="00220E51">
        <w:rPr>
          <w:rFonts w:ascii="Arial" w:hAnsi="Arial" w:cs="Arial"/>
          <w:sz w:val="22"/>
          <w:szCs w:val="22"/>
        </w:rPr>
        <w:t xml:space="preserve"> = 29</w:t>
      </w:r>
      <w:r w:rsidR="005E6844" w:rsidRPr="00220E51">
        <w:rPr>
          <w:rFonts w:ascii="Arial" w:hAnsi="Arial" w:cs="Arial"/>
          <w:sz w:val="22"/>
          <w:szCs w:val="22"/>
        </w:rPr>
        <w:t>)</w:t>
      </w:r>
      <w:r w:rsidRPr="00220E51">
        <w:rPr>
          <w:rFonts w:ascii="Arial" w:hAnsi="Arial" w:cs="Arial"/>
          <w:sz w:val="22"/>
          <w:szCs w:val="22"/>
        </w:rPr>
        <w:t>. This treatment was based on</w:t>
      </w:r>
      <w:r w:rsidR="00B20C79">
        <w:rPr>
          <w:rFonts w:ascii="Arial" w:hAnsi="Arial" w:cs="Arial"/>
          <w:sz w:val="22"/>
          <w:szCs w:val="22"/>
        </w:rPr>
        <w:t xml:space="preserve"> </w:t>
      </w:r>
      <w:r w:rsidR="0051790C" w:rsidRPr="00220E51">
        <w:rPr>
          <w:rFonts w:ascii="Arial" w:hAnsi="Arial" w:cs="Arial"/>
          <w:sz w:val="22"/>
          <w:szCs w:val="22"/>
        </w:rPr>
        <w:t>ACT</w:t>
      </w:r>
      <w:r w:rsidRPr="00220E51">
        <w:rPr>
          <w:rFonts w:ascii="Arial" w:hAnsi="Arial" w:cs="Arial"/>
          <w:sz w:val="22"/>
          <w:szCs w:val="22"/>
        </w:rPr>
        <w:t xml:space="preserve">, </w:t>
      </w:r>
      <w:r w:rsidR="000B498E" w:rsidRPr="00220E51">
        <w:rPr>
          <w:rFonts w:ascii="Arial" w:hAnsi="Arial" w:cs="Arial"/>
          <w:sz w:val="22"/>
          <w:szCs w:val="22"/>
        </w:rPr>
        <w:t>including</w:t>
      </w:r>
      <w:r w:rsidRPr="00220E51">
        <w:rPr>
          <w:rFonts w:ascii="Arial" w:hAnsi="Arial" w:cs="Arial"/>
          <w:sz w:val="22"/>
          <w:szCs w:val="22"/>
        </w:rPr>
        <w:t xml:space="preserve"> substantial physiotherapy </w:t>
      </w:r>
      <w:r w:rsidR="000B498E" w:rsidRPr="00220E51">
        <w:rPr>
          <w:rFonts w:ascii="Arial" w:hAnsi="Arial" w:cs="Arial"/>
          <w:sz w:val="22"/>
          <w:szCs w:val="22"/>
        </w:rPr>
        <w:t xml:space="preserve">using </w:t>
      </w:r>
      <w:r w:rsidRPr="00220E51">
        <w:rPr>
          <w:rFonts w:ascii="Arial" w:hAnsi="Arial" w:cs="Arial"/>
          <w:sz w:val="22"/>
          <w:szCs w:val="22"/>
        </w:rPr>
        <w:t>ACT techniques</w:t>
      </w:r>
      <w:r w:rsidR="00635124">
        <w:rPr>
          <w:rFonts w:ascii="Arial" w:hAnsi="Arial" w:cs="Arial"/>
          <w:sz w:val="22"/>
          <w:szCs w:val="22"/>
        </w:rPr>
        <w:t xml:space="preserve"> (treatment and outcomes from this clinical setting have previously been described in McCracken </w:t>
      </w:r>
      <w:r w:rsidR="00635124" w:rsidRPr="00E942B5">
        <w:rPr>
          <w:rFonts w:ascii="Arial" w:hAnsi="Arial" w:cs="Arial"/>
          <w:sz w:val="22"/>
          <w:szCs w:val="22"/>
        </w:rPr>
        <w:t xml:space="preserve">&amp; Gutiérrez-Martínez, </w:t>
      </w:r>
      <w:r w:rsidR="00635124">
        <w:rPr>
          <w:rFonts w:ascii="Arial" w:hAnsi="Arial" w:cs="Arial"/>
          <w:sz w:val="22"/>
          <w:szCs w:val="22"/>
        </w:rPr>
        <w:t>2011)</w:t>
      </w:r>
      <w:r w:rsidRPr="00220E51">
        <w:rPr>
          <w:rFonts w:ascii="Arial" w:hAnsi="Arial" w:cs="Arial"/>
          <w:sz w:val="22"/>
          <w:szCs w:val="22"/>
        </w:rPr>
        <w:t xml:space="preserve">. </w:t>
      </w:r>
      <w:r w:rsidR="007F3024" w:rsidRPr="00220E51">
        <w:rPr>
          <w:rFonts w:ascii="Arial" w:hAnsi="Arial" w:cs="Arial"/>
          <w:sz w:val="22"/>
          <w:szCs w:val="22"/>
        </w:rPr>
        <w:t>Treatment was delivered by a team of Clinical Psychologists, Physiotherapi</w:t>
      </w:r>
      <w:r w:rsidR="000B498E" w:rsidRPr="00220E51">
        <w:rPr>
          <w:rFonts w:ascii="Arial" w:hAnsi="Arial" w:cs="Arial"/>
          <w:sz w:val="22"/>
          <w:szCs w:val="22"/>
        </w:rPr>
        <w:t xml:space="preserve">sts and Occupational Therapists, </w:t>
      </w:r>
      <w:r w:rsidR="007F3024" w:rsidRPr="00220E51">
        <w:rPr>
          <w:rFonts w:ascii="Arial" w:hAnsi="Arial" w:cs="Arial"/>
          <w:sz w:val="22"/>
          <w:szCs w:val="22"/>
        </w:rPr>
        <w:t xml:space="preserve">all conversant with ACT and specialists in pain rehabilitation. </w:t>
      </w:r>
      <w:r w:rsidR="000B498E" w:rsidRPr="00220E51">
        <w:rPr>
          <w:rFonts w:ascii="Arial" w:hAnsi="Arial" w:cs="Arial"/>
          <w:sz w:val="22"/>
          <w:szCs w:val="22"/>
        </w:rPr>
        <w:t>P</w:t>
      </w:r>
      <w:r w:rsidR="007F3024" w:rsidRPr="00220E51">
        <w:rPr>
          <w:rFonts w:ascii="Arial" w:hAnsi="Arial" w:cs="Arial"/>
          <w:sz w:val="22"/>
          <w:szCs w:val="22"/>
        </w:rPr>
        <w:t xml:space="preserve">articipants completed </w:t>
      </w:r>
      <w:r w:rsidR="00446A35" w:rsidRPr="00220E51">
        <w:rPr>
          <w:rFonts w:ascii="Arial" w:hAnsi="Arial" w:cs="Arial"/>
          <w:sz w:val="22"/>
          <w:szCs w:val="22"/>
        </w:rPr>
        <w:t>standard outcome measures around depression, disability and pain-related fear at pre- and post-treatment intervals, and at the three-month follow up period</w:t>
      </w:r>
      <w:r w:rsidR="008C0702" w:rsidRPr="00220E51">
        <w:rPr>
          <w:rFonts w:ascii="Arial" w:hAnsi="Arial" w:cs="Arial"/>
          <w:sz w:val="22"/>
          <w:szCs w:val="22"/>
        </w:rPr>
        <w:t xml:space="preserve">. </w:t>
      </w:r>
      <w:r w:rsidR="000B498E" w:rsidRPr="00220E51">
        <w:rPr>
          <w:rFonts w:ascii="Arial" w:hAnsi="Arial" w:cs="Arial"/>
          <w:sz w:val="22"/>
          <w:szCs w:val="22"/>
        </w:rPr>
        <w:t>This data</w:t>
      </w:r>
      <w:r w:rsidR="008C0702" w:rsidRPr="00220E51">
        <w:rPr>
          <w:rFonts w:ascii="Arial" w:hAnsi="Arial" w:cs="Arial"/>
          <w:sz w:val="22"/>
          <w:szCs w:val="22"/>
        </w:rPr>
        <w:t xml:space="preserve"> w</w:t>
      </w:r>
      <w:r w:rsidR="000B498E" w:rsidRPr="00220E51">
        <w:rPr>
          <w:rFonts w:ascii="Arial" w:hAnsi="Arial" w:cs="Arial"/>
          <w:sz w:val="22"/>
          <w:szCs w:val="22"/>
        </w:rPr>
        <w:t>as</w:t>
      </w:r>
      <w:r w:rsidR="008C0702" w:rsidRPr="00220E51">
        <w:rPr>
          <w:rFonts w:ascii="Arial" w:hAnsi="Arial" w:cs="Arial"/>
          <w:sz w:val="22"/>
          <w:szCs w:val="22"/>
        </w:rPr>
        <w:t xml:space="preserve"> inspected for </w:t>
      </w:r>
      <w:r w:rsidR="000B498E" w:rsidRPr="00220E51">
        <w:rPr>
          <w:rFonts w:ascii="Arial" w:hAnsi="Arial" w:cs="Arial"/>
          <w:sz w:val="22"/>
          <w:szCs w:val="22"/>
        </w:rPr>
        <w:t xml:space="preserve">recruitment to </w:t>
      </w:r>
      <w:r w:rsidR="008C0702" w:rsidRPr="00220E51">
        <w:rPr>
          <w:rFonts w:ascii="Arial" w:hAnsi="Arial" w:cs="Arial"/>
          <w:sz w:val="22"/>
          <w:szCs w:val="22"/>
        </w:rPr>
        <w:t xml:space="preserve">the study. </w:t>
      </w:r>
    </w:p>
    <w:p w14:paraId="3E2D1C84" w14:textId="77777777" w:rsidR="008C0702" w:rsidRPr="00220E51" w:rsidRDefault="008C0702" w:rsidP="00BF5105">
      <w:pPr>
        <w:spacing w:line="480" w:lineRule="auto"/>
        <w:rPr>
          <w:rFonts w:ascii="Arial" w:hAnsi="Arial" w:cs="Arial"/>
          <w:sz w:val="22"/>
          <w:szCs w:val="22"/>
        </w:rPr>
      </w:pPr>
    </w:p>
    <w:p w14:paraId="63ABB7C3" w14:textId="77777777" w:rsidR="008C0702" w:rsidRPr="00220E51" w:rsidRDefault="008C0702" w:rsidP="00BF5105">
      <w:pPr>
        <w:spacing w:line="480" w:lineRule="auto"/>
        <w:rPr>
          <w:rFonts w:ascii="Arial" w:hAnsi="Arial" w:cs="Arial"/>
          <w:i/>
          <w:sz w:val="22"/>
          <w:szCs w:val="22"/>
        </w:rPr>
      </w:pPr>
      <w:r w:rsidRPr="00220E51">
        <w:rPr>
          <w:rFonts w:ascii="Arial" w:hAnsi="Arial" w:cs="Arial"/>
          <w:i/>
          <w:sz w:val="22"/>
          <w:szCs w:val="22"/>
        </w:rPr>
        <w:t>Procedure</w:t>
      </w:r>
    </w:p>
    <w:p w14:paraId="72DC7494" w14:textId="0BA2EECC" w:rsidR="00D87E94" w:rsidRPr="00220E51" w:rsidRDefault="00E901E0" w:rsidP="00BF5105">
      <w:pPr>
        <w:spacing w:line="480" w:lineRule="auto"/>
        <w:rPr>
          <w:rFonts w:ascii="Arial" w:hAnsi="Arial" w:cs="Arial"/>
          <w:sz w:val="22"/>
          <w:szCs w:val="22"/>
        </w:rPr>
      </w:pPr>
      <w:r w:rsidRPr="00E901E0">
        <w:rPr>
          <w:rFonts w:ascii="Arial" w:hAnsi="Arial" w:cs="Arial"/>
          <w:color w:val="FF0000"/>
          <w:sz w:val="22"/>
          <w:szCs w:val="22"/>
        </w:rPr>
        <w:t>The</w:t>
      </w:r>
      <w:r w:rsidR="008C0702" w:rsidRPr="00220E51">
        <w:rPr>
          <w:rFonts w:ascii="Arial" w:hAnsi="Arial" w:cs="Arial"/>
          <w:sz w:val="22"/>
          <w:szCs w:val="22"/>
        </w:rPr>
        <w:t xml:space="preserve"> study</w:t>
      </w:r>
      <w:r w:rsidR="0013717C" w:rsidRPr="00220E51">
        <w:rPr>
          <w:rFonts w:ascii="Arial" w:hAnsi="Arial" w:cs="Arial"/>
          <w:sz w:val="22"/>
          <w:szCs w:val="22"/>
        </w:rPr>
        <w:t xml:space="preserve"> received Ethical approval from the</w:t>
      </w:r>
      <w:r w:rsidR="009E13E2" w:rsidRPr="00220E51">
        <w:rPr>
          <w:rFonts w:ascii="Arial" w:hAnsi="Arial" w:cs="Arial"/>
          <w:sz w:val="22"/>
          <w:szCs w:val="22"/>
        </w:rPr>
        <w:t xml:space="preserve"> relevant</w:t>
      </w:r>
      <w:r w:rsidR="0013717C" w:rsidRPr="00220E51">
        <w:rPr>
          <w:rFonts w:ascii="Arial" w:hAnsi="Arial" w:cs="Arial"/>
          <w:sz w:val="22"/>
          <w:szCs w:val="22"/>
        </w:rPr>
        <w:t xml:space="preserve"> NHS</w:t>
      </w:r>
      <w:r w:rsidR="00682910">
        <w:rPr>
          <w:rFonts w:ascii="Arial" w:hAnsi="Arial" w:cs="Arial"/>
          <w:sz w:val="22"/>
          <w:szCs w:val="22"/>
        </w:rPr>
        <w:t xml:space="preserve"> (REC reference:</w:t>
      </w:r>
      <w:r w:rsidR="00BF5105">
        <w:rPr>
          <w:rFonts w:ascii="Arial" w:hAnsi="Arial" w:cs="Arial"/>
          <w:sz w:val="22"/>
          <w:szCs w:val="22"/>
        </w:rPr>
        <w:t xml:space="preserve"> 14/EE/0213; IRAS project ID: 146652)</w:t>
      </w:r>
      <w:r w:rsidR="0013717C" w:rsidRPr="00220E51">
        <w:rPr>
          <w:rFonts w:ascii="Arial" w:hAnsi="Arial" w:cs="Arial"/>
          <w:sz w:val="22"/>
          <w:szCs w:val="22"/>
        </w:rPr>
        <w:t xml:space="preserve"> </w:t>
      </w:r>
      <w:r w:rsidR="009E13E2" w:rsidRPr="00220E51">
        <w:rPr>
          <w:rFonts w:ascii="Arial" w:hAnsi="Arial" w:cs="Arial"/>
          <w:sz w:val="22"/>
          <w:szCs w:val="22"/>
        </w:rPr>
        <w:t xml:space="preserve">and University </w:t>
      </w:r>
      <w:r w:rsidR="0013717C" w:rsidRPr="00220E51">
        <w:rPr>
          <w:rFonts w:ascii="Arial" w:hAnsi="Arial" w:cs="Arial"/>
          <w:sz w:val="22"/>
          <w:szCs w:val="22"/>
        </w:rPr>
        <w:t>Research Ethics Committee</w:t>
      </w:r>
      <w:r w:rsidR="009E13E2" w:rsidRPr="00220E51">
        <w:rPr>
          <w:rFonts w:ascii="Arial" w:hAnsi="Arial" w:cs="Arial"/>
          <w:sz w:val="22"/>
          <w:szCs w:val="22"/>
        </w:rPr>
        <w:t>s</w:t>
      </w:r>
      <w:r w:rsidR="00682910">
        <w:rPr>
          <w:rFonts w:ascii="Arial" w:hAnsi="Arial" w:cs="Arial"/>
          <w:sz w:val="22"/>
          <w:szCs w:val="22"/>
        </w:rPr>
        <w:t xml:space="preserve"> (reference number: 14-050)</w:t>
      </w:r>
      <w:r w:rsidR="0013717C" w:rsidRPr="00220E51">
        <w:rPr>
          <w:rFonts w:ascii="Arial" w:hAnsi="Arial" w:cs="Arial"/>
          <w:sz w:val="22"/>
          <w:szCs w:val="22"/>
        </w:rPr>
        <w:t>, and the local Hospital R&amp;D Committee</w:t>
      </w:r>
      <w:r w:rsidR="008C0702" w:rsidRPr="00220E51">
        <w:rPr>
          <w:rFonts w:ascii="Arial" w:hAnsi="Arial" w:cs="Arial"/>
          <w:sz w:val="22"/>
          <w:szCs w:val="22"/>
        </w:rPr>
        <w:t xml:space="preserve">. </w:t>
      </w:r>
      <w:r w:rsidR="00745C99" w:rsidRPr="00220E51">
        <w:rPr>
          <w:rFonts w:ascii="Arial" w:hAnsi="Arial" w:cs="Arial"/>
          <w:sz w:val="22"/>
          <w:szCs w:val="22"/>
        </w:rPr>
        <w:t>We survey</w:t>
      </w:r>
      <w:r w:rsidR="000B498E" w:rsidRPr="00220E51">
        <w:rPr>
          <w:rFonts w:ascii="Arial" w:hAnsi="Arial" w:cs="Arial"/>
          <w:sz w:val="22"/>
          <w:szCs w:val="22"/>
        </w:rPr>
        <w:t>ed</w:t>
      </w:r>
      <w:r w:rsidR="00745C99" w:rsidRPr="00220E51">
        <w:rPr>
          <w:rFonts w:ascii="Arial" w:hAnsi="Arial" w:cs="Arial"/>
          <w:sz w:val="22"/>
          <w:szCs w:val="22"/>
        </w:rPr>
        <w:t xml:space="preserve"> a sample of participants defined as </w:t>
      </w:r>
      <w:r w:rsidR="005E6844" w:rsidRPr="00220E51">
        <w:rPr>
          <w:rFonts w:ascii="Arial" w:hAnsi="Arial" w:cs="Arial"/>
          <w:sz w:val="22"/>
          <w:szCs w:val="22"/>
        </w:rPr>
        <w:t xml:space="preserve">clinically reliable </w:t>
      </w:r>
      <w:r w:rsidR="000B498E" w:rsidRPr="00220E51">
        <w:rPr>
          <w:rFonts w:ascii="Arial" w:hAnsi="Arial" w:cs="Arial"/>
          <w:sz w:val="22"/>
          <w:szCs w:val="22"/>
        </w:rPr>
        <w:t xml:space="preserve">treatment </w:t>
      </w:r>
      <w:r w:rsidR="00745C99" w:rsidRPr="00220E51">
        <w:rPr>
          <w:rFonts w:ascii="Arial" w:hAnsi="Arial" w:cs="Arial"/>
          <w:sz w:val="22"/>
          <w:szCs w:val="22"/>
        </w:rPr>
        <w:t>responders</w:t>
      </w:r>
      <w:r w:rsidR="000B498E" w:rsidRPr="00220E51">
        <w:rPr>
          <w:rFonts w:ascii="Arial" w:hAnsi="Arial" w:cs="Arial"/>
          <w:sz w:val="22"/>
          <w:szCs w:val="22"/>
        </w:rPr>
        <w:t xml:space="preserve"> or non-responders.</w:t>
      </w:r>
      <w:r w:rsidR="00745C99" w:rsidRPr="00220E51">
        <w:rPr>
          <w:rFonts w:ascii="Arial" w:hAnsi="Arial" w:cs="Arial"/>
          <w:sz w:val="22"/>
          <w:szCs w:val="22"/>
        </w:rPr>
        <w:t xml:space="preserve"> </w:t>
      </w:r>
      <w:r w:rsidR="009E13E2" w:rsidRPr="00220E51">
        <w:rPr>
          <w:rFonts w:ascii="Arial" w:hAnsi="Arial" w:cs="Arial"/>
          <w:sz w:val="22"/>
          <w:szCs w:val="22"/>
        </w:rPr>
        <w:t>To identify participants</w:t>
      </w:r>
      <w:r w:rsidR="000B498E" w:rsidRPr="00220E51">
        <w:rPr>
          <w:rFonts w:ascii="Arial" w:hAnsi="Arial" w:cs="Arial"/>
          <w:sz w:val="22"/>
          <w:szCs w:val="22"/>
        </w:rPr>
        <w:t xml:space="preserve">, we </w:t>
      </w:r>
      <w:r w:rsidR="00745C99" w:rsidRPr="00220E51">
        <w:rPr>
          <w:rFonts w:ascii="Arial" w:hAnsi="Arial" w:cs="Arial"/>
          <w:sz w:val="22"/>
          <w:szCs w:val="22"/>
        </w:rPr>
        <w:t xml:space="preserve">reviewed </w:t>
      </w:r>
      <w:r w:rsidR="00C824A6" w:rsidRPr="00220E51">
        <w:rPr>
          <w:rFonts w:ascii="Arial" w:hAnsi="Arial" w:cs="Arial"/>
          <w:sz w:val="22"/>
          <w:szCs w:val="22"/>
        </w:rPr>
        <w:t xml:space="preserve">consecutive cases in a </w:t>
      </w:r>
      <w:r w:rsidR="00745C99" w:rsidRPr="00220E51">
        <w:rPr>
          <w:rFonts w:ascii="Arial" w:hAnsi="Arial" w:cs="Arial"/>
          <w:sz w:val="22"/>
          <w:szCs w:val="22"/>
        </w:rPr>
        <w:t>treatm</w:t>
      </w:r>
      <w:r w:rsidR="00E72411" w:rsidRPr="00220E51">
        <w:rPr>
          <w:rFonts w:ascii="Arial" w:hAnsi="Arial" w:cs="Arial"/>
          <w:sz w:val="22"/>
          <w:szCs w:val="22"/>
        </w:rPr>
        <w:t>ent outcome database</w:t>
      </w:r>
      <w:r w:rsidR="00880A17" w:rsidRPr="00220E51">
        <w:rPr>
          <w:rFonts w:ascii="Arial" w:hAnsi="Arial" w:cs="Arial"/>
          <w:sz w:val="22"/>
          <w:szCs w:val="22"/>
        </w:rPr>
        <w:t xml:space="preserve">. </w:t>
      </w:r>
      <w:r w:rsidR="000C4CF3" w:rsidRPr="00220E51">
        <w:rPr>
          <w:rFonts w:ascii="Arial" w:hAnsi="Arial" w:cs="Arial"/>
          <w:sz w:val="22"/>
          <w:szCs w:val="22"/>
        </w:rPr>
        <w:t xml:space="preserve">We only considered those cases </w:t>
      </w:r>
      <w:r w:rsidR="00CD08B1" w:rsidRPr="00220E51">
        <w:rPr>
          <w:rFonts w:ascii="Arial" w:hAnsi="Arial" w:cs="Arial"/>
          <w:sz w:val="22"/>
          <w:szCs w:val="22"/>
        </w:rPr>
        <w:t>with data from</w:t>
      </w:r>
      <w:r w:rsidR="000B498E" w:rsidRPr="00220E51">
        <w:rPr>
          <w:rFonts w:ascii="Arial" w:hAnsi="Arial" w:cs="Arial"/>
          <w:sz w:val="22"/>
          <w:szCs w:val="22"/>
        </w:rPr>
        <w:t xml:space="preserve"> </w:t>
      </w:r>
      <w:r w:rsidR="009E13E2" w:rsidRPr="00220E51">
        <w:rPr>
          <w:rFonts w:ascii="Arial" w:hAnsi="Arial" w:cs="Arial"/>
          <w:sz w:val="22"/>
          <w:szCs w:val="22"/>
        </w:rPr>
        <w:t xml:space="preserve">pre-treatment to </w:t>
      </w:r>
      <w:r w:rsidR="00D87E94">
        <w:rPr>
          <w:rFonts w:ascii="Arial" w:hAnsi="Arial" w:cs="Arial"/>
          <w:sz w:val="22"/>
          <w:szCs w:val="22"/>
        </w:rPr>
        <w:t xml:space="preserve">three-month </w:t>
      </w:r>
      <w:r w:rsidR="00745C99" w:rsidRPr="00220E51">
        <w:rPr>
          <w:rFonts w:ascii="Arial" w:hAnsi="Arial" w:cs="Arial"/>
          <w:sz w:val="22"/>
          <w:szCs w:val="22"/>
        </w:rPr>
        <w:t xml:space="preserve">follow up period, to be confident that we were observing somewhat durable treatment outcomes. </w:t>
      </w:r>
      <w:r w:rsidR="00D87E94">
        <w:rPr>
          <w:rFonts w:ascii="Arial" w:hAnsi="Arial" w:cs="Arial"/>
          <w:sz w:val="22"/>
          <w:szCs w:val="22"/>
        </w:rPr>
        <w:t xml:space="preserve">We defined ‘responders’ and ‘non-responders’ by statistical criteria described below. </w:t>
      </w:r>
      <w:r w:rsidR="00745C99" w:rsidRPr="00220E51">
        <w:rPr>
          <w:rFonts w:ascii="Arial" w:hAnsi="Arial" w:cs="Arial"/>
          <w:sz w:val="22"/>
          <w:szCs w:val="22"/>
        </w:rPr>
        <w:t xml:space="preserve">We then added cases to the ‘non-responder’ and ‘responder’ groups </w:t>
      </w:r>
      <w:r w:rsidR="009E13E2" w:rsidRPr="00220E51">
        <w:rPr>
          <w:rFonts w:ascii="Arial" w:hAnsi="Arial" w:cs="Arial"/>
          <w:sz w:val="22"/>
          <w:szCs w:val="22"/>
        </w:rPr>
        <w:t xml:space="preserve">(definitions below) </w:t>
      </w:r>
      <w:r w:rsidR="00745C99" w:rsidRPr="00220E51">
        <w:rPr>
          <w:rFonts w:ascii="Arial" w:hAnsi="Arial" w:cs="Arial"/>
          <w:sz w:val="22"/>
          <w:szCs w:val="22"/>
        </w:rPr>
        <w:t>until we had 65 in each group, for an overall sample of 130</w:t>
      </w:r>
      <w:r w:rsidR="00CD08B1" w:rsidRPr="00220E51">
        <w:rPr>
          <w:rFonts w:ascii="Arial" w:hAnsi="Arial" w:cs="Arial"/>
          <w:sz w:val="22"/>
          <w:szCs w:val="22"/>
        </w:rPr>
        <w:t xml:space="preserve"> patients </w:t>
      </w:r>
      <w:r w:rsidR="00745C99" w:rsidRPr="00220E51">
        <w:rPr>
          <w:rFonts w:ascii="Arial" w:hAnsi="Arial" w:cs="Arial"/>
          <w:sz w:val="22"/>
          <w:szCs w:val="22"/>
        </w:rPr>
        <w:t xml:space="preserve">included in the questionnaire survey. </w:t>
      </w:r>
      <w:r w:rsidR="002D5BAB" w:rsidRPr="00220E51">
        <w:rPr>
          <w:rFonts w:ascii="Arial" w:hAnsi="Arial" w:cs="Arial"/>
          <w:sz w:val="22"/>
          <w:szCs w:val="22"/>
        </w:rPr>
        <w:t xml:space="preserve">The sample size was decided pragmatically, based on </w:t>
      </w:r>
      <w:r w:rsidR="00D9457D" w:rsidRPr="00220E51">
        <w:rPr>
          <w:rFonts w:ascii="Arial" w:hAnsi="Arial" w:cs="Arial"/>
          <w:sz w:val="22"/>
          <w:szCs w:val="22"/>
        </w:rPr>
        <w:t xml:space="preserve">the size of </w:t>
      </w:r>
      <w:r w:rsidR="00043AAC" w:rsidRPr="00220E51">
        <w:rPr>
          <w:rFonts w:ascii="Arial" w:hAnsi="Arial" w:cs="Arial"/>
          <w:sz w:val="22"/>
          <w:szCs w:val="22"/>
        </w:rPr>
        <w:t>our</w:t>
      </w:r>
      <w:r w:rsidR="00D9457D" w:rsidRPr="00220E51">
        <w:rPr>
          <w:rFonts w:ascii="Arial" w:hAnsi="Arial" w:cs="Arial"/>
          <w:sz w:val="22"/>
          <w:szCs w:val="22"/>
        </w:rPr>
        <w:t xml:space="preserve"> source database and </w:t>
      </w:r>
      <w:r w:rsidR="00CD08B1" w:rsidRPr="00220E51">
        <w:rPr>
          <w:rFonts w:ascii="Arial" w:hAnsi="Arial" w:cs="Arial"/>
          <w:sz w:val="22"/>
          <w:szCs w:val="22"/>
        </w:rPr>
        <w:t>anticipated return rates.</w:t>
      </w:r>
      <w:r w:rsidR="00452166">
        <w:rPr>
          <w:rFonts w:ascii="Arial" w:hAnsi="Arial" w:cs="Arial"/>
          <w:sz w:val="22"/>
          <w:szCs w:val="22"/>
        </w:rPr>
        <w:t xml:space="preserve"> W</w:t>
      </w:r>
      <w:r w:rsidR="00D87E94" w:rsidRPr="00220E51">
        <w:rPr>
          <w:rFonts w:ascii="Arial" w:hAnsi="Arial" w:cs="Arial"/>
          <w:sz w:val="22"/>
          <w:szCs w:val="22"/>
        </w:rPr>
        <w:t xml:space="preserve">e sent a retrospective questionnaire about helpful and unhelpful factors in treatment to this group of 65 responders and 65 non-responders. The questionnaire package included a £10 voucher, which the participant was free to </w:t>
      </w:r>
      <w:r w:rsidR="00D87E94" w:rsidRPr="00220E51">
        <w:rPr>
          <w:rFonts w:ascii="Arial" w:hAnsi="Arial" w:cs="Arial"/>
          <w:sz w:val="22"/>
          <w:szCs w:val="22"/>
        </w:rPr>
        <w:lastRenderedPageBreak/>
        <w:t xml:space="preserve">keep whether they completed the questionnaire or not. A reminder letter was sent out after two weeks. </w:t>
      </w:r>
    </w:p>
    <w:p w14:paraId="4B3F6468" w14:textId="334FE1B6" w:rsidR="00CD08B1" w:rsidRPr="00B919B5" w:rsidRDefault="00452166" w:rsidP="00BF5105">
      <w:pPr>
        <w:spacing w:before="240" w:line="480" w:lineRule="auto"/>
        <w:rPr>
          <w:rFonts w:ascii="Arial" w:hAnsi="Arial" w:cs="Arial"/>
          <w:i/>
          <w:sz w:val="22"/>
          <w:szCs w:val="22"/>
        </w:rPr>
      </w:pPr>
      <w:r w:rsidRPr="00B919B5">
        <w:rPr>
          <w:rFonts w:ascii="Arial" w:hAnsi="Arial" w:cs="Arial"/>
          <w:i/>
          <w:sz w:val="22"/>
          <w:szCs w:val="22"/>
        </w:rPr>
        <w:t>Definition of non-responders and responders</w:t>
      </w:r>
    </w:p>
    <w:p w14:paraId="5D54A63B" w14:textId="6CF43E79" w:rsidR="007051B1" w:rsidRDefault="00452166" w:rsidP="00BF5105">
      <w:pPr>
        <w:spacing w:before="240" w:line="480" w:lineRule="auto"/>
        <w:rPr>
          <w:rFonts w:ascii="Arial" w:hAnsi="Arial" w:cs="Arial"/>
          <w:sz w:val="22"/>
          <w:szCs w:val="22"/>
        </w:rPr>
      </w:pPr>
      <w:r>
        <w:rPr>
          <w:rFonts w:ascii="Arial" w:hAnsi="Arial" w:cs="Arial"/>
          <w:sz w:val="22"/>
          <w:szCs w:val="22"/>
        </w:rPr>
        <w:t>This study required the classification of individuals as ‘non-responders’ or ‘responders’. To achieve this, w</w:t>
      </w:r>
      <w:r w:rsidRPr="00220E51">
        <w:rPr>
          <w:rFonts w:ascii="Arial" w:hAnsi="Arial" w:cs="Arial"/>
          <w:sz w:val="22"/>
          <w:szCs w:val="22"/>
        </w:rPr>
        <w:t xml:space="preserve">e </w:t>
      </w:r>
      <w:r w:rsidR="000C4CF3" w:rsidRPr="00220E51">
        <w:rPr>
          <w:rFonts w:ascii="Arial" w:hAnsi="Arial" w:cs="Arial"/>
          <w:sz w:val="22"/>
          <w:szCs w:val="22"/>
        </w:rPr>
        <w:t xml:space="preserve">inspected three clinical outcome domains in </w:t>
      </w:r>
      <w:r w:rsidR="00CD08B1" w:rsidRPr="00220E51">
        <w:rPr>
          <w:rFonts w:ascii="Arial" w:hAnsi="Arial" w:cs="Arial"/>
          <w:sz w:val="22"/>
          <w:szCs w:val="22"/>
        </w:rPr>
        <w:t>our definition of non-response</w:t>
      </w:r>
      <w:r w:rsidR="007051B1">
        <w:rPr>
          <w:rFonts w:ascii="Arial" w:hAnsi="Arial" w:cs="Arial"/>
          <w:sz w:val="22"/>
          <w:szCs w:val="22"/>
        </w:rPr>
        <w:t>:</w:t>
      </w:r>
      <w:r>
        <w:rPr>
          <w:rFonts w:ascii="Arial" w:hAnsi="Arial" w:cs="Arial"/>
          <w:sz w:val="22"/>
          <w:szCs w:val="22"/>
        </w:rPr>
        <w:t xml:space="preserve"> </w:t>
      </w:r>
      <w:r w:rsidR="009A4FEF" w:rsidRPr="00220E51">
        <w:rPr>
          <w:rFonts w:ascii="Arial" w:hAnsi="Arial" w:cs="Arial"/>
          <w:sz w:val="22"/>
          <w:szCs w:val="22"/>
        </w:rPr>
        <w:t xml:space="preserve">overall </w:t>
      </w:r>
      <w:r w:rsidR="007051B1">
        <w:rPr>
          <w:rFonts w:ascii="Arial" w:hAnsi="Arial" w:cs="Arial"/>
          <w:sz w:val="22"/>
          <w:szCs w:val="22"/>
        </w:rPr>
        <w:t>disability,</w:t>
      </w:r>
      <w:r w:rsidR="009A4FEF" w:rsidRPr="00220E51">
        <w:rPr>
          <w:rFonts w:ascii="Arial" w:hAnsi="Arial" w:cs="Arial"/>
          <w:sz w:val="22"/>
          <w:szCs w:val="22"/>
        </w:rPr>
        <w:t xml:space="preserve"> </w:t>
      </w:r>
      <w:r w:rsidR="007051B1">
        <w:rPr>
          <w:rFonts w:ascii="Arial" w:hAnsi="Arial" w:cs="Arial"/>
          <w:sz w:val="22"/>
          <w:szCs w:val="22"/>
        </w:rPr>
        <w:t>depression, or</w:t>
      </w:r>
      <w:r w:rsidR="009A4FEF" w:rsidRPr="00220E51">
        <w:rPr>
          <w:rFonts w:ascii="Arial" w:hAnsi="Arial" w:cs="Arial"/>
          <w:sz w:val="22"/>
          <w:szCs w:val="22"/>
        </w:rPr>
        <w:t xml:space="preserve"> </w:t>
      </w:r>
      <w:r w:rsidR="00685218" w:rsidRPr="00220E51">
        <w:rPr>
          <w:rFonts w:ascii="Arial" w:hAnsi="Arial" w:cs="Arial"/>
          <w:sz w:val="22"/>
          <w:szCs w:val="22"/>
        </w:rPr>
        <w:t>pain-related fear</w:t>
      </w:r>
      <w:r w:rsidR="00E901E0">
        <w:rPr>
          <w:rFonts w:ascii="Arial" w:hAnsi="Arial" w:cs="Arial"/>
          <w:sz w:val="22"/>
          <w:szCs w:val="22"/>
        </w:rPr>
        <w:t>.</w:t>
      </w:r>
      <w:r w:rsidR="00E901E0" w:rsidRPr="00220E51">
        <w:rPr>
          <w:rFonts w:ascii="Arial" w:hAnsi="Arial" w:cs="Arial"/>
          <w:sz w:val="22"/>
          <w:szCs w:val="22"/>
        </w:rPr>
        <w:t xml:space="preserve"> </w:t>
      </w:r>
      <w:r w:rsidR="00E901E0" w:rsidRPr="00F63518">
        <w:rPr>
          <w:rFonts w:ascii="Arial" w:hAnsi="Arial" w:cs="Arial"/>
          <w:color w:val="FF0000"/>
          <w:sz w:val="22"/>
          <w:szCs w:val="22"/>
        </w:rPr>
        <w:t>‘</w:t>
      </w:r>
      <w:r w:rsidR="00E901E0" w:rsidRPr="00220E51">
        <w:rPr>
          <w:rFonts w:ascii="Arial" w:hAnsi="Arial" w:cs="Arial"/>
          <w:sz w:val="22"/>
          <w:szCs w:val="22"/>
        </w:rPr>
        <w:t>Non-responders</w:t>
      </w:r>
      <w:r w:rsidR="00E901E0" w:rsidRPr="00F63518">
        <w:rPr>
          <w:rFonts w:ascii="Arial" w:hAnsi="Arial" w:cs="Arial"/>
          <w:color w:val="FF0000"/>
          <w:sz w:val="22"/>
          <w:szCs w:val="22"/>
        </w:rPr>
        <w:t>’</w:t>
      </w:r>
      <w:r w:rsidR="00E901E0" w:rsidRPr="00220E51">
        <w:rPr>
          <w:rFonts w:ascii="Arial" w:hAnsi="Arial" w:cs="Arial"/>
          <w:sz w:val="22"/>
          <w:szCs w:val="22"/>
        </w:rPr>
        <w:t xml:space="preserve"> were those who</w:t>
      </w:r>
      <w:r w:rsidR="00E901E0">
        <w:rPr>
          <w:rFonts w:ascii="Arial" w:hAnsi="Arial" w:cs="Arial"/>
          <w:sz w:val="22"/>
          <w:szCs w:val="22"/>
        </w:rPr>
        <w:t xml:space="preserve"> </w:t>
      </w:r>
      <w:r w:rsidR="00E901E0" w:rsidRPr="006A1F85">
        <w:rPr>
          <w:rFonts w:ascii="Arial" w:hAnsi="Arial" w:cs="Arial"/>
          <w:color w:val="FF0000"/>
          <w:sz w:val="22"/>
          <w:szCs w:val="22"/>
        </w:rPr>
        <w:t>did not</w:t>
      </w:r>
      <w:r w:rsidR="00E901E0">
        <w:rPr>
          <w:rFonts w:ascii="Arial" w:hAnsi="Arial" w:cs="Arial"/>
          <w:sz w:val="22"/>
          <w:szCs w:val="22"/>
        </w:rPr>
        <w:t xml:space="preserve"> achieve</w:t>
      </w:r>
      <w:r w:rsidR="00E901E0" w:rsidRPr="00220E51">
        <w:rPr>
          <w:rFonts w:ascii="Arial" w:hAnsi="Arial" w:cs="Arial"/>
          <w:sz w:val="22"/>
          <w:szCs w:val="22"/>
        </w:rPr>
        <w:t xml:space="preserve"> reliable change in </w:t>
      </w:r>
      <w:r w:rsidR="00E901E0">
        <w:rPr>
          <w:rFonts w:ascii="Arial" w:hAnsi="Arial" w:cs="Arial"/>
          <w:color w:val="FF0000"/>
          <w:sz w:val="22"/>
          <w:szCs w:val="22"/>
        </w:rPr>
        <w:t>all domains</w:t>
      </w:r>
      <w:r w:rsidR="00E901E0" w:rsidRPr="00220E51">
        <w:rPr>
          <w:rFonts w:ascii="Arial" w:hAnsi="Arial" w:cs="Arial"/>
          <w:sz w:val="22"/>
          <w:szCs w:val="22"/>
        </w:rPr>
        <w:t xml:space="preserve">; </w:t>
      </w:r>
      <w:r w:rsidR="00E901E0" w:rsidRPr="00F63518">
        <w:rPr>
          <w:rFonts w:ascii="Arial" w:hAnsi="Arial" w:cs="Arial"/>
          <w:color w:val="FF0000"/>
          <w:sz w:val="22"/>
          <w:szCs w:val="22"/>
        </w:rPr>
        <w:t>‘</w:t>
      </w:r>
      <w:r w:rsidR="00E901E0" w:rsidRPr="00220E51">
        <w:rPr>
          <w:rFonts w:ascii="Arial" w:hAnsi="Arial" w:cs="Arial"/>
          <w:sz w:val="22"/>
          <w:szCs w:val="22"/>
        </w:rPr>
        <w:t>responders</w:t>
      </w:r>
      <w:r w:rsidR="00E901E0" w:rsidRPr="00F63518">
        <w:rPr>
          <w:rFonts w:ascii="Arial" w:hAnsi="Arial" w:cs="Arial"/>
          <w:color w:val="FF0000"/>
          <w:sz w:val="22"/>
          <w:szCs w:val="22"/>
        </w:rPr>
        <w:t>’</w:t>
      </w:r>
      <w:r w:rsidR="00E901E0" w:rsidRPr="00220E51">
        <w:rPr>
          <w:rFonts w:ascii="Arial" w:hAnsi="Arial" w:cs="Arial"/>
          <w:sz w:val="22"/>
          <w:szCs w:val="22"/>
        </w:rPr>
        <w:t xml:space="preserve"> achieved</w:t>
      </w:r>
      <w:r w:rsidR="00E901E0">
        <w:rPr>
          <w:rFonts w:ascii="Arial" w:hAnsi="Arial" w:cs="Arial"/>
          <w:sz w:val="22"/>
          <w:szCs w:val="22"/>
        </w:rPr>
        <w:t xml:space="preserve"> </w:t>
      </w:r>
      <w:r w:rsidR="00E901E0" w:rsidRPr="00E7034C">
        <w:rPr>
          <w:rFonts w:ascii="Arial" w:hAnsi="Arial" w:cs="Arial"/>
          <w:color w:val="FF0000"/>
          <w:sz w:val="22"/>
          <w:szCs w:val="22"/>
        </w:rPr>
        <w:t>a</w:t>
      </w:r>
      <w:r w:rsidR="00E901E0" w:rsidRPr="00220E51">
        <w:rPr>
          <w:rFonts w:ascii="Arial" w:hAnsi="Arial" w:cs="Arial"/>
          <w:sz w:val="22"/>
          <w:szCs w:val="22"/>
        </w:rPr>
        <w:t xml:space="preserve"> reliable change in one </w:t>
      </w:r>
      <w:r w:rsidR="00E901E0" w:rsidRPr="00F63518">
        <w:rPr>
          <w:rFonts w:ascii="Arial" w:hAnsi="Arial" w:cs="Arial"/>
          <w:color w:val="FF0000"/>
          <w:sz w:val="22"/>
          <w:szCs w:val="22"/>
        </w:rPr>
        <w:t xml:space="preserve">or more </w:t>
      </w:r>
      <w:r w:rsidR="00E901E0">
        <w:rPr>
          <w:rFonts w:ascii="Arial" w:hAnsi="Arial" w:cs="Arial"/>
          <w:sz w:val="22"/>
          <w:szCs w:val="22"/>
        </w:rPr>
        <w:t>domain</w:t>
      </w:r>
      <w:r w:rsidR="00E901E0" w:rsidRPr="00F63518">
        <w:rPr>
          <w:rFonts w:ascii="Arial" w:hAnsi="Arial" w:cs="Arial"/>
          <w:color w:val="FF0000"/>
          <w:sz w:val="22"/>
          <w:szCs w:val="22"/>
        </w:rPr>
        <w:t>s</w:t>
      </w:r>
      <w:r w:rsidR="00E901E0" w:rsidRPr="00220E51">
        <w:rPr>
          <w:rFonts w:ascii="Arial" w:hAnsi="Arial" w:cs="Arial"/>
          <w:sz w:val="22"/>
          <w:szCs w:val="22"/>
        </w:rPr>
        <w:t xml:space="preserve">. </w:t>
      </w:r>
      <w:r w:rsidR="008C0702" w:rsidRPr="00220E51">
        <w:rPr>
          <w:rFonts w:ascii="Arial" w:hAnsi="Arial" w:cs="Arial"/>
          <w:sz w:val="22"/>
          <w:szCs w:val="22"/>
        </w:rPr>
        <w:t>Clinically</w:t>
      </w:r>
      <w:r w:rsidR="00685218" w:rsidRPr="00220E51">
        <w:rPr>
          <w:rFonts w:ascii="Arial" w:hAnsi="Arial" w:cs="Arial"/>
          <w:sz w:val="22"/>
          <w:szCs w:val="22"/>
        </w:rPr>
        <w:t xml:space="preserve"> reliable change was defined using the method described by Vowles and McCracken (</w:t>
      </w:r>
      <w:r w:rsidR="00E72411" w:rsidRPr="00220E51">
        <w:rPr>
          <w:rFonts w:ascii="Arial" w:hAnsi="Arial" w:cs="Arial"/>
          <w:sz w:val="22"/>
          <w:szCs w:val="22"/>
        </w:rPr>
        <w:t xml:space="preserve">2008; </w:t>
      </w:r>
      <w:r w:rsidR="00685218" w:rsidRPr="00220E51">
        <w:rPr>
          <w:rFonts w:ascii="Arial" w:hAnsi="Arial" w:cs="Arial"/>
          <w:sz w:val="22"/>
          <w:szCs w:val="22"/>
        </w:rPr>
        <w:t>full formulae are included in their paper).</w:t>
      </w:r>
      <w:r w:rsidR="00CB3D5D" w:rsidRPr="00220E51">
        <w:rPr>
          <w:rFonts w:ascii="Arial" w:hAnsi="Arial" w:cs="Arial"/>
          <w:sz w:val="22"/>
          <w:szCs w:val="22"/>
        </w:rPr>
        <w:t xml:space="preserve"> </w:t>
      </w:r>
      <w:r w:rsidR="00685218" w:rsidRPr="00220E51">
        <w:rPr>
          <w:rFonts w:ascii="Arial" w:hAnsi="Arial" w:cs="Arial"/>
          <w:sz w:val="22"/>
          <w:szCs w:val="22"/>
        </w:rPr>
        <w:t xml:space="preserve">This method calculates </w:t>
      </w:r>
      <w:r w:rsidR="007051B1" w:rsidRPr="00244EFF">
        <w:rPr>
          <w:rFonts w:ascii="Arial" w:hAnsi="Arial" w:cs="Arial"/>
          <w:color w:val="FF0000"/>
          <w:sz w:val="22"/>
          <w:szCs w:val="22"/>
        </w:rPr>
        <w:t xml:space="preserve">a reliable change index (RCI), which indicates the practical importance of observed change (Jacobson, Roberts, Berns &amp; McGlinchey, 1999). </w:t>
      </w:r>
      <w:r w:rsidR="007051B1">
        <w:rPr>
          <w:rFonts w:ascii="Arial" w:hAnsi="Arial" w:cs="Arial"/>
          <w:color w:val="FF0000"/>
          <w:sz w:val="22"/>
          <w:szCs w:val="22"/>
        </w:rPr>
        <w:t>Though it is important to note that</w:t>
      </w:r>
      <w:r w:rsidR="007051B1" w:rsidRPr="00244EFF">
        <w:rPr>
          <w:rFonts w:ascii="Arial" w:hAnsi="Arial" w:cs="Arial"/>
          <w:color w:val="FF0000"/>
          <w:sz w:val="22"/>
          <w:szCs w:val="22"/>
        </w:rPr>
        <w:t xml:space="preserve"> clinically significant change is not captured by this metric, as </w:t>
      </w:r>
      <w:r w:rsidR="007051B1">
        <w:rPr>
          <w:rFonts w:ascii="Arial" w:hAnsi="Arial" w:cs="Arial"/>
          <w:color w:val="FF0000"/>
          <w:sz w:val="22"/>
          <w:szCs w:val="22"/>
        </w:rPr>
        <w:t>it</w:t>
      </w:r>
      <w:r w:rsidR="007051B1" w:rsidRPr="00244EFF">
        <w:rPr>
          <w:rFonts w:ascii="Arial" w:hAnsi="Arial" w:cs="Arial"/>
          <w:color w:val="FF0000"/>
          <w:sz w:val="22"/>
          <w:szCs w:val="22"/>
        </w:rPr>
        <w:t xml:space="preserve"> requires normative data. In chronic pain a complete recovery may not be expected (Morley et al., 2013), limiting the availability of normative scores</w:t>
      </w:r>
      <w:r w:rsidR="007051B1">
        <w:rPr>
          <w:rFonts w:ascii="Arial" w:hAnsi="Arial" w:cs="Arial"/>
          <w:color w:val="FF0000"/>
          <w:sz w:val="22"/>
          <w:szCs w:val="22"/>
        </w:rPr>
        <w:t xml:space="preserve">. Thus responder analyses are typically concerned with RCI. </w:t>
      </w:r>
    </w:p>
    <w:p w14:paraId="537163A9" w14:textId="77777777" w:rsidR="008F6D1C" w:rsidRPr="00220E51" w:rsidRDefault="008F6D1C" w:rsidP="00BF5105">
      <w:pPr>
        <w:spacing w:line="480" w:lineRule="auto"/>
        <w:rPr>
          <w:rFonts w:ascii="Arial" w:hAnsi="Arial" w:cs="Arial"/>
          <w:sz w:val="22"/>
          <w:szCs w:val="22"/>
        </w:rPr>
      </w:pPr>
    </w:p>
    <w:p w14:paraId="40091CAB" w14:textId="257F4EDC" w:rsidR="008F6D1C" w:rsidRPr="00220E51" w:rsidRDefault="00452166" w:rsidP="00BF5105">
      <w:pPr>
        <w:spacing w:line="480" w:lineRule="auto"/>
        <w:rPr>
          <w:rFonts w:ascii="Arial" w:hAnsi="Arial" w:cs="Arial"/>
          <w:i/>
          <w:sz w:val="22"/>
          <w:szCs w:val="22"/>
        </w:rPr>
      </w:pPr>
      <w:r>
        <w:rPr>
          <w:rFonts w:ascii="Arial" w:hAnsi="Arial" w:cs="Arial"/>
          <w:i/>
          <w:sz w:val="22"/>
          <w:szCs w:val="22"/>
        </w:rPr>
        <w:t>Measures used to detect response / non-response</w:t>
      </w:r>
    </w:p>
    <w:p w14:paraId="389D9088" w14:textId="77777777" w:rsidR="002D5BAB" w:rsidRPr="000462B2" w:rsidRDefault="00C35DA7" w:rsidP="00BF5105">
      <w:pPr>
        <w:spacing w:line="480" w:lineRule="auto"/>
        <w:rPr>
          <w:rFonts w:ascii="Arial" w:hAnsi="Arial" w:cs="Arial"/>
          <w:sz w:val="22"/>
          <w:szCs w:val="22"/>
        </w:rPr>
      </w:pPr>
      <w:r w:rsidRPr="00220E51">
        <w:rPr>
          <w:rFonts w:ascii="Arial" w:hAnsi="Arial" w:cs="Arial"/>
          <w:sz w:val="22"/>
          <w:szCs w:val="22"/>
        </w:rPr>
        <w:t>Participants completed the following measures as part of their standard clinical treatment; scores from these scales were used in the definition of ‘non-response’.</w:t>
      </w:r>
    </w:p>
    <w:p w14:paraId="0FBE8508" w14:textId="77777777" w:rsidR="00025C1A" w:rsidRPr="00220E51" w:rsidRDefault="002D5BAB" w:rsidP="00BF5105">
      <w:pPr>
        <w:spacing w:line="480" w:lineRule="auto"/>
        <w:ind w:firstLine="720"/>
        <w:rPr>
          <w:rFonts w:ascii="Arial" w:hAnsi="Arial" w:cs="Arial"/>
          <w:i/>
          <w:sz w:val="22"/>
          <w:szCs w:val="22"/>
        </w:rPr>
      </w:pPr>
      <w:r w:rsidRPr="00220E51">
        <w:rPr>
          <w:rFonts w:ascii="Arial" w:hAnsi="Arial" w:cs="Arial"/>
          <w:i/>
          <w:sz w:val="22"/>
          <w:szCs w:val="22"/>
        </w:rPr>
        <w:t>Disability</w:t>
      </w:r>
      <w:r w:rsidR="00025C1A" w:rsidRPr="00220E51">
        <w:rPr>
          <w:rFonts w:ascii="Arial" w:hAnsi="Arial" w:cs="Arial"/>
          <w:i/>
          <w:sz w:val="22"/>
          <w:szCs w:val="22"/>
        </w:rPr>
        <w:t xml:space="preserve"> - Sickness Impact Profile</w:t>
      </w:r>
      <w:r w:rsidR="0056341C" w:rsidRPr="00220E51">
        <w:rPr>
          <w:rFonts w:ascii="Arial" w:hAnsi="Arial" w:cs="Arial"/>
          <w:i/>
          <w:sz w:val="22"/>
          <w:szCs w:val="22"/>
        </w:rPr>
        <w:t xml:space="preserve"> (SIP</w:t>
      </w:r>
      <w:r w:rsidR="00025C1A" w:rsidRPr="00220E51">
        <w:rPr>
          <w:rFonts w:ascii="Arial" w:hAnsi="Arial" w:cs="Arial"/>
          <w:i/>
          <w:sz w:val="22"/>
          <w:szCs w:val="22"/>
        </w:rPr>
        <w:t xml:space="preserve">) </w:t>
      </w:r>
    </w:p>
    <w:p w14:paraId="1B022C4C" w14:textId="0A766A3A" w:rsidR="00C824A6" w:rsidRPr="00220E51" w:rsidRDefault="00025C1A" w:rsidP="00BF5105">
      <w:pPr>
        <w:spacing w:line="480" w:lineRule="auto"/>
        <w:rPr>
          <w:rFonts w:ascii="Arial" w:hAnsi="Arial" w:cs="Arial"/>
          <w:sz w:val="22"/>
          <w:szCs w:val="22"/>
        </w:rPr>
      </w:pPr>
      <w:r w:rsidRPr="00220E51">
        <w:rPr>
          <w:rFonts w:ascii="Arial" w:hAnsi="Arial" w:cs="Arial"/>
          <w:sz w:val="22"/>
          <w:szCs w:val="22"/>
        </w:rPr>
        <w:t>The SIP</w:t>
      </w:r>
      <w:r w:rsidR="0056341C" w:rsidRPr="00220E51">
        <w:rPr>
          <w:rFonts w:ascii="Arial" w:hAnsi="Arial" w:cs="Arial"/>
          <w:sz w:val="22"/>
          <w:szCs w:val="22"/>
        </w:rPr>
        <w:t xml:space="preserve"> (Bergner, Bobbitt, Carter &amp; Gilson, 1981)</w:t>
      </w:r>
      <w:r w:rsidRPr="00220E51">
        <w:rPr>
          <w:rFonts w:ascii="Arial" w:hAnsi="Arial" w:cs="Arial"/>
          <w:sz w:val="22"/>
          <w:szCs w:val="22"/>
        </w:rPr>
        <w:t xml:space="preserve"> was used as a measure of physical and psychosocial disability. This validated measure is comprised of 136 items that can be used to assess three dimensions of disability (physical disability, psychosocial disability and “other” disability) or be combined to give a </w:t>
      </w:r>
      <w:r w:rsidR="00452166">
        <w:rPr>
          <w:rFonts w:ascii="Arial" w:hAnsi="Arial" w:cs="Arial"/>
          <w:sz w:val="22"/>
          <w:szCs w:val="22"/>
        </w:rPr>
        <w:t>T</w:t>
      </w:r>
      <w:r w:rsidRPr="00220E51">
        <w:rPr>
          <w:rFonts w:ascii="Arial" w:hAnsi="Arial" w:cs="Arial"/>
          <w:sz w:val="22"/>
          <w:szCs w:val="22"/>
        </w:rPr>
        <w:t>otal score</w:t>
      </w:r>
      <w:r w:rsidR="00D9457D" w:rsidRPr="00220E51">
        <w:rPr>
          <w:rFonts w:ascii="Arial" w:hAnsi="Arial" w:cs="Arial"/>
          <w:sz w:val="22"/>
          <w:szCs w:val="22"/>
        </w:rPr>
        <w:t xml:space="preserve">, which we used in this </w:t>
      </w:r>
      <w:r w:rsidR="00452166" w:rsidRPr="00220E51">
        <w:rPr>
          <w:rFonts w:ascii="Arial" w:hAnsi="Arial" w:cs="Arial"/>
          <w:sz w:val="22"/>
          <w:szCs w:val="22"/>
        </w:rPr>
        <w:t>s</w:t>
      </w:r>
      <w:r w:rsidR="00452166">
        <w:rPr>
          <w:rFonts w:ascii="Arial" w:hAnsi="Arial" w:cs="Arial"/>
          <w:sz w:val="22"/>
          <w:szCs w:val="22"/>
        </w:rPr>
        <w:t>t</w:t>
      </w:r>
      <w:r w:rsidR="00452166" w:rsidRPr="00220E51">
        <w:rPr>
          <w:rFonts w:ascii="Arial" w:hAnsi="Arial" w:cs="Arial"/>
          <w:sz w:val="22"/>
          <w:szCs w:val="22"/>
        </w:rPr>
        <w:t>udy</w:t>
      </w:r>
      <w:r w:rsidR="00D9457D" w:rsidRPr="00220E51">
        <w:rPr>
          <w:rFonts w:ascii="Arial" w:hAnsi="Arial" w:cs="Arial"/>
          <w:sz w:val="22"/>
          <w:szCs w:val="22"/>
        </w:rPr>
        <w:t xml:space="preserve"> test-retest </w:t>
      </w:r>
      <w:r w:rsidR="00610B37">
        <w:rPr>
          <w:rFonts w:ascii="Arial" w:hAnsi="Arial" w:cs="Arial"/>
          <w:sz w:val="22"/>
          <w:szCs w:val="22"/>
        </w:rPr>
        <w:t>is good, at</w:t>
      </w:r>
      <w:r w:rsidR="00D9457D" w:rsidRPr="00220E51">
        <w:rPr>
          <w:rFonts w:ascii="Arial" w:hAnsi="Arial" w:cs="Arial"/>
          <w:sz w:val="22"/>
          <w:szCs w:val="22"/>
        </w:rPr>
        <w:t xml:space="preserve"> .87 (Bergner et al., 1981; </w:t>
      </w:r>
      <w:r w:rsidR="0056341C" w:rsidRPr="00220E51">
        <w:rPr>
          <w:rFonts w:ascii="Arial" w:hAnsi="Arial" w:cs="Arial"/>
          <w:sz w:val="22"/>
          <w:szCs w:val="22"/>
        </w:rPr>
        <w:t>Vowles &amp; McCracken, 2008).</w:t>
      </w:r>
      <w:r w:rsidRPr="00220E51">
        <w:rPr>
          <w:rFonts w:ascii="Arial" w:hAnsi="Arial" w:cs="Arial"/>
          <w:sz w:val="22"/>
          <w:szCs w:val="22"/>
        </w:rPr>
        <w:t xml:space="preserve"> </w:t>
      </w:r>
    </w:p>
    <w:p w14:paraId="3D6A0F6A" w14:textId="77777777" w:rsidR="00025C1A" w:rsidRPr="00220E51" w:rsidRDefault="00025C1A" w:rsidP="00BF5105">
      <w:pPr>
        <w:spacing w:line="480" w:lineRule="auto"/>
        <w:ind w:firstLine="720"/>
        <w:rPr>
          <w:rFonts w:ascii="Arial" w:hAnsi="Arial" w:cs="Arial"/>
          <w:sz w:val="22"/>
          <w:szCs w:val="22"/>
        </w:rPr>
      </w:pPr>
      <w:r w:rsidRPr="00220E51">
        <w:rPr>
          <w:rFonts w:ascii="Arial" w:hAnsi="Arial" w:cs="Arial"/>
          <w:i/>
          <w:sz w:val="22"/>
          <w:szCs w:val="22"/>
        </w:rPr>
        <w:lastRenderedPageBreak/>
        <w:t>Pain-related fear -</w:t>
      </w:r>
      <w:r w:rsidRPr="00220E51">
        <w:rPr>
          <w:rFonts w:ascii="Arial" w:hAnsi="Arial" w:cs="Arial"/>
          <w:sz w:val="22"/>
          <w:szCs w:val="22"/>
        </w:rPr>
        <w:t xml:space="preserve"> </w:t>
      </w:r>
      <w:r w:rsidRPr="00220E51">
        <w:rPr>
          <w:rFonts w:ascii="Arial" w:hAnsi="Arial" w:cs="Arial"/>
          <w:i/>
          <w:sz w:val="22"/>
          <w:szCs w:val="22"/>
        </w:rPr>
        <w:t>Pain Anxiety Symptoms Scale</w:t>
      </w:r>
      <w:r w:rsidR="002517C3" w:rsidRPr="00220E51">
        <w:rPr>
          <w:rFonts w:ascii="Arial" w:hAnsi="Arial" w:cs="Arial"/>
          <w:i/>
          <w:sz w:val="22"/>
          <w:szCs w:val="22"/>
        </w:rPr>
        <w:t xml:space="preserve"> (PASS</w:t>
      </w:r>
      <w:r w:rsidRPr="00220E51">
        <w:rPr>
          <w:rFonts w:ascii="Arial" w:hAnsi="Arial" w:cs="Arial"/>
          <w:i/>
          <w:sz w:val="22"/>
          <w:szCs w:val="22"/>
        </w:rPr>
        <w:t xml:space="preserve">) </w:t>
      </w:r>
    </w:p>
    <w:p w14:paraId="28DE2B01" w14:textId="77777777" w:rsidR="00025C1A" w:rsidRPr="00220E51" w:rsidRDefault="00025C1A" w:rsidP="00BF5105">
      <w:pPr>
        <w:spacing w:line="480" w:lineRule="auto"/>
        <w:rPr>
          <w:rFonts w:ascii="Arial" w:hAnsi="Arial" w:cs="Arial"/>
          <w:sz w:val="22"/>
          <w:szCs w:val="22"/>
        </w:rPr>
      </w:pPr>
      <w:r w:rsidRPr="00220E51">
        <w:rPr>
          <w:rFonts w:ascii="Arial" w:hAnsi="Arial" w:cs="Arial"/>
          <w:sz w:val="22"/>
          <w:szCs w:val="22"/>
        </w:rPr>
        <w:t>The PASS</w:t>
      </w:r>
      <w:r w:rsidR="0056341C" w:rsidRPr="00220E51">
        <w:rPr>
          <w:rFonts w:ascii="Arial" w:hAnsi="Arial" w:cs="Arial"/>
          <w:sz w:val="22"/>
          <w:szCs w:val="22"/>
        </w:rPr>
        <w:t xml:space="preserve"> (McCracken &amp; Dhingra, 2002)</w:t>
      </w:r>
      <w:r w:rsidRPr="00220E51">
        <w:rPr>
          <w:rFonts w:ascii="Arial" w:hAnsi="Arial" w:cs="Arial"/>
          <w:sz w:val="22"/>
          <w:szCs w:val="22"/>
        </w:rPr>
        <w:t xml:space="preserve"> was used as a measure for pain-related anxiety and avoidance. It is a validated 20-item measure with</w:t>
      </w:r>
      <w:r w:rsidR="0056341C" w:rsidRPr="00220E51">
        <w:rPr>
          <w:rFonts w:ascii="Arial" w:hAnsi="Arial" w:cs="Arial"/>
          <w:sz w:val="22"/>
          <w:szCs w:val="22"/>
        </w:rPr>
        <w:t xml:space="preserve"> good psychometric properties. </w:t>
      </w:r>
      <w:r w:rsidRPr="00220E51">
        <w:rPr>
          <w:rFonts w:ascii="Arial" w:hAnsi="Arial" w:cs="Arial"/>
          <w:sz w:val="22"/>
          <w:szCs w:val="22"/>
        </w:rPr>
        <w:t>The measure uses a 6-point scale ranging from “0” (never) to “5” (always). A total score was used for this study</w:t>
      </w:r>
      <w:r w:rsidR="0056341C" w:rsidRPr="00220E51">
        <w:rPr>
          <w:rFonts w:ascii="Arial" w:hAnsi="Arial" w:cs="Arial"/>
          <w:sz w:val="22"/>
          <w:szCs w:val="22"/>
        </w:rPr>
        <w:t>, with a test-retest coefficient cited at .86 (Vowles &amp; McCracken, 2008)</w:t>
      </w:r>
    </w:p>
    <w:p w14:paraId="6E248281" w14:textId="77777777" w:rsidR="00443F60" w:rsidRPr="00220E51" w:rsidRDefault="006F12DA" w:rsidP="00BF5105">
      <w:pPr>
        <w:spacing w:line="480" w:lineRule="auto"/>
        <w:ind w:firstLine="720"/>
        <w:rPr>
          <w:rFonts w:ascii="Arial" w:hAnsi="Arial" w:cs="Arial"/>
          <w:i/>
          <w:sz w:val="22"/>
          <w:szCs w:val="22"/>
        </w:rPr>
      </w:pPr>
      <w:r w:rsidRPr="00220E51">
        <w:rPr>
          <w:rFonts w:ascii="Arial" w:hAnsi="Arial" w:cs="Arial"/>
          <w:i/>
          <w:sz w:val="22"/>
          <w:szCs w:val="22"/>
        </w:rPr>
        <w:t xml:space="preserve">Depression </w:t>
      </w:r>
    </w:p>
    <w:p w14:paraId="09AF7119" w14:textId="65D722AB" w:rsidR="00880A17" w:rsidRPr="00220E51" w:rsidRDefault="006F12DA" w:rsidP="00BF5105">
      <w:pPr>
        <w:spacing w:line="480" w:lineRule="auto"/>
        <w:rPr>
          <w:rFonts w:ascii="Arial" w:hAnsi="Arial" w:cs="Arial"/>
          <w:sz w:val="22"/>
          <w:szCs w:val="22"/>
        </w:rPr>
      </w:pPr>
      <w:r w:rsidRPr="00220E51">
        <w:rPr>
          <w:rFonts w:ascii="Arial" w:hAnsi="Arial" w:cs="Arial"/>
          <w:sz w:val="22"/>
          <w:szCs w:val="22"/>
        </w:rPr>
        <w:t xml:space="preserve">Due to changes </w:t>
      </w:r>
      <w:r w:rsidR="00610B37">
        <w:rPr>
          <w:rFonts w:ascii="Arial" w:hAnsi="Arial" w:cs="Arial"/>
          <w:sz w:val="22"/>
          <w:szCs w:val="22"/>
        </w:rPr>
        <w:t xml:space="preserve">in administered measures </w:t>
      </w:r>
      <w:r w:rsidRPr="00220E51">
        <w:rPr>
          <w:rFonts w:ascii="Arial" w:hAnsi="Arial" w:cs="Arial"/>
          <w:sz w:val="22"/>
          <w:szCs w:val="22"/>
        </w:rPr>
        <w:t>over time, participants received one of two indices of depression. Reliable change scores were calculated for both</w:t>
      </w:r>
      <w:r w:rsidR="0096683A">
        <w:rPr>
          <w:rFonts w:ascii="Arial" w:hAnsi="Arial" w:cs="Arial"/>
          <w:sz w:val="22"/>
          <w:szCs w:val="22"/>
        </w:rPr>
        <w:t>; the same calculation was used to define ‘response’ thresholds for both scales, and these calculations are not dependent on the nature or format of the origin</w:t>
      </w:r>
      <w:r w:rsidR="00242399">
        <w:rPr>
          <w:rFonts w:ascii="Arial" w:hAnsi="Arial" w:cs="Arial"/>
          <w:sz w:val="22"/>
          <w:szCs w:val="22"/>
        </w:rPr>
        <w:t>al</w:t>
      </w:r>
      <w:r w:rsidR="0096683A">
        <w:rPr>
          <w:rFonts w:ascii="Arial" w:hAnsi="Arial" w:cs="Arial"/>
          <w:sz w:val="22"/>
          <w:szCs w:val="22"/>
        </w:rPr>
        <w:t xml:space="preserve"> scale</w:t>
      </w:r>
      <w:r w:rsidR="00B919B5">
        <w:rPr>
          <w:rFonts w:ascii="Arial" w:hAnsi="Arial" w:cs="Arial"/>
          <w:sz w:val="22"/>
          <w:szCs w:val="22"/>
        </w:rPr>
        <w:t>.</w:t>
      </w:r>
    </w:p>
    <w:p w14:paraId="2A9284A8" w14:textId="77777777" w:rsidR="00880A17" w:rsidRPr="00220E51" w:rsidRDefault="00443F60" w:rsidP="00BF5105">
      <w:pPr>
        <w:spacing w:line="480" w:lineRule="auto"/>
        <w:ind w:firstLine="720"/>
        <w:rPr>
          <w:rFonts w:ascii="Arial" w:hAnsi="Arial" w:cs="Arial"/>
          <w:i/>
          <w:sz w:val="22"/>
          <w:szCs w:val="22"/>
        </w:rPr>
      </w:pPr>
      <w:r w:rsidRPr="00220E51">
        <w:rPr>
          <w:rFonts w:ascii="Arial" w:hAnsi="Arial" w:cs="Arial"/>
          <w:i/>
          <w:sz w:val="22"/>
          <w:szCs w:val="22"/>
        </w:rPr>
        <w:t>British Columbia Major Depression Inventory (B</w:t>
      </w:r>
      <w:r w:rsidR="002517C3" w:rsidRPr="00220E51">
        <w:rPr>
          <w:rFonts w:ascii="Arial" w:hAnsi="Arial" w:cs="Arial"/>
          <w:i/>
          <w:sz w:val="22"/>
          <w:szCs w:val="22"/>
        </w:rPr>
        <w:t>C</w:t>
      </w:r>
      <w:r w:rsidRPr="00220E51">
        <w:rPr>
          <w:rFonts w:ascii="Arial" w:hAnsi="Arial" w:cs="Arial"/>
          <w:i/>
          <w:sz w:val="22"/>
          <w:szCs w:val="22"/>
        </w:rPr>
        <w:t>MD</w:t>
      </w:r>
      <w:r w:rsidR="002517C3" w:rsidRPr="00220E51">
        <w:rPr>
          <w:rFonts w:ascii="Arial" w:hAnsi="Arial" w:cs="Arial"/>
          <w:i/>
          <w:sz w:val="22"/>
          <w:szCs w:val="22"/>
        </w:rPr>
        <w:t>I</w:t>
      </w:r>
      <w:r w:rsidRPr="00220E51">
        <w:rPr>
          <w:rFonts w:ascii="Arial" w:hAnsi="Arial" w:cs="Arial"/>
          <w:i/>
          <w:sz w:val="22"/>
          <w:szCs w:val="22"/>
        </w:rPr>
        <w:t>)</w:t>
      </w:r>
      <w:r w:rsidR="00880A17" w:rsidRPr="00220E51">
        <w:rPr>
          <w:rFonts w:ascii="Arial" w:hAnsi="Arial" w:cs="Arial"/>
          <w:i/>
          <w:sz w:val="22"/>
          <w:szCs w:val="22"/>
        </w:rPr>
        <w:t xml:space="preserve"> </w:t>
      </w:r>
    </w:p>
    <w:p w14:paraId="51F7D9D3" w14:textId="77777777" w:rsidR="00C237A4" w:rsidRPr="00220E51" w:rsidRDefault="00443F60" w:rsidP="00BF5105">
      <w:pPr>
        <w:spacing w:line="480" w:lineRule="auto"/>
        <w:rPr>
          <w:rFonts w:ascii="Arial" w:hAnsi="Arial" w:cs="Arial"/>
          <w:i/>
          <w:sz w:val="22"/>
          <w:szCs w:val="22"/>
        </w:rPr>
      </w:pPr>
      <w:r w:rsidRPr="00220E51">
        <w:rPr>
          <w:rFonts w:ascii="Arial" w:hAnsi="Arial" w:cs="Arial"/>
          <w:sz w:val="22"/>
          <w:szCs w:val="22"/>
        </w:rPr>
        <w:t xml:space="preserve">The BCMDI </w:t>
      </w:r>
      <w:r w:rsidR="0056341C" w:rsidRPr="00220E51">
        <w:rPr>
          <w:rFonts w:ascii="Arial" w:hAnsi="Arial" w:cs="Arial"/>
          <w:sz w:val="22"/>
          <w:szCs w:val="22"/>
        </w:rPr>
        <w:t xml:space="preserve">(Iverson &amp; Remick, 2004) </w:t>
      </w:r>
      <w:r w:rsidR="00D9457D" w:rsidRPr="00220E51">
        <w:rPr>
          <w:rFonts w:ascii="Arial" w:hAnsi="Arial" w:cs="Arial"/>
          <w:sz w:val="22"/>
          <w:szCs w:val="22"/>
        </w:rPr>
        <w:t xml:space="preserve">is a </w:t>
      </w:r>
      <w:r w:rsidRPr="00220E51">
        <w:rPr>
          <w:rFonts w:ascii="Arial" w:hAnsi="Arial" w:cs="Arial"/>
          <w:sz w:val="22"/>
          <w:szCs w:val="22"/>
        </w:rPr>
        <w:t xml:space="preserve">20-item measure is based on the diagnostic criteria for major depressive disorder as given by the DSM-IV (Iverson &amp; Remick, 2004). The BCMDI assesses depressive symptom severity and their impact on various aspects of daily functioning on a 6-point scale ranging from “0” (absent) to “5” (very severe symptom). This study </w:t>
      </w:r>
      <w:r w:rsidR="00D9457D" w:rsidRPr="00220E51">
        <w:rPr>
          <w:rFonts w:ascii="Arial" w:hAnsi="Arial" w:cs="Arial"/>
          <w:sz w:val="22"/>
          <w:szCs w:val="22"/>
        </w:rPr>
        <w:t xml:space="preserve">used </w:t>
      </w:r>
      <w:r w:rsidRPr="00220E51">
        <w:rPr>
          <w:rFonts w:ascii="Arial" w:hAnsi="Arial" w:cs="Arial"/>
          <w:sz w:val="22"/>
          <w:szCs w:val="22"/>
        </w:rPr>
        <w:t>the symptom severity subscale. The BCMDI is a validated measure</w:t>
      </w:r>
      <w:r w:rsidR="00D9457D" w:rsidRPr="00220E51">
        <w:rPr>
          <w:rFonts w:ascii="Arial" w:hAnsi="Arial" w:cs="Arial"/>
          <w:sz w:val="22"/>
          <w:szCs w:val="22"/>
        </w:rPr>
        <w:t xml:space="preserve">, with </w:t>
      </w:r>
      <w:r w:rsidRPr="00220E51">
        <w:rPr>
          <w:rFonts w:ascii="Arial" w:hAnsi="Arial" w:cs="Arial"/>
          <w:sz w:val="22"/>
          <w:szCs w:val="22"/>
        </w:rPr>
        <w:t>Cronbach Alpha reported at .83 (Iverson, 2001).</w:t>
      </w:r>
    </w:p>
    <w:p w14:paraId="2C6C67B8" w14:textId="77777777" w:rsidR="00443F60" w:rsidRPr="00220E51" w:rsidRDefault="00443F60" w:rsidP="00BF5105">
      <w:pPr>
        <w:spacing w:line="480" w:lineRule="auto"/>
        <w:ind w:firstLine="720"/>
        <w:rPr>
          <w:rFonts w:ascii="Arial" w:hAnsi="Arial" w:cs="Arial"/>
          <w:sz w:val="22"/>
          <w:szCs w:val="22"/>
        </w:rPr>
      </w:pPr>
      <w:r w:rsidRPr="00220E51">
        <w:rPr>
          <w:rFonts w:ascii="Arial" w:hAnsi="Arial" w:cs="Arial"/>
          <w:i/>
          <w:sz w:val="22"/>
          <w:szCs w:val="22"/>
        </w:rPr>
        <w:t>Patient Health Questionnaire</w:t>
      </w:r>
      <w:r w:rsidR="002517C3" w:rsidRPr="00220E51">
        <w:rPr>
          <w:rFonts w:ascii="Arial" w:hAnsi="Arial" w:cs="Arial"/>
          <w:i/>
          <w:sz w:val="22"/>
          <w:szCs w:val="22"/>
        </w:rPr>
        <w:t xml:space="preserve"> </w:t>
      </w:r>
      <w:r w:rsidR="0056341C" w:rsidRPr="00220E51">
        <w:rPr>
          <w:rFonts w:ascii="Arial" w:hAnsi="Arial" w:cs="Arial"/>
          <w:sz w:val="22"/>
          <w:szCs w:val="22"/>
        </w:rPr>
        <w:t>(PHQ-9</w:t>
      </w:r>
      <w:r w:rsidR="002517C3" w:rsidRPr="00220E51">
        <w:rPr>
          <w:rFonts w:ascii="Arial" w:hAnsi="Arial" w:cs="Arial"/>
          <w:sz w:val="22"/>
          <w:szCs w:val="22"/>
        </w:rPr>
        <w:t>)</w:t>
      </w:r>
    </w:p>
    <w:p w14:paraId="55D3BF2E" w14:textId="77777777" w:rsidR="00443F60" w:rsidRPr="00220E51" w:rsidRDefault="00443F60" w:rsidP="00BF5105">
      <w:pPr>
        <w:spacing w:line="480" w:lineRule="auto"/>
        <w:rPr>
          <w:rFonts w:ascii="Arial" w:hAnsi="Arial" w:cs="Arial"/>
          <w:sz w:val="22"/>
          <w:szCs w:val="22"/>
        </w:rPr>
      </w:pPr>
      <w:r w:rsidRPr="00220E51">
        <w:rPr>
          <w:rFonts w:ascii="Arial" w:hAnsi="Arial" w:cs="Arial"/>
          <w:sz w:val="22"/>
          <w:szCs w:val="22"/>
        </w:rPr>
        <w:t xml:space="preserve">The PHQ-9 </w:t>
      </w:r>
      <w:r w:rsidR="0056341C" w:rsidRPr="00220E51">
        <w:rPr>
          <w:rFonts w:ascii="Arial" w:hAnsi="Arial" w:cs="Arial"/>
          <w:sz w:val="22"/>
          <w:szCs w:val="22"/>
        </w:rPr>
        <w:t xml:space="preserve">(Kroenke, Spitzer &amp; Williams, 2001) </w:t>
      </w:r>
      <w:r w:rsidR="0008029C" w:rsidRPr="00220E51">
        <w:rPr>
          <w:rFonts w:ascii="Arial" w:hAnsi="Arial" w:cs="Arial"/>
          <w:sz w:val="22"/>
          <w:szCs w:val="22"/>
        </w:rPr>
        <w:t xml:space="preserve">is </w:t>
      </w:r>
      <w:r w:rsidRPr="00220E51">
        <w:rPr>
          <w:rFonts w:ascii="Arial" w:hAnsi="Arial" w:cs="Arial"/>
          <w:sz w:val="22"/>
          <w:szCs w:val="22"/>
        </w:rPr>
        <w:t xml:space="preserve">comprised of </w:t>
      </w:r>
      <w:r w:rsidR="009E13E2" w:rsidRPr="00220E51">
        <w:rPr>
          <w:rFonts w:ascii="Arial" w:hAnsi="Arial" w:cs="Arial"/>
          <w:sz w:val="22"/>
          <w:szCs w:val="22"/>
        </w:rPr>
        <w:t xml:space="preserve">nine </w:t>
      </w:r>
      <w:r w:rsidRPr="00220E51">
        <w:rPr>
          <w:rFonts w:ascii="Arial" w:hAnsi="Arial" w:cs="Arial"/>
          <w:sz w:val="22"/>
          <w:szCs w:val="22"/>
        </w:rPr>
        <w:t xml:space="preserve">items </w:t>
      </w:r>
      <w:r w:rsidR="009E13E2" w:rsidRPr="00220E51">
        <w:rPr>
          <w:rFonts w:ascii="Arial" w:hAnsi="Arial" w:cs="Arial"/>
          <w:sz w:val="22"/>
          <w:szCs w:val="22"/>
        </w:rPr>
        <w:t xml:space="preserve">that assess the diagnostic criteria for </w:t>
      </w:r>
      <w:r w:rsidRPr="00220E51">
        <w:rPr>
          <w:rFonts w:ascii="Arial" w:hAnsi="Arial" w:cs="Arial"/>
          <w:sz w:val="22"/>
          <w:szCs w:val="22"/>
        </w:rPr>
        <w:t xml:space="preserve">depression </w:t>
      </w:r>
      <w:r w:rsidR="002517C3" w:rsidRPr="00220E51">
        <w:rPr>
          <w:rFonts w:ascii="Arial" w:hAnsi="Arial" w:cs="Arial"/>
          <w:sz w:val="22"/>
          <w:szCs w:val="22"/>
        </w:rPr>
        <w:t>as given by the DSM-IV</w:t>
      </w:r>
      <w:r w:rsidR="0008029C" w:rsidRPr="00220E51">
        <w:rPr>
          <w:rFonts w:ascii="Arial" w:hAnsi="Arial" w:cs="Arial"/>
          <w:sz w:val="22"/>
          <w:szCs w:val="22"/>
        </w:rPr>
        <w:t>, with a test-retest coefficient of .84</w:t>
      </w:r>
      <w:r w:rsidR="002517C3" w:rsidRPr="00220E51">
        <w:rPr>
          <w:rFonts w:ascii="Arial" w:hAnsi="Arial" w:cs="Arial"/>
          <w:sz w:val="22"/>
          <w:szCs w:val="22"/>
        </w:rPr>
        <w:t xml:space="preserve"> (Kroenke</w:t>
      </w:r>
      <w:r w:rsidRPr="00220E51">
        <w:rPr>
          <w:rFonts w:ascii="Arial" w:hAnsi="Arial" w:cs="Arial"/>
          <w:sz w:val="22"/>
          <w:szCs w:val="22"/>
        </w:rPr>
        <w:t xml:space="preserve"> </w:t>
      </w:r>
      <w:r w:rsidR="002517C3" w:rsidRPr="00220E51">
        <w:rPr>
          <w:rFonts w:ascii="Arial" w:hAnsi="Arial" w:cs="Arial"/>
          <w:sz w:val="22"/>
          <w:szCs w:val="22"/>
        </w:rPr>
        <w:t>et al.,</w:t>
      </w:r>
      <w:r w:rsidRPr="00220E51">
        <w:rPr>
          <w:rFonts w:ascii="Arial" w:hAnsi="Arial" w:cs="Arial"/>
          <w:sz w:val="22"/>
          <w:szCs w:val="22"/>
        </w:rPr>
        <w:t xml:space="preserve"> 2001). The questionnaire uses a 4-point scale ranging from “0” (not at all) to “3” (almost every day). </w:t>
      </w:r>
    </w:p>
    <w:p w14:paraId="375A3089" w14:textId="77777777" w:rsidR="00443F60" w:rsidRPr="00220E51" w:rsidRDefault="00443F60" w:rsidP="00BF5105">
      <w:pPr>
        <w:spacing w:line="480" w:lineRule="auto"/>
        <w:rPr>
          <w:rFonts w:ascii="Arial" w:hAnsi="Arial" w:cs="Arial"/>
          <w:sz w:val="22"/>
          <w:szCs w:val="22"/>
        </w:rPr>
      </w:pPr>
    </w:p>
    <w:p w14:paraId="1A04D608" w14:textId="56709A32" w:rsidR="00443F60" w:rsidRPr="00220E51" w:rsidRDefault="006F12DA" w:rsidP="00BF5105">
      <w:pPr>
        <w:spacing w:line="480" w:lineRule="auto"/>
        <w:rPr>
          <w:rFonts w:ascii="Arial" w:hAnsi="Arial" w:cs="Arial"/>
          <w:i/>
          <w:sz w:val="22"/>
          <w:szCs w:val="22"/>
        </w:rPr>
      </w:pPr>
      <w:r w:rsidRPr="00220E51">
        <w:rPr>
          <w:rFonts w:ascii="Arial" w:hAnsi="Arial" w:cs="Arial"/>
          <w:i/>
          <w:sz w:val="22"/>
          <w:szCs w:val="22"/>
        </w:rPr>
        <w:t xml:space="preserve">Novel ‘treatment factors’ </w:t>
      </w:r>
      <w:r w:rsidR="007B0C5D">
        <w:rPr>
          <w:rFonts w:ascii="Arial" w:hAnsi="Arial" w:cs="Arial"/>
          <w:i/>
          <w:sz w:val="22"/>
          <w:szCs w:val="22"/>
        </w:rPr>
        <w:t>item set</w:t>
      </w:r>
    </w:p>
    <w:p w14:paraId="7497B03A" w14:textId="03F50F6E" w:rsidR="007B0C5D" w:rsidRDefault="007B0C5D" w:rsidP="00BF5105">
      <w:pPr>
        <w:spacing w:line="480" w:lineRule="auto"/>
        <w:rPr>
          <w:rFonts w:ascii="Arial" w:hAnsi="Arial" w:cs="Arial"/>
          <w:sz w:val="22"/>
          <w:szCs w:val="22"/>
        </w:rPr>
      </w:pPr>
      <w:r>
        <w:rPr>
          <w:rFonts w:ascii="Arial" w:hAnsi="Arial" w:cs="Arial"/>
          <w:sz w:val="22"/>
          <w:szCs w:val="22"/>
        </w:rPr>
        <w:t xml:space="preserve">Our intent was to create an item set that included a wide range of treatment-influencing factors that might be seen as relevant by patients and therapists. Thus, we intended to survey factors related to the individual, their context, and the therapy </w:t>
      </w:r>
      <w:r>
        <w:rPr>
          <w:rFonts w:ascii="Arial" w:hAnsi="Arial" w:cs="Arial"/>
          <w:sz w:val="22"/>
          <w:szCs w:val="22"/>
        </w:rPr>
        <w:lastRenderedPageBreak/>
        <w:t xml:space="preserve">itself. We were aware of no existing instrument that covers these domains. The process of design aimed at creating items that closely reflected patient and therapist concerns, and that also might be grouped into scales and later subjected to quantitative analysis. </w:t>
      </w:r>
    </w:p>
    <w:p w14:paraId="74127A91" w14:textId="77777777" w:rsidR="007B0C5D" w:rsidRDefault="007B0C5D" w:rsidP="00BF5105">
      <w:pPr>
        <w:spacing w:line="480" w:lineRule="auto"/>
        <w:rPr>
          <w:rFonts w:ascii="Arial" w:hAnsi="Arial" w:cs="Arial"/>
          <w:sz w:val="22"/>
          <w:szCs w:val="22"/>
        </w:rPr>
      </w:pPr>
    </w:p>
    <w:p w14:paraId="29611245" w14:textId="0BF814C9" w:rsidR="00C45803" w:rsidRDefault="004D1794" w:rsidP="00BF5105">
      <w:pPr>
        <w:spacing w:line="480" w:lineRule="auto"/>
        <w:rPr>
          <w:rFonts w:ascii="Arial" w:hAnsi="Arial" w:cs="Arial"/>
          <w:sz w:val="22"/>
          <w:szCs w:val="22"/>
        </w:rPr>
      </w:pPr>
      <w:r>
        <w:rPr>
          <w:rFonts w:ascii="Arial" w:hAnsi="Arial" w:cs="Arial"/>
          <w:sz w:val="22"/>
          <w:szCs w:val="22"/>
        </w:rPr>
        <w:t xml:space="preserve">An initial item set was generated, based on the authors’ clinical experience and the results of a clinical case note audit examining treatment response, or non-response, in a sample of 30 severely disabled patients with chronic pain. We then reviewed 50 ‘patient satisfaction’ forms from the host clinical service which include sections, in free text format, where patients are invited to report what was helpful and unhelpful about the service. After including further items derived from these comments, the proposed item set was circulated to the clinical team of the host service, including 18 clinicians working at a national specialist level in pain rehabilitation. </w:t>
      </w:r>
    </w:p>
    <w:p w14:paraId="47420CAE" w14:textId="77777777" w:rsidR="004D1794" w:rsidRDefault="004D1794" w:rsidP="00BF5105">
      <w:pPr>
        <w:spacing w:line="480" w:lineRule="auto"/>
        <w:rPr>
          <w:rFonts w:ascii="Arial" w:hAnsi="Arial" w:cs="Arial"/>
          <w:sz w:val="22"/>
          <w:szCs w:val="22"/>
        </w:rPr>
      </w:pPr>
    </w:p>
    <w:p w14:paraId="772AD5D3" w14:textId="025041ED" w:rsidR="00443F60" w:rsidRPr="00220E51" w:rsidRDefault="006D0EEF" w:rsidP="00BF5105">
      <w:pPr>
        <w:spacing w:line="480" w:lineRule="auto"/>
        <w:rPr>
          <w:rFonts w:ascii="Arial" w:hAnsi="Arial" w:cs="Arial"/>
          <w:i/>
          <w:sz w:val="22"/>
          <w:szCs w:val="22"/>
        </w:rPr>
      </w:pPr>
      <w:r>
        <w:rPr>
          <w:rFonts w:ascii="Arial" w:hAnsi="Arial" w:cs="Arial"/>
          <w:sz w:val="22"/>
          <w:szCs w:val="22"/>
        </w:rPr>
        <w:t xml:space="preserve">The final item set included 80 items. </w:t>
      </w:r>
      <w:r w:rsidR="00D054AE">
        <w:rPr>
          <w:rFonts w:ascii="Arial" w:hAnsi="Arial" w:cs="Arial"/>
          <w:sz w:val="22"/>
          <w:szCs w:val="22"/>
        </w:rPr>
        <w:t>The differing focus of the items and the concepts sampled necessitated different response formats for certain sets of items. For example, a 7-point scale</w:t>
      </w:r>
      <w:r w:rsidR="00D054AE" w:rsidRPr="00220E51">
        <w:rPr>
          <w:rFonts w:ascii="Arial" w:hAnsi="Arial" w:cs="Arial"/>
          <w:sz w:val="22"/>
          <w:szCs w:val="22"/>
        </w:rPr>
        <w:t xml:space="preserve"> ranging from “1” (very unhelpful) to “7” (very helpful)</w:t>
      </w:r>
      <w:r w:rsidR="00D054AE">
        <w:rPr>
          <w:rFonts w:ascii="Arial" w:hAnsi="Arial" w:cs="Arial"/>
          <w:sz w:val="22"/>
          <w:szCs w:val="22"/>
        </w:rPr>
        <w:t xml:space="preserve"> was used for items such as “being away from my normal routine”. In contrast, a scale from </w:t>
      </w:r>
      <w:r w:rsidR="00D054AE" w:rsidRPr="00220E51">
        <w:rPr>
          <w:rFonts w:ascii="Arial" w:hAnsi="Arial" w:cs="Arial"/>
          <w:sz w:val="22"/>
          <w:szCs w:val="22"/>
        </w:rPr>
        <w:t>“1” (very untrue of me) to “7” (very true of me)</w:t>
      </w:r>
      <w:r w:rsidR="00D054AE">
        <w:rPr>
          <w:rFonts w:ascii="Arial" w:hAnsi="Arial" w:cs="Arial"/>
          <w:sz w:val="22"/>
          <w:szCs w:val="22"/>
        </w:rPr>
        <w:t xml:space="preserve"> was used for items such as “I was personally motivated to engage in treatment”. </w:t>
      </w:r>
      <w:r w:rsidR="00157F02">
        <w:rPr>
          <w:rFonts w:ascii="Arial" w:hAnsi="Arial" w:cs="Arial"/>
          <w:sz w:val="22"/>
          <w:szCs w:val="22"/>
        </w:rPr>
        <w:t xml:space="preserve">We grouped these items into six subscales; (1) Change in routine; (2) Communication and Trust, (3) Emotional State, (4) Group climate; (5) Medical interference; (6) People outside programme. </w:t>
      </w:r>
    </w:p>
    <w:p w14:paraId="4159FE0E" w14:textId="77777777" w:rsidR="00E37FD6" w:rsidRPr="00220E51" w:rsidRDefault="00E37FD6" w:rsidP="00BF5105">
      <w:pPr>
        <w:spacing w:line="480" w:lineRule="auto"/>
        <w:rPr>
          <w:rFonts w:ascii="Arial" w:hAnsi="Arial" w:cs="Arial"/>
          <w:sz w:val="22"/>
          <w:szCs w:val="22"/>
        </w:rPr>
      </w:pPr>
      <w:r w:rsidRPr="00220E51">
        <w:rPr>
          <w:rFonts w:ascii="Arial" w:hAnsi="Arial" w:cs="Arial"/>
          <w:sz w:val="22"/>
          <w:szCs w:val="22"/>
        </w:rPr>
        <w:br w:type="column"/>
      </w:r>
      <w:r w:rsidR="004A28C9" w:rsidRPr="00220E51">
        <w:rPr>
          <w:rFonts w:ascii="Arial" w:hAnsi="Arial" w:cs="Arial"/>
          <w:sz w:val="22"/>
          <w:szCs w:val="22"/>
        </w:rPr>
        <w:lastRenderedPageBreak/>
        <w:t xml:space="preserve"> </w:t>
      </w:r>
    </w:p>
    <w:p w14:paraId="34744969" w14:textId="77777777" w:rsidR="00E37FD6" w:rsidRPr="00220E51" w:rsidRDefault="00E37FD6" w:rsidP="00BF5105">
      <w:pPr>
        <w:spacing w:line="480" w:lineRule="auto"/>
        <w:rPr>
          <w:rFonts w:ascii="Arial" w:hAnsi="Arial" w:cs="Arial"/>
          <w:sz w:val="22"/>
          <w:szCs w:val="22"/>
        </w:rPr>
      </w:pPr>
    </w:p>
    <w:p w14:paraId="6C311151" w14:textId="77777777" w:rsidR="00C237A4" w:rsidRPr="00220E51" w:rsidRDefault="00C237A4" w:rsidP="00BF5105">
      <w:pPr>
        <w:spacing w:line="480" w:lineRule="auto"/>
        <w:rPr>
          <w:rFonts w:ascii="Arial" w:hAnsi="Arial" w:cs="Arial"/>
          <w:i/>
          <w:sz w:val="22"/>
          <w:szCs w:val="22"/>
        </w:rPr>
      </w:pPr>
      <w:r w:rsidRPr="00220E51">
        <w:rPr>
          <w:rFonts w:ascii="Arial" w:hAnsi="Arial" w:cs="Arial"/>
          <w:i/>
          <w:sz w:val="22"/>
          <w:szCs w:val="22"/>
        </w:rPr>
        <w:t>Data Analysis</w:t>
      </w:r>
    </w:p>
    <w:p w14:paraId="317237E7" w14:textId="58018B52" w:rsidR="00C35DA7" w:rsidRPr="00220E51" w:rsidRDefault="00A00FA1" w:rsidP="00BF5105">
      <w:pPr>
        <w:spacing w:line="480" w:lineRule="auto"/>
        <w:rPr>
          <w:rFonts w:ascii="Arial" w:hAnsi="Arial" w:cs="Arial"/>
          <w:sz w:val="22"/>
          <w:szCs w:val="22"/>
        </w:rPr>
      </w:pPr>
      <w:r w:rsidRPr="00220E51">
        <w:rPr>
          <w:rFonts w:ascii="Arial" w:hAnsi="Arial" w:cs="Arial"/>
          <w:sz w:val="22"/>
          <w:szCs w:val="22"/>
        </w:rPr>
        <w:t>Our primary analysis</w:t>
      </w:r>
      <w:r w:rsidR="00F94900" w:rsidRPr="00220E51">
        <w:rPr>
          <w:rFonts w:ascii="Arial" w:hAnsi="Arial" w:cs="Arial"/>
          <w:sz w:val="22"/>
          <w:szCs w:val="22"/>
        </w:rPr>
        <w:t xml:space="preserve"> </w:t>
      </w:r>
      <w:r w:rsidR="0033221F" w:rsidRPr="00220E51">
        <w:rPr>
          <w:rFonts w:ascii="Arial" w:hAnsi="Arial" w:cs="Arial"/>
          <w:sz w:val="22"/>
          <w:szCs w:val="22"/>
        </w:rPr>
        <w:t xml:space="preserve">was to compare how responders and non-responders scored on the </w:t>
      </w:r>
      <w:r w:rsidR="00E37FD6" w:rsidRPr="00220E51">
        <w:rPr>
          <w:rFonts w:ascii="Arial" w:hAnsi="Arial" w:cs="Arial"/>
          <w:sz w:val="22"/>
          <w:szCs w:val="22"/>
        </w:rPr>
        <w:t xml:space="preserve">Treatment Factors </w:t>
      </w:r>
      <w:r w:rsidR="00B919B5">
        <w:rPr>
          <w:rFonts w:ascii="Arial" w:hAnsi="Arial" w:cs="Arial"/>
          <w:sz w:val="22"/>
          <w:szCs w:val="22"/>
        </w:rPr>
        <w:t>item set</w:t>
      </w:r>
      <w:r w:rsidR="004A28C9" w:rsidRPr="00220E51">
        <w:rPr>
          <w:rFonts w:ascii="Arial" w:hAnsi="Arial" w:cs="Arial"/>
          <w:sz w:val="22"/>
          <w:szCs w:val="22"/>
        </w:rPr>
        <w:t xml:space="preserve">. </w:t>
      </w:r>
      <w:r w:rsidR="00F648BD">
        <w:rPr>
          <w:rFonts w:ascii="Arial" w:hAnsi="Arial" w:cs="Arial"/>
          <w:sz w:val="22"/>
          <w:szCs w:val="22"/>
        </w:rPr>
        <w:t>Thus, our first step was to compare the groups’ baseline characteristics (at the pre-treatment point) so that we understood how similar they were before intervention. Turning to the main analysis, we in</w:t>
      </w:r>
      <w:r w:rsidR="00F648BD" w:rsidRPr="00220E51">
        <w:rPr>
          <w:rFonts w:ascii="Arial" w:hAnsi="Arial" w:cs="Arial"/>
          <w:sz w:val="22"/>
          <w:szCs w:val="22"/>
        </w:rPr>
        <w:t>spected</w:t>
      </w:r>
      <w:r w:rsidR="00F94900" w:rsidRPr="00220E51">
        <w:rPr>
          <w:rFonts w:ascii="Arial" w:hAnsi="Arial" w:cs="Arial"/>
          <w:sz w:val="22"/>
          <w:szCs w:val="22"/>
        </w:rPr>
        <w:t xml:space="preserve"> responses to individual </w:t>
      </w:r>
      <w:r w:rsidR="00F648BD">
        <w:rPr>
          <w:rFonts w:ascii="Arial" w:hAnsi="Arial" w:cs="Arial"/>
          <w:sz w:val="22"/>
          <w:szCs w:val="22"/>
        </w:rPr>
        <w:t xml:space="preserve">Treatment Factors </w:t>
      </w:r>
      <w:r w:rsidR="00F94900" w:rsidRPr="00220E51">
        <w:rPr>
          <w:rFonts w:ascii="Arial" w:hAnsi="Arial" w:cs="Arial"/>
          <w:sz w:val="22"/>
          <w:szCs w:val="22"/>
        </w:rPr>
        <w:t>items</w:t>
      </w:r>
      <w:r w:rsidR="00C6271E">
        <w:rPr>
          <w:rFonts w:ascii="Arial" w:hAnsi="Arial" w:cs="Arial"/>
          <w:sz w:val="22"/>
          <w:szCs w:val="22"/>
        </w:rPr>
        <w:t xml:space="preserve"> in order to get a detailed, descriptive understanding of the difference between groups. </w:t>
      </w:r>
      <w:r w:rsidR="00F94900" w:rsidRPr="00220E51">
        <w:rPr>
          <w:rFonts w:ascii="Arial" w:hAnsi="Arial" w:cs="Arial"/>
          <w:sz w:val="22"/>
          <w:szCs w:val="22"/>
        </w:rPr>
        <w:t xml:space="preserve">We also </w:t>
      </w:r>
      <w:r w:rsidR="004A28C9" w:rsidRPr="00220E51">
        <w:rPr>
          <w:rFonts w:ascii="Arial" w:hAnsi="Arial" w:cs="Arial"/>
          <w:sz w:val="22"/>
          <w:szCs w:val="22"/>
        </w:rPr>
        <w:t>wished to examine</w:t>
      </w:r>
      <w:r w:rsidR="00F94900" w:rsidRPr="00220E51">
        <w:rPr>
          <w:rFonts w:ascii="Arial" w:hAnsi="Arial" w:cs="Arial"/>
          <w:sz w:val="22"/>
          <w:szCs w:val="22"/>
        </w:rPr>
        <w:t xml:space="preserve"> broader themes </w:t>
      </w:r>
      <w:r w:rsidR="00E37FD6" w:rsidRPr="00220E51">
        <w:rPr>
          <w:rFonts w:ascii="Arial" w:hAnsi="Arial" w:cs="Arial"/>
          <w:sz w:val="22"/>
          <w:szCs w:val="22"/>
        </w:rPr>
        <w:t>by</w:t>
      </w:r>
      <w:r w:rsidR="00F94900" w:rsidRPr="00220E51">
        <w:rPr>
          <w:rFonts w:ascii="Arial" w:hAnsi="Arial" w:cs="Arial"/>
          <w:sz w:val="22"/>
          <w:szCs w:val="22"/>
        </w:rPr>
        <w:t xml:space="preserve"> </w:t>
      </w:r>
      <w:r w:rsidR="00B7158D">
        <w:rPr>
          <w:rFonts w:ascii="Arial" w:hAnsi="Arial" w:cs="Arial"/>
          <w:sz w:val="22"/>
          <w:szCs w:val="22"/>
        </w:rPr>
        <w:t>examining our groups of thematically related Items. W</w:t>
      </w:r>
      <w:r w:rsidR="00F94900" w:rsidRPr="00220E51">
        <w:rPr>
          <w:rFonts w:ascii="Arial" w:hAnsi="Arial" w:cs="Arial"/>
          <w:sz w:val="22"/>
          <w:szCs w:val="22"/>
        </w:rPr>
        <w:t xml:space="preserve">e </w:t>
      </w:r>
      <w:r w:rsidR="004A7284">
        <w:rPr>
          <w:rFonts w:ascii="Arial" w:hAnsi="Arial" w:cs="Arial"/>
          <w:sz w:val="22"/>
          <w:szCs w:val="22"/>
        </w:rPr>
        <w:t xml:space="preserve">considered the </w:t>
      </w:r>
      <w:r w:rsidR="004A7284" w:rsidRPr="00220E51">
        <w:rPr>
          <w:rFonts w:ascii="Arial" w:hAnsi="Arial" w:cs="Arial"/>
          <w:sz w:val="22"/>
          <w:szCs w:val="22"/>
        </w:rPr>
        <w:t xml:space="preserve">internal consistency of </w:t>
      </w:r>
      <w:r w:rsidR="004A7284">
        <w:rPr>
          <w:rFonts w:ascii="Arial" w:hAnsi="Arial" w:cs="Arial"/>
          <w:sz w:val="22"/>
          <w:szCs w:val="22"/>
        </w:rPr>
        <w:t xml:space="preserve">items within </w:t>
      </w:r>
      <w:r w:rsidR="00F94900" w:rsidRPr="00220E51">
        <w:rPr>
          <w:rFonts w:ascii="Arial" w:hAnsi="Arial" w:cs="Arial"/>
          <w:sz w:val="22"/>
          <w:szCs w:val="22"/>
        </w:rPr>
        <w:t xml:space="preserve">our pre-defined ‘subscales’. </w:t>
      </w:r>
      <w:r w:rsidR="004A7284">
        <w:rPr>
          <w:rFonts w:ascii="Arial" w:hAnsi="Arial" w:cs="Arial"/>
          <w:sz w:val="22"/>
          <w:szCs w:val="22"/>
        </w:rPr>
        <w:t>I</w:t>
      </w:r>
      <w:r w:rsidR="00242399">
        <w:rPr>
          <w:rFonts w:ascii="Arial" w:hAnsi="Arial" w:cs="Arial"/>
          <w:sz w:val="22"/>
          <w:szCs w:val="22"/>
        </w:rPr>
        <w:t xml:space="preserve">tems </w:t>
      </w:r>
      <w:r w:rsidR="004A7284">
        <w:rPr>
          <w:rFonts w:ascii="Arial" w:hAnsi="Arial" w:cs="Arial"/>
          <w:sz w:val="22"/>
          <w:szCs w:val="22"/>
        </w:rPr>
        <w:t>were</w:t>
      </w:r>
      <w:r w:rsidR="00F94900" w:rsidRPr="00220E51">
        <w:rPr>
          <w:rFonts w:ascii="Arial" w:hAnsi="Arial" w:cs="Arial"/>
          <w:sz w:val="22"/>
          <w:szCs w:val="22"/>
        </w:rPr>
        <w:t xml:space="preserve"> </w:t>
      </w:r>
      <w:r w:rsidR="00E37FD6" w:rsidRPr="00220E51">
        <w:rPr>
          <w:rFonts w:ascii="Arial" w:hAnsi="Arial" w:cs="Arial"/>
          <w:sz w:val="22"/>
          <w:szCs w:val="22"/>
        </w:rPr>
        <w:t>delet</w:t>
      </w:r>
      <w:r w:rsidR="004A7284">
        <w:rPr>
          <w:rFonts w:ascii="Arial" w:hAnsi="Arial" w:cs="Arial"/>
          <w:sz w:val="22"/>
          <w:szCs w:val="22"/>
        </w:rPr>
        <w:t xml:space="preserve">ed if they </w:t>
      </w:r>
      <w:r w:rsidR="00F94900" w:rsidRPr="00220E51">
        <w:rPr>
          <w:rFonts w:ascii="Arial" w:hAnsi="Arial" w:cs="Arial"/>
          <w:sz w:val="22"/>
          <w:szCs w:val="22"/>
        </w:rPr>
        <w:t xml:space="preserve">contributed </w:t>
      </w:r>
      <w:r w:rsidR="00B7158D">
        <w:rPr>
          <w:rFonts w:ascii="Arial" w:hAnsi="Arial" w:cs="Arial"/>
          <w:sz w:val="22"/>
          <w:szCs w:val="22"/>
        </w:rPr>
        <w:t xml:space="preserve">to an </w:t>
      </w:r>
      <w:r w:rsidR="00F94900" w:rsidRPr="00220E51">
        <w:rPr>
          <w:rFonts w:ascii="Arial" w:hAnsi="Arial" w:cs="Arial"/>
          <w:sz w:val="22"/>
          <w:szCs w:val="22"/>
        </w:rPr>
        <w:t>unsatisfactory alpha</w:t>
      </w:r>
      <w:r w:rsidR="00B7158D">
        <w:rPr>
          <w:rFonts w:ascii="Arial" w:hAnsi="Arial" w:cs="Arial"/>
          <w:sz w:val="22"/>
          <w:szCs w:val="22"/>
        </w:rPr>
        <w:t xml:space="preserve"> for the subscale</w:t>
      </w:r>
      <w:r w:rsidR="00F94900" w:rsidRPr="00220E51">
        <w:rPr>
          <w:rFonts w:ascii="Arial" w:hAnsi="Arial" w:cs="Arial"/>
          <w:sz w:val="22"/>
          <w:szCs w:val="22"/>
        </w:rPr>
        <w:t xml:space="preserve">. </w:t>
      </w:r>
      <w:r w:rsidR="00E37FD6" w:rsidRPr="00220E51">
        <w:rPr>
          <w:rFonts w:ascii="Arial" w:hAnsi="Arial" w:cs="Arial"/>
          <w:sz w:val="22"/>
          <w:szCs w:val="22"/>
        </w:rPr>
        <w:t>The</w:t>
      </w:r>
      <w:r w:rsidR="00F94900" w:rsidRPr="00220E51">
        <w:rPr>
          <w:rFonts w:ascii="Arial" w:hAnsi="Arial" w:cs="Arial"/>
          <w:sz w:val="22"/>
          <w:szCs w:val="22"/>
        </w:rPr>
        <w:t xml:space="preserve"> </w:t>
      </w:r>
      <w:r w:rsidR="00B919B5">
        <w:rPr>
          <w:rFonts w:ascii="Arial" w:hAnsi="Arial" w:cs="Arial"/>
          <w:sz w:val="22"/>
          <w:szCs w:val="22"/>
        </w:rPr>
        <w:t>remaining</w:t>
      </w:r>
      <w:r w:rsidR="004A7284">
        <w:rPr>
          <w:rFonts w:ascii="Arial" w:hAnsi="Arial" w:cs="Arial"/>
          <w:sz w:val="22"/>
          <w:szCs w:val="22"/>
        </w:rPr>
        <w:t xml:space="preserve"> items resulted in</w:t>
      </w:r>
      <w:r w:rsidR="00B919B5">
        <w:rPr>
          <w:rFonts w:ascii="Arial" w:hAnsi="Arial" w:cs="Arial"/>
          <w:sz w:val="22"/>
          <w:szCs w:val="22"/>
        </w:rPr>
        <w:t xml:space="preserve"> internally consistent </w:t>
      </w:r>
      <w:r w:rsidR="00F94900" w:rsidRPr="00220E51">
        <w:rPr>
          <w:rFonts w:ascii="Arial" w:hAnsi="Arial" w:cs="Arial"/>
          <w:sz w:val="22"/>
          <w:szCs w:val="22"/>
        </w:rPr>
        <w:t>subscales</w:t>
      </w:r>
      <w:r w:rsidR="0095728A">
        <w:rPr>
          <w:rFonts w:ascii="Arial" w:hAnsi="Arial" w:cs="Arial"/>
          <w:sz w:val="22"/>
          <w:szCs w:val="22"/>
        </w:rPr>
        <w:t xml:space="preserve"> </w:t>
      </w:r>
      <w:r w:rsidR="0095728A" w:rsidRPr="0095728A">
        <w:rPr>
          <w:rFonts w:ascii="Arial" w:hAnsi="Arial" w:cs="Arial"/>
          <w:color w:val="FF0000"/>
          <w:sz w:val="22"/>
          <w:szCs w:val="22"/>
        </w:rPr>
        <w:t>(</w:t>
      </w:r>
      <w:r w:rsidR="0095728A" w:rsidRPr="00651E62">
        <w:rPr>
          <w:rFonts w:ascii="Arial" w:hAnsi="Arial" w:cs="Arial"/>
          <w:color w:val="FF0000"/>
          <w:sz w:val="22"/>
          <w:szCs w:val="22"/>
        </w:rPr>
        <w:t xml:space="preserve">Cronbach’s α </w:t>
      </w:r>
      <w:r w:rsidR="0095728A">
        <w:rPr>
          <w:rFonts w:ascii="Arial" w:hAnsi="Arial" w:cs="Arial"/>
          <w:color w:val="FF0000"/>
          <w:sz w:val="22"/>
          <w:szCs w:val="22"/>
        </w:rPr>
        <w:t>.</w:t>
      </w:r>
      <w:r w:rsidR="0095728A" w:rsidRPr="00651E62">
        <w:rPr>
          <w:rFonts w:ascii="Arial" w:hAnsi="Arial" w:cs="Arial"/>
          <w:color w:val="FF0000"/>
          <w:sz w:val="22"/>
          <w:szCs w:val="22"/>
        </w:rPr>
        <w:t>79-.94</w:t>
      </w:r>
      <w:r w:rsidR="0095728A">
        <w:rPr>
          <w:rFonts w:ascii="Arial" w:hAnsi="Arial" w:cs="Arial"/>
          <w:color w:val="FF0000"/>
          <w:sz w:val="22"/>
          <w:szCs w:val="22"/>
        </w:rPr>
        <w:t>)</w:t>
      </w:r>
      <w:r w:rsidR="00E37FD6" w:rsidRPr="00220E51">
        <w:rPr>
          <w:rFonts w:ascii="Arial" w:hAnsi="Arial" w:cs="Arial"/>
          <w:sz w:val="22"/>
          <w:szCs w:val="22"/>
        </w:rPr>
        <w:t xml:space="preserve"> </w:t>
      </w:r>
      <w:r w:rsidR="00B7158D">
        <w:rPr>
          <w:rFonts w:ascii="Arial" w:hAnsi="Arial" w:cs="Arial"/>
          <w:sz w:val="22"/>
          <w:szCs w:val="22"/>
        </w:rPr>
        <w:t xml:space="preserve">that </w:t>
      </w:r>
      <w:r w:rsidR="00E37FD6" w:rsidRPr="00220E51">
        <w:rPr>
          <w:rFonts w:ascii="Arial" w:hAnsi="Arial" w:cs="Arial"/>
          <w:sz w:val="22"/>
          <w:szCs w:val="22"/>
        </w:rPr>
        <w:t>were used</w:t>
      </w:r>
      <w:r w:rsidR="00F94900" w:rsidRPr="00220E51">
        <w:rPr>
          <w:rFonts w:ascii="Arial" w:hAnsi="Arial" w:cs="Arial"/>
          <w:sz w:val="22"/>
          <w:szCs w:val="22"/>
        </w:rPr>
        <w:t xml:space="preserve"> as independent variables in a logistic regression analysis, with ‘group’ (responder or non-responder) as the dependent variable.</w:t>
      </w:r>
      <w:r w:rsidR="00FB3A49">
        <w:rPr>
          <w:rFonts w:ascii="Arial" w:hAnsi="Arial" w:cs="Arial"/>
          <w:sz w:val="22"/>
          <w:szCs w:val="22"/>
        </w:rPr>
        <w:t xml:space="preserve"> The data </w:t>
      </w:r>
      <w:r w:rsidR="00C6271E">
        <w:rPr>
          <w:rFonts w:ascii="Arial" w:hAnsi="Arial" w:cs="Arial"/>
          <w:sz w:val="22"/>
          <w:szCs w:val="22"/>
        </w:rPr>
        <w:t>were</w:t>
      </w:r>
      <w:r w:rsidR="00FB3A49">
        <w:rPr>
          <w:rFonts w:ascii="Arial" w:hAnsi="Arial" w:cs="Arial"/>
          <w:sz w:val="22"/>
          <w:szCs w:val="22"/>
        </w:rPr>
        <w:t xml:space="preserve"> screened and checked to ensure that it satisfied the assumptions of logistic regression.</w:t>
      </w:r>
      <w:r w:rsidR="00F94900" w:rsidRPr="00220E51">
        <w:rPr>
          <w:rFonts w:ascii="Arial" w:hAnsi="Arial" w:cs="Arial"/>
          <w:sz w:val="22"/>
          <w:szCs w:val="22"/>
        </w:rPr>
        <w:t xml:space="preserve"> </w:t>
      </w:r>
    </w:p>
    <w:p w14:paraId="05D76CEB" w14:textId="77777777" w:rsidR="00B46C6E" w:rsidRPr="00220E51" w:rsidRDefault="00B46C6E" w:rsidP="00BF5105">
      <w:pPr>
        <w:spacing w:line="480" w:lineRule="auto"/>
        <w:rPr>
          <w:rFonts w:ascii="Arial" w:hAnsi="Arial" w:cs="Arial"/>
          <w:b/>
          <w:sz w:val="22"/>
          <w:szCs w:val="22"/>
        </w:rPr>
      </w:pPr>
    </w:p>
    <w:p w14:paraId="347A183D" w14:textId="77777777" w:rsidR="00C237A4" w:rsidRPr="00220E51" w:rsidRDefault="00C237A4" w:rsidP="00BF5105">
      <w:pPr>
        <w:spacing w:line="480" w:lineRule="auto"/>
        <w:rPr>
          <w:rFonts w:ascii="Arial" w:hAnsi="Arial" w:cs="Arial"/>
          <w:b/>
          <w:sz w:val="22"/>
          <w:szCs w:val="22"/>
        </w:rPr>
      </w:pPr>
      <w:r w:rsidRPr="00220E51">
        <w:rPr>
          <w:rFonts w:ascii="Arial" w:hAnsi="Arial" w:cs="Arial"/>
          <w:b/>
          <w:sz w:val="22"/>
          <w:szCs w:val="22"/>
        </w:rPr>
        <w:t>Results</w:t>
      </w:r>
    </w:p>
    <w:p w14:paraId="4B009DB9" w14:textId="77777777" w:rsidR="00C237A4" w:rsidRPr="00220E51" w:rsidRDefault="00C237A4" w:rsidP="00BF5105">
      <w:pPr>
        <w:spacing w:line="480" w:lineRule="auto"/>
        <w:rPr>
          <w:rFonts w:ascii="Arial" w:hAnsi="Arial" w:cs="Arial"/>
          <w:b/>
          <w:sz w:val="22"/>
          <w:szCs w:val="22"/>
        </w:rPr>
      </w:pPr>
    </w:p>
    <w:p w14:paraId="71AF9992" w14:textId="77777777" w:rsidR="00333219" w:rsidRPr="00220E51" w:rsidRDefault="00333219" w:rsidP="00BF5105">
      <w:pPr>
        <w:spacing w:line="480" w:lineRule="auto"/>
        <w:rPr>
          <w:rFonts w:ascii="Arial" w:hAnsi="Arial" w:cs="Arial"/>
          <w:i/>
          <w:sz w:val="22"/>
          <w:szCs w:val="22"/>
        </w:rPr>
      </w:pPr>
      <w:r w:rsidRPr="00220E51">
        <w:rPr>
          <w:rFonts w:ascii="Arial" w:hAnsi="Arial" w:cs="Arial"/>
          <w:i/>
          <w:sz w:val="22"/>
          <w:szCs w:val="22"/>
        </w:rPr>
        <w:t>Responder analysis</w:t>
      </w:r>
    </w:p>
    <w:p w14:paraId="0D7896E8" w14:textId="42BF16F9" w:rsidR="00244EFF" w:rsidRPr="00244EFF" w:rsidRDefault="00244EFF" w:rsidP="00BF5105">
      <w:pPr>
        <w:spacing w:line="480" w:lineRule="auto"/>
        <w:rPr>
          <w:rFonts w:ascii="Arial" w:hAnsi="Arial" w:cs="Arial"/>
          <w:color w:val="FF0000"/>
          <w:sz w:val="22"/>
          <w:szCs w:val="22"/>
        </w:rPr>
      </w:pPr>
      <w:r w:rsidRPr="00EA2308">
        <w:rPr>
          <w:rFonts w:ascii="Arial" w:hAnsi="Arial" w:cs="Arial"/>
          <w:color w:val="FF0000"/>
          <w:sz w:val="22"/>
          <w:szCs w:val="22"/>
        </w:rPr>
        <w:t xml:space="preserve">The responder analysis indicated that a reliable change was observed in at least one domain for 56.8% of cases. Split by outcome measure, a reliable change was found for 34.2% of patients on the BCMDI, 22.0% on the PHQ9, 30.9% on the PASS and 43.9% on the SIP. </w:t>
      </w:r>
    </w:p>
    <w:p w14:paraId="6641F11C" w14:textId="77777777" w:rsidR="00244EFF" w:rsidRDefault="00244EFF" w:rsidP="00BF5105">
      <w:pPr>
        <w:spacing w:line="480" w:lineRule="auto"/>
        <w:rPr>
          <w:rFonts w:ascii="Arial" w:hAnsi="Arial" w:cs="Arial"/>
          <w:sz w:val="22"/>
          <w:szCs w:val="22"/>
        </w:rPr>
      </w:pPr>
    </w:p>
    <w:p w14:paraId="78A36E4C" w14:textId="4FC900FC" w:rsidR="002F3B23" w:rsidRPr="00220E51" w:rsidRDefault="00B46C6E" w:rsidP="00BF5105">
      <w:pPr>
        <w:spacing w:line="480" w:lineRule="auto"/>
        <w:rPr>
          <w:rFonts w:ascii="Arial" w:hAnsi="Arial" w:cs="Arial"/>
          <w:sz w:val="22"/>
          <w:szCs w:val="22"/>
        </w:rPr>
      </w:pPr>
      <w:r w:rsidRPr="00220E51">
        <w:rPr>
          <w:rFonts w:ascii="Arial" w:hAnsi="Arial" w:cs="Arial"/>
          <w:sz w:val="22"/>
          <w:szCs w:val="22"/>
        </w:rPr>
        <w:t>Of 130 questionnaires sent, nine were retur</w:t>
      </w:r>
      <w:r w:rsidR="00D9457D" w:rsidRPr="00220E51">
        <w:rPr>
          <w:rFonts w:ascii="Arial" w:hAnsi="Arial" w:cs="Arial"/>
          <w:sz w:val="22"/>
          <w:szCs w:val="22"/>
        </w:rPr>
        <w:t xml:space="preserve">ned due to incorrect addresses; </w:t>
      </w:r>
      <w:r w:rsidR="00C30683" w:rsidRPr="00220E51">
        <w:rPr>
          <w:rFonts w:ascii="Arial" w:hAnsi="Arial" w:cs="Arial"/>
          <w:sz w:val="22"/>
          <w:szCs w:val="22"/>
        </w:rPr>
        <w:t>o</w:t>
      </w:r>
      <w:r w:rsidRPr="00220E51">
        <w:rPr>
          <w:rFonts w:ascii="Arial" w:hAnsi="Arial" w:cs="Arial"/>
          <w:sz w:val="22"/>
          <w:szCs w:val="22"/>
        </w:rPr>
        <w:t xml:space="preserve">f the </w:t>
      </w:r>
      <w:r w:rsidR="00D9457D" w:rsidRPr="00220E51">
        <w:rPr>
          <w:rFonts w:ascii="Arial" w:hAnsi="Arial" w:cs="Arial"/>
          <w:sz w:val="22"/>
          <w:szCs w:val="22"/>
        </w:rPr>
        <w:t>correctly mailed questionnaires</w:t>
      </w:r>
      <w:r w:rsidRPr="00220E51">
        <w:rPr>
          <w:rFonts w:ascii="Arial" w:hAnsi="Arial" w:cs="Arial"/>
          <w:sz w:val="22"/>
          <w:szCs w:val="22"/>
        </w:rPr>
        <w:t xml:space="preserve">, 75 were returned (62%). </w:t>
      </w:r>
      <w:r w:rsidR="0095728A">
        <w:rPr>
          <w:rFonts w:ascii="Arial" w:hAnsi="Arial" w:cs="Arial"/>
          <w:sz w:val="22"/>
          <w:szCs w:val="22"/>
        </w:rPr>
        <w:t>This included</w:t>
      </w:r>
      <w:r w:rsidR="0095728A" w:rsidRPr="00220E51">
        <w:rPr>
          <w:rFonts w:ascii="Arial" w:hAnsi="Arial" w:cs="Arial"/>
          <w:sz w:val="22"/>
          <w:szCs w:val="22"/>
        </w:rPr>
        <w:t xml:space="preserve"> 40 non-responders</w:t>
      </w:r>
      <w:r w:rsidR="0095728A">
        <w:rPr>
          <w:rFonts w:ascii="Arial" w:hAnsi="Arial" w:cs="Arial"/>
          <w:sz w:val="22"/>
          <w:szCs w:val="22"/>
        </w:rPr>
        <w:t xml:space="preserve"> (53.3%; 26 female; </w:t>
      </w:r>
      <w:r w:rsidR="0095728A" w:rsidRPr="006C62C6">
        <w:rPr>
          <w:rFonts w:ascii="Arial" w:hAnsi="Arial" w:cs="Arial"/>
          <w:i/>
          <w:color w:val="FF0000"/>
          <w:sz w:val="22"/>
          <w:szCs w:val="22"/>
        </w:rPr>
        <w:t xml:space="preserve">M </w:t>
      </w:r>
      <w:r w:rsidR="0095728A" w:rsidRPr="006C62C6">
        <w:rPr>
          <w:rFonts w:ascii="Arial" w:hAnsi="Arial" w:cs="Arial"/>
          <w:color w:val="FF0000"/>
          <w:sz w:val="22"/>
          <w:szCs w:val="22"/>
        </w:rPr>
        <w:t>age 42.85</w:t>
      </w:r>
      <w:r w:rsidR="0095728A" w:rsidRPr="006C62C6">
        <w:rPr>
          <w:rFonts w:ascii="Arial" w:hAnsi="Arial" w:cs="Arial"/>
          <w:i/>
          <w:color w:val="FF0000"/>
          <w:sz w:val="22"/>
          <w:szCs w:val="22"/>
        </w:rPr>
        <w:t>; Mdn</w:t>
      </w:r>
      <w:r w:rsidR="0095728A" w:rsidRPr="006C62C6">
        <w:rPr>
          <w:rFonts w:ascii="Arial" w:hAnsi="Arial" w:cs="Arial"/>
          <w:color w:val="FF0000"/>
          <w:sz w:val="22"/>
          <w:szCs w:val="22"/>
        </w:rPr>
        <w:t xml:space="preserve"> pain 114 months</w:t>
      </w:r>
      <w:r w:rsidR="0095728A">
        <w:rPr>
          <w:rFonts w:ascii="Arial" w:hAnsi="Arial" w:cs="Arial"/>
          <w:sz w:val="22"/>
          <w:szCs w:val="22"/>
        </w:rPr>
        <w:t xml:space="preserve">), and 35 </w:t>
      </w:r>
      <w:r w:rsidR="0095728A">
        <w:rPr>
          <w:rFonts w:ascii="Arial" w:hAnsi="Arial" w:cs="Arial"/>
          <w:sz w:val="22"/>
          <w:szCs w:val="22"/>
        </w:rPr>
        <w:lastRenderedPageBreak/>
        <w:t xml:space="preserve">responders (24 female; </w:t>
      </w:r>
      <w:r w:rsidR="0095728A" w:rsidRPr="006C62C6">
        <w:rPr>
          <w:rFonts w:ascii="Arial" w:hAnsi="Arial" w:cs="Arial"/>
          <w:i/>
          <w:color w:val="FF0000"/>
          <w:sz w:val="22"/>
          <w:szCs w:val="22"/>
        </w:rPr>
        <w:t>M</w:t>
      </w:r>
      <w:r w:rsidR="0095728A" w:rsidRPr="006C62C6">
        <w:rPr>
          <w:rFonts w:ascii="Arial" w:hAnsi="Arial" w:cs="Arial"/>
          <w:color w:val="FF0000"/>
          <w:sz w:val="22"/>
          <w:szCs w:val="22"/>
        </w:rPr>
        <w:t xml:space="preserve"> age 45.38; </w:t>
      </w:r>
      <w:r w:rsidR="0095728A" w:rsidRPr="006C62C6">
        <w:rPr>
          <w:rFonts w:ascii="Arial" w:hAnsi="Arial" w:cs="Arial"/>
          <w:i/>
          <w:color w:val="FF0000"/>
          <w:sz w:val="22"/>
          <w:szCs w:val="22"/>
        </w:rPr>
        <w:t>Mdn</w:t>
      </w:r>
      <w:r w:rsidR="0095728A" w:rsidRPr="006C62C6">
        <w:rPr>
          <w:rFonts w:ascii="Arial" w:hAnsi="Arial" w:cs="Arial"/>
          <w:color w:val="FF0000"/>
          <w:sz w:val="22"/>
          <w:szCs w:val="22"/>
        </w:rPr>
        <w:t xml:space="preserve"> pain 71 months).</w:t>
      </w:r>
      <w:r w:rsidR="0095728A" w:rsidRPr="00651E62">
        <w:rPr>
          <w:rFonts w:ascii="Arial" w:hAnsi="Arial" w:cs="Arial"/>
          <w:color w:val="FF0000"/>
          <w:sz w:val="22"/>
          <w:szCs w:val="22"/>
        </w:rPr>
        <w:t xml:space="preserve"> Groups were similar on baseline demographics</w:t>
      </w:r>
      <w:r w:rsidR="0095728A">
        <w:rPr>
          <w:rFonts w:ascii="Arial" w:hAnsi="Arial" w:cs="Arial"/>
          <w:color w:val="FF0000"/>
          <w:sz w:val="22"/>
          <w:szCs w:val="22"/>
        </w:rPr>
        <w:t xml:space="preserve">, although </w:t>
      </w:r>
      <w:r w:rsidR="0095728A" w:rsidRPr="00651E62">
        <w:rPr>
          <w:rFonts w:ascii="Arial" w:hAnsi="Arial" w:cs="Arial"/>
          <w:color w:val="FF0000"/>
          <w:sz w:val="22"/>
          <w:szCs w:val="22"/>
        </w:rPr>
        <w:t xml:space="preserve">responders </w:t>
      </w:r>
      <w:r w:rsidR="0095728A">
        <w:rPr>
          <w:rFonts w:ascii="Arial" w:hAnsi="Arial" w:cs="Arial"/>
          <w:color w:val="FF0000"/>
          <w:sz w:val="22"/>
          <w:szCs w:val="22"/>
        </w:rPr>
        <w:t>reported</w:t>
      </w:r>
      <w:r w:rsidR="0095728A" w:rsidRPr="00651E62">
        <w:rPr>
          <w:rFonts w:ascii="Arial" w:hAnsi="Arial" w:cs="Arial"/>
          <w:color w:val="FF0000"/>
          <w:sz w:val="22"/>
          <w:szCs w:val="22"/>
        </w:rPr>
        <w:t xml:space="preserve"> higher disability</w:t>
      </w:r>
      <w:r w:rsidR="0095728A">
        <w:rPr>
          <w:rFonts w:ascii="Arial" w:hAnsi="Arial" w:cs="Arial"/>
          <w:color w:val="FF0000"/>
          <w:sz w:val="22"/>
          <w:szCs w:val="22"/>
        </w:rPr>
        <w:t xml:space="preserve"> (</w:t>
      </w:r>
      <w:r w:rsidR="0095728A" w:rsidRPr="00473762">
        <w:rPr>
          <w:rFonts w:ascii="Arial" w:hAnsi="Arial" w:cs="Arial"/>
          <w:i/>
          <w:color w:val="FF0000"/>
          <w:sz w:val="22"/>
          <w:szCs w:val="22"/>
        </w:rPr>
        <w:t>p</w:t>
      </w:r>
      <w:r w:rsidR="0095728A">
        <w:rPr>
          <w:rFonts w:ascii="Arial" w:hAnsi="Arial" w:cs="Arial"/>
          <w:color w:val="FF0000"/>
          <w:sz w:val="22"/>
          <w:szCs w:val="22"/>
        </w:rPr>
        <w:t>&lt;.01)</w:t>
      </w:r>
      <w:r w:rsidR="0095728A" w:rsidRPr="00651E62">
        <w:rPr>
          <w:rFonts w:ascii="Arial" w:hAnsi="Arial" w:cs="Arial"/>
          <w:color w:val="FF0000"/>
          <w:sz w:val="22"/>
          <w:szCs w:val="22"/>
        </w:rPr>
        <w:t xml:space="preserve"> and pain-related fear</w:t>
      </w:r>
      <w:r w:rsidR="0095728A">
        <w:rPr>
          <w:rFonts w:ascii="Arial" w:hAnsi="Arial" w:cs="Arial"/>
          <w:color w:val="FF0000"/>
          <w:sz w:val="22"/>
          <w:szCs w:val="22"/>
        </w:rPr>
        <w:t xml:space="preserve"> (</w:t>
      </w:r>
      <w:r w:rsidR="0095728A" w:rsidRPr="00473762">
        <w:rPr>
          <w:rFonts w:ascii="Arial" w:hAnsi="Arial" w:cs="Arial"/>
          <w:i/>
          <w:color w:val="FF0000"/>
          <w:sz w:val="22"/>
          <w:szCs w:val="22"/>
        </w:rPr>
        <w:t>p</w:t>
      </w:r>
      <w:r w:rsidR="0095728A">
        <w:rPr>
          <w:rFonts w:ascii="Arial" w:hAnsi="Arial" w:cs="Arial"/>
          <w:color w:val="FF0000"/>
          <w:sz w:val="22"/>
          <w:szCs w:val="22"/>
        </w:rPr>
        <w:t>&lt;.05)</w:t>
      </w:r>
      <w:r w:rsidR="0095728A" w:rsidRPr="00651E62">
        <w:rPr>
          <w:rFonts w:ascii="Arial" w:hAnsi="Arial" w:cs="Arial"/>
          <w:color w:val="FF0000"/>
          <w:sz w:val="22"/>
          <w:szCs w:val="22"/>
        </w:rPr>
        <w:t>.</w:t>
      </w:r>
    </w:p>
    <w:p w14:paraId="3F1E830E" w14:textId="77777777" w:rsidR="00E82AF1" w:rsidRDefault="00E82AF1" w:rsidP="00BF5105">
      <w:pPr>
        <w:spacing w:line="480" w:lineRule="auto"/>
        <w:rPr>
          <w:rFonts w:ascii="Arial" w:hAnsi="Arial" w:cs="Arial"/>
          <w:sz w:val="22"/>
          <w:szCs w:val="22"/>
        </w:rPr>
      </w:pPr>
    </w:p>
    <w:p w14:paraId="54E8B4F9" w14:textId="03474361" w:rsidR="00490ED3" w:rsidRPr="00220E51" w:rsidRDefault="00490ED3" w:rsidP="00BF5105">
      <w:pPr>
        <w:spacing w:line="480" w:lineRule="auto"/>
        <w:rPr>
          <w:rFonts w:ascii="Arial" w:hAnsi="Arial" w:cs="Arial"/>
          <w:i/>
          <w:sz w:val="22"/>
          <w:szCs w:val="22"/>
        </w:rPr>
      </w:pPr>
      <w:r w:rsidRPr="00220E51">
        <w:rPr>
          <w:rFonts w:ascii="Arial" w:hAnsi="Arial" w:cs="Arial"/>
          <w:i/>
          <w:sz w:val="22"/>
          <w:szCs w:val="22"/>
        </w:rPr>
        <w:t xml:space="preserve">Individual items </w:t>
      </w:r>
      <w:r w:rsidR="00F94F6F">
        <w:rPr>
          <w:rFonts w:ascii="Arial" w:hAnsi="Arial" w:cs="Arial"/>
          <w:i/>
          <w:sz w:val="22"/>
          <w:szCs w:val="22"/>
        </w:rPr>
        <w:t xml:space="preserve">from </w:t>
      </w:r>
      <w:r w:rsidR="00F94F6F" w:rsidRPr="00220E51">
        <w:rPr>
          <w:rFonts w:ascii="Arial" w:hAnsi="Arial" w:cs="Arial"/>
          <w:i/>
          <w:sz w:val="22"/>
          <w:szCs w:val="22"/>
        </w:rPr>
        <w:t>Treatment Factors questionnaire</w:t>
      </w:r>
    </w:p>
    <w:p w14:paraId="7E73A705" w14:textId="238978F2" w:rsidR="00490ED3" w:rsidRPr="00220E51" w:rsidRDefault="000B5001" w:rsidP="00BF5105">
      <w:pPr>
        <w:spacing w:line="480" w:lineRule="auto"/>
        <w:rPr>
          <w:rFonts w:ascii="Arial" w:hAnsi="Arial" w:cs="Arial"/>
          <w:sz w:val="22"/>
          <w:szCs w:val="22"/>
        </w:rPr>
      </w:pPr>
      <w:r>
        <w:rPr>
          <w:rFonts w:ascii="Arial" w:hAnsi="Arial" w:cs="Arial"/>
          <w:sz w:val="22"/>
          <w:szCs w:val="22"/>
        </w:rPr>
        <w:t xml:space="preserve">We inspected responses </w:t>
      </w:r>
      <w:r w:rsidR="00AD14DD">
        <w:rPr>
          <w:rFonts w:ascii="Arial" w:hAnsi="Arial" w:cs="Arial"/>
          <w:sz w:val="22"/>
          <w:szCs w:val="22"/>
        </w:rPr>
        <w:t>to individual items</w:t>
      </w:r>
      <w:r w:rsidR="00F94F6F">
        <w:rPr>
          <w:rFonts w:ascii="Arial" w:hAnsi="Arial" w:cs="Arial"/>
          <w:sz w:val="22"/>
          <w:szCs w:val="22"/>
        </w:rPr>
        <w:t xml:space="preserve"> on the </w:t>
      </w:r>
      <w:r w:rsidR="00F94F6F" w:rsidRPr="00F94F6F">
        <w:rPr>
          <w:rFonts w:ascii="Arial" w:hAnsi="Arial" w:cs="Arial"/>
          <w:sz w:val="22"/>
          <w:szCs w:val="22"/>
        </w:rPr>
        <w:t>Treatment Factors questionnaire</w:t>
      </w:r>
      <w:r w:rsidR="00AD14DD">
        <w:rPr>
          <w:rFonts w:ascii="Arial" w:hAnsi="Arial" w:cs="Arial"/>
          <w:sz w:val="22"/>
          <w:szCs w:val="22"/>
        </w:rPr>
        <w:t xml:space="preserve">, as it is of clinical interest to see the greatest, and most minimal, points of divergence between the non-responders and the responders. </w:t>
      </w:r>
      <w:r w:rsidR="004A28C9" w:rsidRPr="00220E51">
        <w:rPr>
          <w:rFonts w:ascii="Arial" w:hAnsi="Arial" w:cs="Arial"/>
          <w:sz w:val="22"/>
          <w:szCs w:val="22"/>
        </w:rPr>
        <w:t xml:space="preserve">Table </w:t>
      </w:r>
      <w:r w:rsidR="0095728A" w:rsidRPr="0095728A">
        <w:rPr>
          <w:rFonts w:ascii="Arial" w:hAnsi="Arial" w:cs="Arial"/>
          <w:color w:val="FF0000"/>
          <w:sz w:val="22"/>
          <w:szCs w:val="22"/>
        </w:rPr>
        <w:t>1</w:t>
      </w:r>
      <w:r w:rsidR="007B0F84" w:rsidRPr="00220E51">
        <w:rPr>
          <w:rFonts w:ascii="Arial" w:hAnsi="Arial" w:cs="Arial"/>
          <w:sz w:val="22"/>
          <w:szCs w:val="22"/>
        </w:rPr>
        <w:t xml:space="preserve"> shows the six individual items with the largest, and the smallest, mean differences between </w:t>
      </w:r>
      <w:r>
        <w:rPr>
          <w:rFonts w:ascii="Arial" w:hAnsi="Arial" w:cs="Arial"/>
          <w:sz w:val="22"/>
          <w:szCs w:val="22"/>
        </w:rPr>
        <w:t>responders and non-responders</w:t>
      </w:r>
      <w:r w:rsidR="007B0F84" w:rsidRPr="00220E51">
        <w:rPr>
          <w:rFonts w:ascii="Arial" w:hAnsi="Arial" w:cs="Arial"/>
          <w:sz w:val="22"/>
          <w:szCs w:val="22"/>
        </w:rPr>
        <w:t xml:space="preserve">. </w:t>
      </w:r>
      <w:r w:rsidR="00FE1A6D" w:rsidRPr="00220E51">
        <w:rPr>
          <w:rFonts w:ascii="Arial" w:hAnsi="Arial" w:cs="Arial"/>
          <w:sz w:val="22"/>
          <w:szCs w:val="22"/>
        </w:rPr>
        <w:t>The largest differences were seen in items relating to the perceived demands of the treatment format, and in perceived threat and disruption from others. The items with the least between-group differences s</w:t>
      </w:r>
      <w:r w:rsidR="00420914" w:rsidRPr="00220E51">
        <w:rPr>
          <w:rFonts w:ascii="Arial" w:hAnsi="Arial" w:cs="Arial"/>
          <w:sz w:val="22"/>
          <w:szCs w:val="22"/>
        </w:rPr>
        <w:t xml:space="preserve">how a broader range in content. </w:t>
      </w:r>
    </w:p>
    <w:p w14:paraId="35DB609B" w14:textId="77777777" w:rsidR="004A638E" w:rsidRPr="00220E51" w:rsidRDefault="004A638E" w:rsidP="00BF5105">
      <w:pPr>
        <w:spacing w:line="480" w:lineRule="auto"/>
        <w:rPr>
          <w:rFonts w:ascii="Arial" w:hAnsi="Arial" w:cs="Arial"/>
          <w:sz w:val="22"/>
          <w:szCs w:val="22"/>
        </w:rPr>
      </w:pPr>
    </w:p>
    <w:p w14:paraId="3C15E277" w14:textId="329A2181" w:rsidR="004A638E" w:rsidRPr="00220E51" w:rsidRDefault="004A638E" w:rsidP="00BF5105">
      <w:pPr>
        <w:spacing w:line="480" w:lineRule="auto"/>
        <w:rPr>
          <w:rFonts w:ascii="Arial" w:hAnsi="Arial" w:cs="Arial"/>
          <w:b/>
          <w:sz w:val="22"/>
          <w:szCs w:val="22"/>
        </w:rPr>
      </w:pPr>
      <w:r w:rsidRPr="00220E51">
        <w:rPr>
          <w:rFonts w:ascii="Arial" w:hAnsi="Arial" w:cs="Arial"/>
          <w:b/>
          <w:sz w:val="22"/>
          <w:szCs w:val="22"/>
        </w:rPr>
        <w:t xml:space="preserve">****  Table </w:t>
      </w:r>
      <w:r w:rsidR="0095728A" w:rsidRPr="0095728A">
        <w:rPr>
          <w:rFonts w:ascii="Arial" w:hAnsi="Arial" w:cs="Arial"/>
          <w:b/>
          <w:color w:val="FF0000"/>
          <w:sz w:val="22"/>
          <w:szCs w:val="22"/>
        </w:rPr>
        <w:t>1</w:t>
      </w:r>
      <w:r w:rsidRPr="00220E51">
        <w:rPr>
          <w:rFonts w:ascii="Arial" w:hAnsi="Arial" w:cs="Arial"/>
          <w:b/>
          <w:sz w:val="22"/>
          <w:szCs w:val="22"/>
        </w:rPr>
        <w:t xml:space="preserve"> about here please **** </w:t>
      </w:r>
    </w:p>
    <w:p w14:paraId="2E9DC600" w14:textId="77777777" w:rsidR="004A638E" w:rsidRPr="00220E51" w:rsidRDefault="004A638E" w:rsidP="00BF5105">
      <w:pPr>
        <w:spacing w:line="480" w:lineRule="auto"/>
        <w:rPr>
          <w:rFonts w:ascii="Arial" w:hAnsi="Arial" w:cs="Arial"/>
          <w:sz w:val="22"/>
          <w:szCs w:val="22"/>
        </w:rPr>
      </w:pPr>
    </w:p>
    <w:p w14:paraId="75C1AE83" w14:textId="7893EBFA" w:rsidR="00A35B18" w:rsidRPr="00220E51" w:rsidRDefault="00D86EF9" w:rsidP="00BF5105">
      <w:pPr>
        <w:spacing w:line="480" w:lineRule="auto"/>
        <w:rPr>
          <w:rFonts w:ascii="Arial" w:hAnsi="Arial" w:cs="Arial"/>
          <w:sz w:val="22"/>
          <w:szCs w:val="22"/>
        </w:rPr>
      </w:pPr>
      <w:r>
        <w:rPr>
          <w:rFonts w:ascii="Arial" w:hAnsi="Arial" w:cs="Arial"/>
          <w:sz w:val="22"/>
          <w:szCs w:val="22"/>
        </w:rPr>
        <w:t xml:space="preserve">We </w:t>
      </w:r>
      <w:r w:rsidR="00F94F6F">
        <w:rPr>
          <w:rFonts w:ascii="Arial" w:hAnsi="Arial" w:cs="Arial"/>
          <w:sz w:val="22"/>
          <w:szCs w:val="22"/>
        </w:rPr>
        <w:t xml:space="preserve">also </w:t>
      </w:r>
      <w:r>
        <w:rPr>
          <w:rFonts w:ascii="Arial" w:hAnsi="Arial" w:cs="Arial"/>
          <w:sz w:val="22"/>
          <w:szCs w:val="22"/>
        </w:rPr>
        <w:t xml:space="preserve">examined individual items in order to control for a specific methodological risk, that is, that non-responders might endorse specific treatment factors as negative, where in fact they were simply unpleasant, and not actually a barrier to good outcome. </w:t>
      </w:r>
      <w:r w:rsidR="00557C7F">
        <w:rPr>
          <w:rFonts w:ascii="Arial" w:hAnsi="Arial" w:cs="Arial"/>
          <w:sz w:val="22"/>
          <w:szCs w:val="22"/>
        </w:rPr>
        <w:t>If this were true</w:t>
      </w:r>
      <w:r>
        <w:rPr>
          <w:rFonts w:ascii="Arial" w:hAnsi="Arial" w:cs="Arial"/>
          <w:sz w:val="22"/>
          <w:szCs w:val="22"/>
        </w:rPr>
        <w:t xml:space="preserve">, responders might also rate the same items as negative, endorsing their unpleasantness but demonstrating that these factors were not related to outcome. </w:t>
      </w:r>
      <w:r w:rsidR="00557C7F">
        <w:rPr>
          <w:rFonts w:ascii="Arial" w:hAnsi="Arial" w:cs="Arial"/>
          <w:sz w:val="22"/>
          <w:szCs w:val="22"/>
        </w:rPr>
        <w:t xml:space="preserve">We found </w:t>
      </w:r>
      <w:r w:rsidR="00494995">
        <w:rPr>
          <w:rFonts w:ascii="Arial" w:hAnsi="Arial" w:cs="Arial"/>
          <w:sz w:val="22"/>
          <w:szCs w:val="22"/>
        </w:rPr>
        <w:t>no</w:t>
      </w:r>
      <w:r w:rsidR="00557C7F">
        <w:rPr>
          <w:rFonts w:ascii="Arial" w:hAnsi="Arial" w:cs="Arial"/>
          <w:sz w:val="22"/>
          <w:szCs w:val="22"/>
        </w:rPr>
        <w:t xml:space="preserve"> variables that the non-response group rated as unequivocally negative towards treatment outcome. However, some of their least positive ratings were on items </w:t>
      </w:r>
      <w:r w:rsidR="00494995">
        <w:rPr>
          <w:rFonts w:ascii="Arial" w:hAnsi="Arial" w:cs="Arial"/>
          <w:sz w:val="22"/>
          <w:szCs w:val="22"/>
        </w:rPr>
        <w:t xml:space="preserve">sampling </w:t>
      </w:r>
      <w:r w:rsidR="00A301E1">
        <w:rPr>
          <w:rFonts w:ascii="Arial" w:hAnsi="Arial" w:cs="Arial"/>
          <w:sz w:val="22"/>
          <w:szCs w:val="22"/>
        </w:rPr>
        <w:t>financial pressure</w:t>
      </w:r>
      <w:r w:rsidR="00166327" w:rsidRPr="00220E51">
        <w:rPr>
          <w:rFonts w:ascii="Arial" w:hAnsi="Arial" w:cs="Arial"/>
          <w:sz w:val="22"/>
          <w:szCs w:val="22"/>
        </w:rPr>
        <w:t xml:space="preserve">, insufficient individual time and drowsiness caused by medication (means 3.8 – 4.2, where 4 = ‘neutral’, 5 = somewhat true, 3 = somewhat untrue). </w:t>
      </w:r>
      <w:r w:rsidR="00494995">
        <w:rPr>
          <w:rFonts w:ascii="Arial" w:hAnsi="Arial" w:cs="Arial"/>
          <w:sz w:val="22"/>
          <w:szCs w:val="22"/>
        </w:rPr>
        <w:t xml:space="preserve">We examined </w:t>
      </w:r>
      <w:r w:rsidR="00166327" w:rsidRPr="00220E51">
        <w:rPr>
          <w:rFonts w:ascii="Arial" w:hAnsi="Arial" w:cs="Arial"/>
          <w:sz w:val="22"/>
          <w:szCs w:val="22"/>
        </w:rPr>
        <w:t xml:space="preserve">scores for responders on </w:t>
      </w:r>
      <w:r w:rsidR="00494995">
        <w:rPr>
          <w:rFonts w:ascii="Arial" w:hAnsi="Arial" w:cs="Arial"/>
          <w:sz w:val="22"/>
          <w:szCs w:val="22"/>
        </w:rPr>
        <w:t xml:space="preserve">the same items, and they were </w:t>
      </w:r>
      <w:r w:rsidR="00166327" w:rsidRPr="00220E51">
        <w:rPr>
          <w:rFonts w:ascii="Arial" w:hAnsi="Arial" w:cs="Arial"/>
          <w:sz w:val="22"/>
          <w:szCs w:val="22"/>
        </w:rPr>
        <w:t xml:space="preserve">almost identical (3.9 – 4.4), indicating that these may be more generic difficulties in treatment, rather than being linked to outcome. </w:t>
      </w:r>
    </w:p>
    <w:p w14:paraId="2250C07E" w14:textId="77777777" w:rsidR="00A35B18" w:rsidRPr="00220E51" w:rsidRDefault="00A35B18" w:rsidP="00BF5105">
      <w:pPr>
        <w:spacing w:line="480" w:lineRule="auto"/>
        <w:rPr>
          <w:rFonts w:ascii="Arial" w:hAnsi="Arial" w:cs="Arial"/>
          <w:sz w:val="22"/>
          <w:szCs w:val="22"/>
        </w:rPr>
      </w:pPr>
    </w:p>
    <w:p w14:paraId="0EF560A4" w14:textId="66990C42" w:rsidR="007B0F84" w:rsidRPr="00220E51" w:rsidRDefault="007B0F84" w:rsidP="00BF5105">
      <w:pPr>
        <w:spacing w:line="480" w:lineRule="auto"/>
        <w:rPr>
          <w:rFonts w:ascii="Arial" w:hAnsi="Arial" w:cs="Arial"/>
          <w:sz w:val="22"/>
          <w:szCs w:val="22"/>
        </w:rPr>
      </w:pPr>
      <w:r w:rsidRPr="00220E51">
        <w:rPr>
          <w:rFonts w:ascii="Arial" w:hAnsi="Arial" w:cs="Arial"/>
          <w:i/>
          <w:sz w:val="22"/>
          <w:szCs w:val="22"/>
        </w:rPr>
        <w:lastRenderedPageBreak/>
        <w:t xml:space="preserve">Refinement of subscales </w:t>
      </w:r>
    </w:p>
    <w:p w14:paraId="76893643" w14:textId="6AB1C7D8" w:rsidR="007B0F84" w:rsidRPr="00220E51" w:rsidRDefault="0095728A" w:rsidP="00BF5105">
      <w:pPr>
        <w:spacing w:line="480" w:lineRule="auto"/>
        <w:rPr>
          <w:rFonts w:ascii="Arial" w:hAnsi="Arial" w:cs="Arial"/>
          <w:sz w:val="22"/>
          <w:szCs w:val="22"/>
        </w:rPr>
      </w:pPr>
      <w:r>
        <w:rPr>
          <w:rFonts w:ascii="Arial" w:hAnsi="Arial" w:cs="Arial"/>
          <w:sz w:val="22"/>
          <w:szCs w:val="22"/>
        </w:rPr>
        <w:t xml:space="preserve">Inspection of Table </w:t>
      </w:r>
      <w:r w:rsidRPr="0095728A">
        <w:rPr>
          <w:rFonts w:ascii="Arial" w:hAnsi="Arial" w:cs="Arial"/>
          <w:color w:val="FF0000"/>
          <w:sz w:val="22"/>
          <w:szCs w:val="22"/>
        </w:rPr>
        <w:t>1</w:t>
      </w:r>
      <w:r w:rsidR="007B0F84" w:rsidRPr="00220E51">
        <w:rPr>
          <w:rFonts w:ascii="Arial" w:hAnsi="Arial" w:cs="Arial"/>
          <w:sz w:val="22"/>
          <w:szCs w:val="22"/>
        </w:rPr>
        <w:t xml:space="preserve"> indicates that many items appear to group together; half of the six items with the largest between-group difference relate to perceived or actual adversity from others. </w:t>
      </w:r>
      <w:r w:rsidR="000C4D5C" w:rsidRPr="00220E51">
        <w:rPr>
          <w:rFonts w:ascii="Arial" w:hAnsi="Arial" w:cs="Arial"/>
          <w:sz w:val="22"/>
          <w:szCs w:val="22"/>
        </w:rPr>
        <w:t>T</w:t>
      </w:r>
      <w:r w:rsidR="00FE1A6D" w:rsidRPr="00220E51">
        <w:rPr>
          <w:rFonts w:ascii="Arial" w:hAnsi="Arial" w:cs="Arial"/>
          <w:sz w:val="22"/>
          <w:szCs w:val="22"/>
        </w:rPr>
        <w:t>o advance our analysis of the</w:t>
      </w:r>
      <w:r w:rsidR="007B0F84" w:rsidRPr="00220E51">
        <w:rPr>
          <w:rFonts w:ascii="Arial" w:hAnsi="Arial" w:cs="Arial"/>
          <w:sz w:val="22"/>
          <w:szCs w:val="22"/>
        </w:rPr>
        <w:t xml:space="preserve"> large number of </w:t>
      </w:r>
      <w:r w:rsidR="00FE1A6D" w:rsidRPr="00220E51">
        <w:rPr>
          <w:rFonts w:ascii="Arial" w:hAnsi="Arial" w:cs="Arial"/>
          <w:sz w:val="22"/>
          <w:szCs w:val="22"/>
        </w:rPr>
        <w:t xml:space="preserve">remaining </w:t>
      </w:r>
      <w:r w:rsidR="000C4D5C" w:rsidRPr="00220E51">
        <w:rPr>
          <w:rFonts w:ascii="Arial" w:hAnsi="Arial" w:cs="Arial"/>
          <w:sz w:val="22"/>
          <w:szCs w:val="22"/>
        </w:rPr>
        <w:t>individual items,</w:t>
      </w:r>
      <w:r w:rsidR="007B0F84" w:rsidRPr="00220E51">
        <w:rPr>
          <w:rFonts w:ascii="Arial" w:hAnsi="Arial" w:cs="Arial"/>
          <w:sz w:val="22"/>
          <w:szCs w:val="22"/>
        </w:rPr>
        <w:t xml:space="preserve"> we </w:t>
      </w:r>
      <w:r w:rsidR="000C4D5C" w:rsidRPr="00220E51">
        <w:rPr>
          <w:rFonts w:ascii="Arial" w:hAnsi="Arial" w:cs="Arial"/>
          <w:sz w:val="22"/>
          <w:szCs w:val="22"/>
        </w:rPr>
        <w:t>analysed</w:t>
      </w:r>
      <w:r w:rsidR="00327BC0" w:rsidRPr="00220E51">
        <w:rPr>
          <w:rFonts w:ascii="Arial" w:hAnsi="Arial" w:cs="Arial"/>
          <w:sz w:val="22"/>
          <w:szCs w:val="22"/>
        </w:rPr>
        <w:t xml:space="preserve"> </w:t>
      </w:r>
      <w:r w:rsidR="007B0F84" w:rsidRPr="00220E51">
        <w:rPr>
          <w:rFonts w:ascii="Arial" w:hAnsi="Arial" w:cs="Arial"/>
          <w:sz w:val="22"/>
          <w:szCs w:val="22"/>
        </w:rPr>
        <w:t xml:space="preserve">our </w:t>
      </w:r>
      <w:r w:rsidR="00327BC0" w:rsidRPr="00220E51">
        <w:rPr>
          <w:rFonts w:ascii="Arial" w:hAnsi="Arial" w:cs="Arial"/>
          <w:sz w:val="22"/>
          <w:szCs w:val="22"/>
        </w:rPr>
        <w:t xml:space="preserve">‘subscales’ from the </w:t>
      </w:r>
      <w:r w:rsidR="0051790C" w:rsidRPr="00220E51">
        <w:rPr>
          <w:rFonts w:ascii="Arial" w:hAnsi="Arial" w:cs="Arial"/>
          <w:sz w:val="22"/>
          <w:szCs w:val="22"/>
        </w:rPr>
        <w:t>Treatment Factors questionnaire</w:t>
      </w:r>
      <w:r w:rsidR="00327BC0" w:rsidRPr="00220E51">
        <w:rPr>
          <w:rFonts w:ascii="Arial" w:hAnsi="Arial" w:cs="Arial"/>
          <w:sz w:val="22"/>
          <w:szCs w:val="22"/>
        </w:rPr>
        <w:t xml:space="preserve">, discarding items that contributed to an unacceptably low alpha. This resulted in the ejection of between </w:t>
      </w:r>
      <w:r w:rsidR="00BB13F2" w:rsidRPr="00220E51">
        <w:rPr>
          <w:rFonts w:ascii="Arial" w:hAnsi="Arial" w:cs="Arial"/>
          <w:sz w:val="22"/>
          <w:szCs w:val="22"/>
        </w:rPr>
        <w:t xml:space="preserve">0% and 33.3% </w:t>
      </w:r>
      <w:r w:rsidR="00327BC0" w:rsidRPr="00220E51">
        <w:rPr>
          <w:rFonts w:ascii="Arial" w:hAnsi="Arial" w:cs="Arial"/>
          <w:sz w:val="22"/>
          <w:szCs w:val="22"/>
        </w:rPr>
        <w:t xml:space="preserve">items from different subscales; the </w:t>
      </w:r>
      <w:r w:rsidR="005E0685">
        <w:rPr>
          <w:rFonts w:ascii="Arial" w:hAnsi="Arial" w:cs="Arial"/>
          <w:sz w:val="22"/>
          <w:szCs w:val="22"/>
        </w:rPr>
        <w:t xml:space="preserve">final </w:t>
      </w:r>
      <w:r w:rsidR="00C4235D" w:rsidRPr="00220E51">
        <w:rPr>
          <w:rFonts w:ascii="Arial" w:hAnsi="Arial" w:cs="Arial"/>
          <w:sz w:val="22"/>
          <w:szCs w:val="22"/>
        </w:rPr>
        <w:t xml:space="preserve">six </w:t>
      </w:r>
      <w:r w:rsidR="00327BC0" w:rsidRPr="00220E51">
        <w:rPr>
          <w:rFonts w:ascii="Arial" w:hAnsi="Arial" w:cs="Arial"/>
          <w:sz w:val="22"/>
          <w:szCs w:val="22"/>
        </w:rPr>
        <w:t>subscales had an internal consist</w:t>
      </w:r>
      <w:r w:rsidR="002517C3" w:rsidRPr="00220E51">
        <w:rPr>
          <w:rFonts w:ascii="Arial" w:hAnsi="Arial" w:cs="Arial"/>
          <w:sz w:val="22"/>
          <w:szCs w:val="22"/>
        </w:rPr>
        <w:t>ency of between α .79-</w:t>
      </w:r>
      <w:r w:rsidR="00E55C86" w:rsidRPr="00220E51">
        <w:rPr>
          <w:rFonts w:ascii="Arial" w:hAnsi="Arial" w:cs="Arial"/>
          <w:sz w:val="22"/>
          <w:szCs w:val="22"/>
        </w:rPr>
        <w:t>.94</w:t>
      </w:r>
      <w:r>
        <w:rPr>
          <w:rFonts w:ascii="Arial" w:hAnsi="Arial" w:cs="Arial"/>
          <w:sz w:val="22"/>
          <w:szCs w:val="22"/>
        </w:rPr>
        <w:t xml:space="preserve"> (see Table </w:t>
      </w:r>
      <w:r w:rsidRPr="0095728A">
        <w:rPr>
          <w:rFonts w:ascii="Arial" w:hAnsi="Arial" w:cs="Arial"/>
          <w:color w:val="FF0000"/>
          <w:sz w:val="22"/>
          <w:szCs w:val="22"/>
        </w:rPr>
        <w:t>2</w:t>
      </w:r>
      <w:r w:rsidR="000C4D5C" w:rsidRPr="00220E51">
        <w:rPr>
          <w:rFonts w:ascii="Arial" w:hAnsi="Arial" w:cs="Arial"/>
          <w:sz w:val="22"/>
          <w:szCs w:val="22"/>
        </w:rPr>
        <w:t>).</w:t>
      </w:r>
    </w:p>
    <w:p w14:paraId="08F39B82" w14:textId="77777777" w:rsidR="00490ED3" w:rsidRPr="00220E51" w:rsidRDefault="00490ED3" w:rsidP="00BF5105">
      <w:pPr>
        <w:spacing w:line="480" w:lineRule="auto"/>
        <w:rPr>
          <w:rFonts w:ascii="Arial" w:hAnsi="Arial" w:cs="Arial"/>
          <w:sz w:val="22"/>
          <w:szCs w:val="22"/>
        </w:rPr>
      </w:pPr>
    </w:p>
    <w:p w14:paraId="04A184C0" w14:textId="3577B8C3" w:rsidR="004A638E" w:rsidRPr="00220E51" w:rsidRDefault="004A638E" w:rsidP="00BF5105">
      <w:pPr>
        <w:spacing w:line="480" w:lineRule="auto"/>
        <w:rPr>
          <w:rFonts w:ascii="Arial" w:hAnsi="Arial" w:cs="Arial"/>
          <w:b/>
          <w:sz w:val="22"/>
          <w:szCs w:val="22"/>
        </w:rPr>
      </w:pPr>
      <w:r w:rsidRPr="00220E51">
        <w:rPr>
          <w:rFonts w:ascii="Arial" w:hAnsi="Arial" w:cs="Arial"/>
          <w:b/>
          <w:sz w:val="22"/>
          <w:szCs w:val="22"/>
        </w:rPr>
        <w:t xml:space="preserve">****  Table </w:t>
      </w:r>
      <w:r w:rsidR="0095728A" w:rsidRPr="0095728A">
        <w:rPr>
          <w:rFonts w:ascii="Arial" w:hAnsi="Arial" w:cs="Arial"/>
          <w:b/>
          <w:color w:val="FF0000"/>
          <w:sz w:val="22"/>
          <w:szCs w:val="22"/>
        </w:rPr>
        <w:t>2</w:t>
      </w:r>
      <w:r w:rsidRPr="00220E51">
        <w:rPr>
          <w:rFonts w:ascii="Arial" w:hAnsi="Arial" w:cs="Arial"/>
          <w:b/>
          <w:sz w:val="22"/>
          <w:szCs w:val="22"/>
        </w:rPr>
        <w:t xml:space="preserve"> about here please **** </w:t>
      </w:r>
    </w:p>
    <w:p w14:paraId="58EAC32D" w14:textId="77777777" w:rsidR="004A638E" w:rsidRPr="00220E51" w:rsidRDefault="004A638E" w:rsidP="00BF5105">
      <w:pPr>
        <w:spacing w:line="480" w:lineRule="auto"/>
        <w:rPr>
          <w:rFonts w:ascii="Arial" w:hAnsi="Arial" w:cs="Arial"/>
          <w:sz w:val="22"/>
          <w:szCs w:val="22"/>
        </w:rPr>
      </w:pPr>
    </w:p>
    <w:p w14:paraId="414E6F7D" w14:textId="77777777" w:rsidR="00333219" w:rsidRPr="00220E51" w:rsidRDefault="00333219" w:rsidP="00BF5105">
      <w:pPr>
        <w:spacing w:line="480" w:lineRule="auto"/>
        <w:rPr>
          <w:rFonts w:ascii="Arial" w:hAnsi="Arial" w:cs="Arial"/>
          <w:i/>
          <w:sz w:val="22"/>
          <w:szCs w:val="22"/>
        </w:rPr>
      </w:pPr>
      <w:r w:rsidRPr="00220E51">
        <w:rPr>
          <w:rFonts w:ascii="Arial" w:hAnsi="Arial" w:cs="Arial"/>
          <w:i/>
          <w:sz w:val="22"/>
          <w:szCs w:val="22"/>
        </w:rPr>
        <w:t xml:space="preserve">Logistic regression </w:t>
      </w:r>
    </w:p>
    <w:p w14:paraId="7917D597" w14:textId="0ACEA711" w:rsidR="00F5181B" w:rsidRPr="00220E51" w:rsidRDefault="00E52004" w:rsidP="00BF5105">
      <w:pPr>
        <w:spacing w:line="480" w:lineRule="auto"/>
        <w:rPr>
          <w:rFonts w:ascii="Arial" w:hAnsi="Arial" w:cs="Arial"/>
          <w:sz w:val="22"/>
          <w:szCs w:val="22"/>
        </w:rPr>
      </w:pPr>
      <w:r w:rsidRPr="00220E51">
        <w:rPr>
          <w:rFonts w:ascii="Arial" w:hAnsi="Arial" w:cs="Arial"/>
          <w:sz w:val="22"/>
          <w:szCs w:val="22"/>
        </w:rPr>
        <w:t xml:space="preserve">A logistic regression </w:t>
      </w:r>
      <w:r w:rsidR="00327BC0" w:rsidRPr="00220E51">
        <w:rPr>
          <w:rFonts w:ascii="Arial" w:hAnsi="Arial" w:cs="Arial"/>
          <w:sz w:val="22"/>
          <w:szCs w:val="22"/>
        </w:rPr>
        <w:t xml:space="preserve">analysis </w:t>
      </w:r>
      <w:r w:rsidR="002A0341" w:rsidRPr="00220E51">
        <w:rPr>
          <w:rFonts w:ascii="Arial" w:hAnsi="Arial" w:cs="Arial"/>
          <w:sz w:val="22"/>
          <w:szCs w:val="22"/>
        </w:rPr>
        <w:t>was conducted with</w:t>
      </w:r>
      <w:r w:rsidR="00327BC0" w:rsidRPr="00220E51">
        <w:rPr>
          <w:rFonts w:ascii="Arial" w:hAnsi="Arial" w:cs="Arial"/>
          <w:sz w:val="22"/>
          <w:szCs w:val="22"/>
        </w:rPr>
        <w:t xml:space="preserve"> the six subscales e</w:t>
      </w:r>
      <w:r w:rsidR="00F5181B" w:rsidRPr="00220E51">
        <w:rPr>
          <w:rFonts w:ascii="Arial" w:hAnsi="Arial" w:cs="Arial"/>
          <w:sz w:val="22"/>
          <w:szCs w:val="22"/>
        </w:rPr>
        <w:t>ntered as potential predictors</w:t>
      </w:r>
      <w:r w:rsidRPr="00220E51">
        <w:rPr>
          <w:rFonts w:ascii="Arial" w:hAnsi="Arial" w:cs="Arial"/>
          <w:sz w:val="22"/>
          <w:szCs w:val="22"/>
        </w:rPr>
        <w:t xml:space="preserve"> of the dependent variable, ‘g</w:t>
      </w:r>
      <w:r w:rsidR="00327BC0" w:rsidRPr="00220E51">
        <w:rPr>
          <w:rFonts w:ascii="Arial" w:hAnsi="Arial" w:cs="Arial"/>
          <w:sz w:val="22"/>
          <w:szCs w:val="22"/>
        </w:rPr>
        <w:t>roup</w:t>
      </w:r>
      <w:r w:rsidRPr="00220E51">
        <w:rPr>
          <w:rFonts w:ascii="Arial" w:hAnsi="Arial" w:cs="Arial"/>
          <w:sz w:val="22"/>
          <w:szCs w:val="22"/>
        </w:rPr>
        <w:t>’</w:t>
      </w:r>
      <w:r w:rsidR="00327BC0" w:rsidRPr="00220E51">
        <w:rPr>
          <w:rFonts w:ascii="Arial" w:hAnsi="Arial" w:cs="Arial"/>
          <w:sz w:val="22"/>
          <w:szCs w:val="22"/>
        </w:rPr>
        <w:t xml:space="preserve"> (responder </w:t>
      </w:r>
      <w:r w:rsidR="00676286">
        <w:rPr>
          <w:rFonts w:ascii="Arial" w:hAnsi="Arial" w:cs="Arial"/>
          <w:sz w:val="22"/>
          <w:szCs w:val="22"/>
        </w:rPr>
        <w:t>or</w:t>
      </w:r>
      <w:r w:rsidR="00676286" w:rsidRPr="00220E51">
        <w:rPr>
          <w:rFonts w:ascii="Arial" w:hAnsi="Arial" w:cs="Arial"/>
          <w:sz w:val="22"/>
          <w:szCs w:val="22"/>
        </w:rPr>
        <w:t xml:space="preserve"> </w:t>
      </w:r>
      <w:r w:rsidR="00676286">
        <w:rPr>
          <w:rFonts w:ascii="Arial" w:hAnsi="Arial" w:cs="Arial"/>
          <w:sz w:val="22"/>
          <w:szCs w:val="22"/>
        </w:rPr>
        <w:t>non-</w:t>
      </w:r>
      <w:r w:rsidR="00327BC0" w:rsidRPr="00220E51">
        <w:rPr>
          <w:rFonts w:ascii="Arial" w:hAnsi="Arial" w:cs="Arial"/>
          <w:sz w:val="22"/>
          <w:szCs w:val="22"/>
        </w:rPr>
        <w:t>responder).</w:t>
      </w:r>
      <w:r w:rsidR="00BB13F2" w:rsidRPr="00220E51">
        <w:rPr>
          <w:rFonts w:ascii="Arial" w:hAnsi="Arial" w:cs="Arial"/>
          <w:sz w:val="22"/>
          <w:szCs w:val="22"/>
        </w:rPr>
        <w:t xml:space="preserve"> Logistic regression models are </w:t>
      </w:r>
      <w:r w:rsidR="002A0341" w:rsidRPr="00220E51">
        <w:rPr>
          <w:rFonts w:ascii="Arial" w:hAnsi="Arial" w:cs="Arial"/>
          <w:sz w:val="22"/>
          <w:szCs w:val="22"/>
        </w:rPr>
        <w:t>viable</w:t>
      </w:r>
      <w:r w:rsidR="00BB13F2" w:rsidRPr="00220E51">
        <w:rPr>
          <w:rFonts w:ascii="Arial" w:hAnsi="Arial" w:cs="Arial"/>
          <w:sz w:val="22"/>
          <w:szCs w:val="22"/>
        </w:rPr>
        <w:t xml:space="preserve"> where there are</w:t>
      </w:r>
      <w:r w:rsidR="00EC78F0" w:rsidRPr="00220E51">
        <w:rPr>
          <w:rFonts w:ascii="Arial" w:hAnsi="Arial" w:cs="Arial"/>
          <w:sz w:val="22"/>
          <w:szCs w:val="22"/>
        </w:rPr>
        <w:t xml:space="preserve"> at least 10 cases per variable</w:t>
      </w:r>
      <w:r w:rsidR="00BB13F2" w:rsidRPr="00220E51">
        <w:rPr>
          <w:rFonts w:ascii="Arial" w:hAnsi="Arial" w:cs="Arial"/>
          <w:sz w:val="22"/>
          <w:szCs w:val="22"/>
        </w:rPr>
        <w:t xml:space="preserve"> (</w:t>
      </w:r>
      <w:r w:rsidR="00EF6F75">
        <w:rPr>
          <w:rFonts w:ascii="Arial" w:hAnsi="Arial" w:cs="Arial"/>
          <w:sz w:val="22"/>
          <w:szCs w:val="22"/>
        </w:rPr>
        <w:t>Vittinghoff &amp; McCulloch, 2006). The assumptions of logistic regression analysis were satisfied.</w:t>
      </w:r>
    </w:p>
    <w:p w14:paraId="2269F120" w14:textId="77777777" w:rsidR="002A0341" w:rsidRPr="00220E51" w:rsidRDefault="002A0341" w:rsidP="00BF5105">
      <w:pPr>
        <w:spacing w:line="480" w:lineRule="auto"/>
        <w:rPr>
          <w:rFonts w:ascii="Arial" w:hAnsi="Arial" w:cs="Arial"/>
          <w:sz w:val="22"/>
          <w:szCs w:val="22"/>
        </w:rPr>
      </w:pPr>
    </w:p>
    <w:p w14:paraId="5554286C" w14:textId="1DC0E10A" w:rsidR="009F5ACE" w:rsidRPr="00220E51" w:rsidRDefault="0095728A" w:rsidP="00BF5105">
      <w:pPr>
        <w:spacing w:line="480" w:lineRule="auto"/>
        <w:rPr>
          <w:rFonts w:ascii="Arial" w:hAnsi="Arial" w:cs="Arial"/>
          <w:sz w:val="22"/>
          <w:szCs w:val="22"/>
        </w:rPr>
      </w:pPr>
      <w:r w:rsidRPr="00220E51">
        <w:rPr>
          <w:rFonts w:ascii="Arial" w:hAnsi="Arial" w:cs="Arial"/>
          <w:sz w:val="22"/>
          <w:szCs w:val="22"/>
        </w:rPr>
        <w:t>The regression model accounted for a significant amount of variance</w:t>
      </w:r>
      <w:r>
        <w:rPr>
          <w:rFonts w:ascii="Arial" w:hAnsi="Arial" w:cs="Arial"/>
          <w:sz w:val="22"/>
          <w:szCs w:val="22"/>
        </w:rPr>
        <w:t xml:space="preserve"> </w:t>
      </w:r>
      <w:r w:rsidRPr="00473762">
        <w:rPr>
          <w:rFonts w:ascii="Arial" w:hAnsi="Arial" w:cs="Arial"/>
          <w:color w:val="FF0000"/>
          <w:sz w:val="22"/>
          <w:szCs w:val="22"/>
        </w:rPr>
        <w:t>(</w:t>
      </w:r>
      <w:r w:rsidRPr="00473762">
        <w:rPr>
          <w:rFonts w:ascii="Arial" w:hAnsi="Arial" w:cs="Arial"/>
          <w:i/>
          <w:color w:val="FF0000"/>
          <w:sz w:val="22"/>
          <w:szCs w:val="22"/>
        </w:rPr>
        <w:t>p</w:t>
      </w:r>
      <w:r w:rsidRPr="00473762">
        <w:rPr>
          <w:rFonts w:ascii="Arial" w:hAnsi="Arial" w:cs="Arial"/>
          <w:color w:val="FF0000"/>
          <w:sz w:val="22"/>
          <w:szCs w:val="22"/>
        </w:rPr>
        <w:t>&lt;.01)</w:t>
      </w:r>
      <w:r w:rsidRPr="00220E51">
        <w:rPr>
          <w:rFonts w:ascii="Arial" w:hAnsi="Arial" w:cs="Arial"/>
          <w:sz w:val="22"/>
          <w:szCs w:val="22"/>
        </w:rPr>
        <w:t xml:space="preserve">, </w:t>
      </w:r>
      <w:r>
        <w:rPr>
          <w:rFonts w:ascii="Arial" w:hAnsi="Arial" w:cs="Arial"/>
          <w:sz w:val="22"/>
          <w:szCs w:val="22"/>
        </w:rPr>
        <w:t xml:space="preserve">successfully </w:t>
      </w:r>
      <w:r w:rsidRPr="005541A6">
        <w:rPr>
          <w:rFonts w:ascii="Arial" w:hAnsi="Arial" w:cs="Arial"/>
          <w:color w:val="FF0000"/>
          <w:sz w:val="22"/>
          <w:szCs w:val="22"/>
        </w:rPr>
        <w:t xml:space="preserve">classifying </w:t>
      </w:r>
      <w:r>
        <w:rPr>
          <w:rFonts w:ascii="Arial" w:hAnsi="Arial" w:cs="Arial"/>
          <w:sz w:val="22"/>
          <w:szCs w:val="22"/>
        </w:rPr>
        <w:t>70% of the cases overall</w:t>
      </w:r>
      <w:r w:rsidRPr="00220E51">
        <w:rPr>
          <w:rFonts w:ascii="Arial" w:hAnsi="Arial" w:cs="Arial"/>
          <w:sz w:val="22"/>
          <w:szCs w:val="22"/>
        </w:rPr>
        <w:t xml:space="preserve"> </w:t>
      </w:r>
      <w:r w:rsidRPr="005541A6">
        <w:rPr>
          <w:rFonts w:ascii="Arial" w:hAnsi="Arial" w:cs="Arial"/>
          <w:color w:val="FF0000"/>
          <w:sz w:val="22"/>
          <w:szCs w:val="22"/>
        </w:rPr>
        <w:t>(</w:t>
      </w:r>
      <w:r w:rsidRPr="00220E51">
        <w:rPr>
          <w:rFonts w:ascii="Arial" w:hAnsi="Arial" w:cs="Arial"/>
          <w:sz w:val="22"/>
          <w:szCs w:val="22"/>
        </w:rPr>
        <w:t>60% of responders and 80% of non-responders</w:t>
      </w:r>
      <w:r w:rsidRPr="00F11C14">
        <w:rPr>
          <w:rFonts w:ascii="Arial" w:hAnsi="Arial" w:cs="Arial"/>
          <w:color w:val="FF0000"/>
          <w:sz w:val="22"/>
          <w:szCs w:val="22"/>
        </w:rPr>
        <w:t>)</w:t>
      </w:r>
      <w:r>
        <w:rPr>
          <w:rFonts w:ascii="Arial" w:hAnsi="Arial" w:cs="Arial"/>
          <w:sz w:val="22"/>
          <w:szCs w:val="22"/>
        </w:rPr>
        <w:t xml:space="preserve">. </w:t>
      </w:r>
      <w:r w:rsidR="00327BC0" w:rsidRPr="00220E51">
        <w:rPr>
          <w:rFonts w:ascii="Arial" w:hAnsi="Arial" w:cs="Arial"/>
          <w:sz w:val="22"/>
          <w:szCs w:val="22"/>
        </w:rPr>
        <w:t>Coeff</w:t>
      </w:r>
      <w:r>
        <w:rPr>
          <w:rFonts w:ascii="Arial" w:hAnsi="Arial" w:cs="Arial"/>
          <w:sz w:val="22"/>
          <w:szCs w:val="22"/>
        </w:rPr>
        <w:t xml:space="preserve">icients are displayed in Table </w:t>
      </w:r>
      <w:r w:rsidRPr="0095728A">
        <w:rPr>
          <w:rFonts w:ascii="Arial" w:hAnsi="Arial" w:cs="Arial"/>
          <w:color w:val="FF0000"/>
          <w:sz w:val="22"/>
          <w:szCs w:val="22"/>
        </w:rPr>
        <w:t>3</w:t>
      </w:r>
      <w:r w:rsidR="002A0341" w:rsidRPr="00220E51">
        <w:rPr>
          <w:rFonts w:ascii="Arial" w:hAnsi="Arial" w:cs="Arial"/>
          <w:sz w:val="22"/>
          <w:szCs w:val="22"/>
        </w:rPr>
        <w:t>. T</w:t>
      </w:r>
      <w:r w:rsidR="00327BC0" w:rsidRPr="00220E51">
        <w:rPr>
          <w:rFonts w:ascii="Arial" w:hAnsi="Arial" w:cs="Arial"/>
          <w:sz w:val="22"/>
          <w:szCs w:val="22"/>
        </w:rPr>
        <w:t xml:space="preserve">wo </w:t>
      </w:r>
      <w:r w:rsidR="009F5ACE" w:rsidRPr="00220E51">
        <w:rPr>
          <w:rFonts w:ascii="Arial" w:hAnsi="Arial" w:cs="Arial"/>
          <w:sz w:val="22"/>
          <w:szCs w:val="22"/>
        </w:rPr>
        <w:t xml:space="preserve">variables </w:t>
      </w:r>
      <w:r w:rsidR="00327BC0" w:rsidRPr="00220E51">
        <w:rPr>
          <w:rFonts w:ascii="Arial" w:hAnsi="Arial" w:cs="Arial"/>
          <w:sz w:val="22"/>
          <w:szCs w:val="22"/>
        </w:rPr>
        <w:t>emerged as independent predictors at p &lt; .05 in the regression model</w:t>
      </w:r>
      <w:r w:rsidR="002A0341" w:rsidRPr="00220E51">
        <w:rPr>
          <w:rFonts w:ascii="Arial" w:hAnsi="Arial" w:cs="Arial"/>
          <w:sz w:val="22"/>
          <w:szCs w:val="22"/>
        </w:rPr>
        <w:t>:</w:t>
      </w:r>
      <w:r w:rsidR="00327BC0" w:rsidRPr="00220E51">
        <w:rPr>
          <w:rFonts w:ascii="Arial" w:hAnsi="Arial" w:cs="Arial"/>
          <w:sz w:val="22"/>
          <w:szCs w:val="22"/>
        </w:rPr>
        <w:t xml:space="preserve"> Emotional State and People Outside of P</w:t>
      </w:r>
      <w:r w:rsidR="009F5ACE" w:rsidRPr="00220E51">
        <w:rPr>
          <w:rFonts w:ascii="Arial" w:hAnsi="Arial" w:cs="Arial"/>
          <w:sz w:val="22"/>
          <w:szCs w:val="22"/>
        </w:rPr>
        <w:t>rogramme</w:t>
      </w:r>
      <w:r w:rsidR="00327BC0" w:rsidRPr="00220E51">
        <w:rPr>
          <w:rFonts w:ascii="Arial" w:hAnsi="Arial" w:cs="Arial"/>
          <w:sz w:val="22"/>
          <w:szCs w:val="22"/>
        </w:rPr>
        <w:t xml:space="preserve">. </w:t>
      </w:r>
      <w:r w:rsidR="005C7CF7">
        <w:rPr>
          <w:rFonts w:ascii="Arial" w:hAnsi="Arial" w:cs="Arial"/>
          <w:sz w:val="22"/>
          <w:szCs w:val="22"/>
        </w:rPr>
        <w:t>Being a non-responder was associated with greater reported interference from people outside of the programme, and with lower reports of bothersome emotional states</w:t>
      </w:r>
      <w:r w:rsidR="00112307">
        <w:rPr>
          <w:rFonts w:ascii="Arial" w:hAnsi="Arial" w:cs="Arial"/>
          <w:sz w:val="22"/>
          <w:szCs w:val="22"/>
        </w:rPr>
        <w:t xml:space="preserve"> such as guilt and frustration. </w:t>
      </w:r>
    </w:p>
    <w:p w14:paraId="189FA23C" w14:textId="77777777" w:rsidR="009F5ACE" w:rsidRPr="00220E51" w:rsidRDefault="009F5ACE" w:rsidP="00BF5105">
      <w:pPr>
        <w:spacing w:line="480" w:lineRule="auto"/>
        <w:rPr>
          <w:rFonts w:ascii="Arial" w:hAnsi="Arial" w:cs="Arial"/>
          <w:sz w:val="22"/>
          <w:szCs w:val="22"/>
        </w:rPr>
      </w:pPr>
    </w:p>
    <w:p w14:paraId="3F1F99F5" w14:textId="6548DF4B" w:rsidR="002A0341" w:rsidRPr="00220E51" w:rsidRDefault="0095728A" w:rsidP="00BF5105">
      <w:pPr>
        <w:spacing w:line="480" w:lineRule="auto"/>
        <w:rPr>
          <w:rFonts w:ascii="Arial" w:hAnsi="Arial" w:cs="Arial"/>
          <w:b/>
          <w:sz w:val="22"/>
          <w:szCs w:val="22"/>
        </w:rPr>
      </w:pPr>
      <w:r>
        <w:rPr>
          <w:rFonts w:ascii="Arial" w:hAnsi="Arial" w:cs="Arial"/>
          <w:b/>
          <w:sz w:val="22"/>
          <w:szCs w:val="22"/>
        </w:rPr>
        <w:t xml:space="preserve">****  Table </w:t>
      </w:r>
      <w:r w:rsidRPr="0095728A">
        <w:rPr>
          <w:rFonts w:ascii="Arial" w:hAnsi="Arial" w:cs="Arial"/>
          <w:b/>
          <w:color w:val="FF0000"/>
          <w:sz w:val="22"/>
          <w:szCs w:val="22"/>
        </w:rPr>
        <w:t>3</w:t>
      </w:r>
      <w:r w:rsidR="00E52004" w:rsidRPr="00220E51">
        <w:rPr>
          <w:rFonts w:ascii="Arial" w:hAnsi="Arial" w:cs="Arial"/>
          <w:b/>
          <w:sz w:val="22"/>
          <w:szCs w:val="22"/>
        </w:rPr>
        <w:t xml:space="preserve"> about here please ****</w:t>
      </w:r>
      <w:r w:rsidR="002A0341" w:rsidRPr="00220E51">
        <w:rPr>
          <w:rFonts w:ascii="Arial" w:hAnsi="Arial" w:cs="Arial"/>
          <w:b/>
          <w:sz w:val="22"/>
          <w:szCs w:val="22"/>
        </w:rPr>
        <w:t xml:space="preserve"> </w:t>
      </w:r>
    </w:p>
    <w:p w14:paraId="3A6234C1" w14:textId="77777777" w:rsidR="002A0341" w:rsidRPr="00220E51" w:rsidRDefault="002A0341" w:rsidP="00BF5105">
      <w:pPr>
        <w:spacing w:line="480" w:lineRule="auto"/>
        <w:rPr>
          <w:rFonts w:ascii="Arial" w:hAnsi="Arial" w:cs="Arial"/>
          <w:sz w:val="22"/>
          <w:szCs w:val="22"/>
        </w:rPr>
      </w:pPr>
    </w:p>
    <w:p w14:paraId="3D5F5BF2" w14:textId="77777777" w:rsidR="00E82AF1" w:rsidRDefault="00E82AF1" w:rsidP="00BF5105">
      <w:pPr>
        <w:spacing w:line="480" w:lineRule="auto"/>
        <w:rPr>
          <w:rFonts w:ascii="Arial" w:hAnsi="Arial" w:cs="Arial"/>
          <w:sz w:val="22"/>
          <w:szCs w:val="22"/>
        </w:rPr>
      </w:pPr>
    </w:p>
    <w:p w14:paraId="0903112C" w14:textId="77777777" w:rsidR="00C237A4" w:rsidRPr="00220E51" w:rsidRDefault="00C237A4" w:rsidP="00BF5105">
      <w:pPr>
        <w:spacing w:line="480" w:lineRule="auto"/>
        <w:rPr>
          <w:rFonts w:ascii="Arial" w:hAnsi="Arial" w:cs="Arial"/>
          <w:b/>
          <w:sz w:val="22"/>
          <w:szCs w:val="22"/>
        </w:rPr>
      </w:pPr>
      <w:r w:rsidRPr="00220E51">
        <w:rPr>
          <w:rFonts w:ascii="Arial" w:hAnsi="Arial" w:cs="Arial"/>
          <w:b/>
          <w:sz w:val="22"/>
          <w:szCs w:val="22"/>
        </w:rPr>
        <w:t>Discussion</w:t>
      </w:r>
    </w:p>
    <w:p w14:paraId="55B68679" w14:textId="77777777" w:rsidR="00C237A4" w:rsidRPr="00220E51" w:rsidRDefault="00C237A4" w:rsidP="00BF5105">
      <w:pPr>
        <w:spacing w:line="480" w:lineRule="auto"/>
        <w:rPr>
          <w:rFonts w:ascii="Arial" w:hAnsi="Arial" w:cs="Arial"/>
          <w:b/>
          <w:sz w:val="22"/>
          <w:szCs w:val="22"/>
        </w:rPr>
      </w:pPr>
    </w:p>
    <w:p w14:paraId="5651A05B" w14:textId="335F2442" w:rsidR="00885F71" w:rsidRPr="00220E51" w:rsidRDefault="006131A2" w:rsidP="00BF5105">
      <w:pPr>
        <w:spacing w:line="480" w:lineRule="auto"/>
        <w:rPr>
          <w:rFonts w:ascii="Arial" w:hAnsi="Arial" w:cs="Arial"/>
          <w:sz w:val="22"/>
          <w:szCs w:val="22"/>
        </w:rPr>
      </w:pPr>
      <w:r w:rsidRPr="00220E51">
        <w:rPr>
          <w:rFonts w:ascii="Arial" w:hAnsi="Arial" w:cs="Arial"/>
          <w:sz w:val="22"/>
          <w:szCs w:val="22"/>
        </w:rPr>
        <w:t xml:space="preserve">We retrospectively surveyed a group of patients who did not respond to pain rehabilitation treatment, asking them about a range of factors that may have contributed to this. We compared their responses to a group of patients who showed clear treatment benefits, in order to check that the non-responders’ results were </w:t>
      </w:r>
      <w:r w:rsidR="00523BC7">
        <w:rPr>
          <w:rFonts w:ascii="Arial" w:hAnsi="Arial" w:cs="Arial"/>
          <w:sz w:val="22"/>
          <w:szCs w:val="22"/>
        </w:rPr>
        <w:t>specifically</w:t>
      </w:r>
      <w:r w:rsidR="00523BC7" w:rsidRPr="00220E51">
        <w:rPr>
          <w:rFonts w:ascii="Arial" w:hAnsi="Arial" w:cs="Arial"/>
          <w:sz w:val="22"/>
          <w:szCs w:val="22"/>
        </w:rPr>
        <w:t xml:space="preserve"> </w:t>
      </w:r>
      <w:r w:rsidRPr="00220E51">
        <w:rPr>
          <w:rFonts w:ascii="Arial" w:hAnsi="Arial" w:cs="Arial"/>
          <w:sz w:val="22"/>
          <w:szCs w:val="22"/>
        </w:rPr>
        <w:t xml:space="preserve">related to outcome, rather than generic factors affecting all of those in treatment. Non-responders reported that their treatment was negatively affected by people outside of treatment, and </w:t>
      </w:r>
      <w:r w:rsidR="00CA3C36">
        <w:rPr>
          <w:rFonts w:ascii="Arial" w:hAnsi="Arial" w:cs="Arial"/>
          <w:sz w:val="22"/>
          <w:szCs w:val="22"/>
        </w:rPr>
        <w:t xml:space="preserve">paradoxically that they were experiencing fewer distressing </w:t>
      </w:r>
      <w:r w:rsidRPr="00220E51">
        <w:rPr>
          <w:rFonts w:ascii="Arial" w:hAnsi="Arial" w:cs="Arial"/>
          <w:sz w:val="22"/>
          <w:szCs w:val="22"/>
        </w:rPr>
        <w:t>emotional state</w:t>
      </w:r>
      <w:r w:rsidR="00CA3C36">
        <w:rPr>
          <w:rFonts w:ascii="Arial" w:hAnsi="Arial" w:cs="Arial"/>
          <w:sz w:val="22"/>
          <w:szCs w:val="22"/>
        </w:rPr>
        <w:t>s</w:t>
      </w:r>
      <w:r w:rsidRPr="00220E51">
        <w:rPr>
          <w:rFonts w:ascii="Arial" w:hAnsi="Arial" w:cs="Arial"/>
          <w:sz w:val="22"/>
          <w:szCs w:val="22"/>
        </w:rPr>
        <w:t xml:space="preserve"> at the time of the progr</w:t>
      </w:r>
      <w:r w:rsidR="00204116" w:rsidRPr="00220E51">
        <w:rPr>
          <w:rFonts w:ascii="Arial" w:hAnsi="Arial" w:cs="Arial"/>
          <w:sz w:val="22"/>
          <w:szCs w:val="22"/>
        </w:rPr>
        <w:t xml:space="preserve">amme; each of these factors was endorsed more strongly than by the ‘responder’ control group. </w:t>
      </w:r>
    </w:p>
    <w:p w14:paraId="14819914" w14:textId="77777777" w:rsidR="00204116" w:rsidRPr="00220E51" w:rsidRDefault="00204116" w:rsidP="00BF5105">
      <w:pPr>
        <w:spacing w:line="480" w:lineRule="auto"/>
        <w:rPr>
          <w:rFonts w:ascii="Arial" w:hAnsi="Arial" w:cs="Arial"/>
          <w:sz w:val="22"/>
          <w:szCs w:val="22"/>
        </w:rPr>
      </w:pPr>
    </w:p>
    <w:p w14:paraId="4ADA5BD2" w14:textId="64CB58B6" w:rsidR="007D1182" w:rsidRPr="00220E51" w:rsidRDefault="00204116" w:rsidP="00BF5105">
      <w:pPr>
        <w:spacing w:line="480" w:lineRule="auto"/>
        <w:rPr>
          <w:rFonts w:ascii="Arial" w:hAnsi="Arial" w:cs="Arial"/>
          <w:sz w:val="22"/>
          <w:szCs w:val="22"/>
        </w:rPr>
      </w:pPr>
      <w:r w:rsidRPr="00220E51">
        <w:rPr>
          <w:rFonts w:ascii="Arial" w:hAnsi="Arial" w:cs="Arial"/>
          <w:sz w:val="22"/>
          <w:szCs w:val="22"/>
        </w:rPr>
        <w:t xml:space="preserve">In order to investigate treatment process, researchers have historically investigated process variables in mediation designs or carried out qualitative studies on unselected groups (i.e. mixtures of responders and non-responders). Treatment-relevant factors are often also investigated locally in audit or patient satisfaction designs. All of these designs are useful, but are limited either by scope or rigour. RCT-based designs address individual psychological process variables without investigating systemic, practical or external psychosocial barriers to treatment response. Qualitative or audit designs are not limited in the same way, but </w:t>
      </w:r>
      <w:r w:rsidR="009E18D8">
        <w:rPr>
          <w:rFonts w:ascii="Arial" w:hAnsi="Arial" w:cs="Arial"/>
          <w:sz w:val="22"/>
          <w:szCs w:val="22"/>
        </w:rPr>
        <w:t xml:space="preserve">can </w:t>
      </w:r>
      <w:r w:rsidRPr="00220E51">
        <w:rPr>
          <w:rFonts w:ascii="Arial" w:hAnsi="Arial" w:cs="Arial"/>
          <w:sz w:val="22"/>
          <w:szCs w:val="22"/>
        </w:rPr>
        <w:t xml:space="preserve">lack rigour, and are vulnerable to the inaccuracies of human self-report or recall bias. The design of this study permitted examination of a range of </w:t>
      </w:r>
      <w:r w:rsidR="00523BC7">
        <w:rPr>
          <w:rFonts w:ascii="Arial" w:hAnsi="Arial" w:cs="Arial"/>
          <w:sz w:val="22"/>
          <w:szCs w:val="22"/>
        </w:rPr>
        <w:t xml:space="preserve">clinically relevant </w:t>
      </w:r>
      <w:r w:rsidRPr="00220E51">
        <w:rPr>
          <w:rFonts w:ascii="Arial" w:hAnsi="Arial" w:cs="Arial"/>
          <w:sz w:val="22"/>
          <w:szCs w:val="22"/>
        </w:rPr>
        <w:t>factors potentially related to non-response, and introduced the rigour of a co</w:t>
      </w:r>
      <w:r w:rsidR="00005601">
        <w:rPr>
          <w:rFonts w:ascii="Arial" w:hAnsi="Arial" w:cs="Arial"/>
          <w:sz w:val="22"/>
          <w:szCs w:val="22"/>
        </w:rPr>
        <w:t>mparison</w:t>
      </w:r>
      <w:r w:rsidRPr="00220E51">
        <w:rPr>
          <w:rFonts w:ascii="Arial" w:hAnsi="Arial" w:cs="Arial"/>
          <w:sz w:val="22"/>
          <w:szCs w:val="22"/>
        </w:rPr>
        <w:t xml:space="preserve"> group. </w:t>
      </w:r>
      <w:r w:rsidR="00F740FA" w:rsidRPr="00220E51">
        <w:rPr>
          <w:rFonts w:ascii="Arial" w:hAnsi="Arial" w:cs="Arial"/>
          <w:sz w:val="22"/>
          <w:szCs w:val="22"/>
        </w:rPr>
        <w:t xml:space="preserve">Some factors that non-responders cited as not clearly ‘helpful’ in treatment were endorsed equally by responders, indicating the value of the controlled comparison. </w:t>
      </w:r>
      <w:r w:rsidR="00B32E4C">
        <w:rPr>
          <w:rFonts w:ascii="Arial" w:hAnsi="Arial" w:cs="Arial"/>
          <w:sz w:val="22"/>
          <w:szCs w:val="22"/>
        </w:rPr>
        <w:t xml:space="preserve">Also this design produced a clear and counterintuitive result; the finding that non-responders reported </w:t>
      </w:r>
      <w:r w:rsidR="00523BC7">
        <w:rPr>
          <w:rFonts w:ascii="Arial" w:hAnsi="Arial" w:cs="Arial"/>
          <w:sz w:val="22"/>
          <w:szCs w:val="22"/>
        </w:rPr>
        <w:t xml:space="preserve">less </w:t>
      </w:r>
      <w:r w:rsidR="00B32E4C">
        <w:rPr>
          <w:rFonts w:ascii="Arial" w:hAnsi="Arial" w:cs="Arial"/>
          <w:sz w:val="22"/>
          <w:szCs w:val="22"/>
        </w:rPr>
        <w:t xml:space="preserve">distress during treatment could not have been derived </w:t>
      </w:r>
      <w:r w:rsidR="00B32E4C">
        <w:rPr>
          <w:rFonts w:ascii="Arial" w:hAnsi="Arial" w:cs="Arial"/>
          <w:sz w:val="22"/>
          <w:szCs w:val="22"/>
        </w:rPr>
        <w:lastRenderedPageBreak/>
        <w:t>reliably from any other ‘helpful factors’ design. The</w:t>
      </w:r>
      <w:r w:rsidR="00B32E4C" w:rsidRPr="00220E51">
        <w:rPr>
          <w:rFonts w:ascii="Arial" w:hAnsi="Arial" w:cs="Arial"/>
          <w:sz w:val="22"/>
          <w:szCs w:val="22"/>
        </w:rPr>
        <w:t xml:space="preserve"> </w:t>
      </w:r>
      <w:r w:rsidRPr="00220E51">
        <w:rPr>
          <w:rFonts w:ascii="Arial" w:hAnsi="Arial" w:cs="Arial"/>
          <w:sz w:val="22"/>
          <w:szCs w:val="22"/>
        </w:rPr>
        <w:t xml:space="preserve">methodological </w:t>
      </w:r>
      <w:r w:rsidR="00B32E4C">
        <w:rPr>
          <w:rFonts w:ascii="Arial" w:hAnsi="Arial" w:cs="Arial"/>
          <w:sz w:val="22"/>
          <w:szCs w:val="22"/>
        </w:rPr>
        <w:t xml:space="preserve">design of this study </w:t>
      </w:r>
      <w:r w:rsidRPr="00220E51">
        <w:rPr>
          <w:rFonts w:ascii="Arial" w:hAnsi="Arial" w:cs="Arial"/>
          <w:sz w:val="22"/>
          <w:szCs w:val="22"/>
        </w:rPr>
        <w:t>respon</w:t>
      </w:r>
      <w:r w:rsidR="007D1182" w:rsidRPr="00220E51">
        <w:rPr>
          <w:rFonts w:ascii="Arial" w:hAnsi="Arial" w:cs="Arial"/>
          <w:sz w:val="22"/>
          <w:szCs w:val="22"/>
        </w:rPr>
        <w:t>d</w:t>
      </w:r>
      <w:r w:rsidR="00B32E4C">
        <w:rPr>
          <w:rFonts w:ascii="Arial" w:hAnsi="Arial" w:cs="Arial"/>
          <w:sz w:val="22"/>
          <w:szCs w:val="22"/>
        </w:rPr>
        <w:t>s</w:t>
      </w:r>
      <w:r w:rsidR="007D1182" w:rsidRPr="00220E51">
        <w:rPr>
          <w:rFonts w:ascii="Arial" w:hAnsi="Arial" w:cs="Arial"/>
          <w:sz w:val="22"/>
          <w:szCs w:val="22"/>
        </w:rPr>
        <w:t xml:space="preserve"> to recent calls for research using responder analysis in the pain literature (Morley</w:t>
      </w:r>
      <w:r w:rsidR="00B20C79">
        <w:rPr>
          <w:rFonts w:ascii="Arial" w:hAnsi="Arial" w:cs="Arial"/>
          <w:sz w:val="22"/>
          <w:szCs w:val="22"/>
        </w:rPr>
        <w:t xml:space="preserve"> et al., 2013</w:t>
      </w:r>
      <w:r w:rsidR="007D1182" w:rsidRPr="00220E51">
        <w:rPr>
          <w:rFonts w:ascii="Arial" w:hAnsi="Arial" w:cs="Arial"/>
          <w:sz w:val="22"/>
          <w:szCs w:val="22"/>
        </w:rPr>
        <w:t xml:space="preserve">) and for practitioner-oriented research in the </w:t>
      </w:r>
      <w:r w:rsidR="00676286">
        <w:rPr>
          <w:rFonts w:ascii="Arial" w:hAnsi="Arial" w:cs="Arial"/>
          <w:sz w:val="22"/>
          <w:szCs w:val="22"/>
        </w:rPr>
        <w:t>cognitive behavioural therapy</w:t>
      </w:r>
      <w:r w:rsidR="00676286" w:rsidRPr="00220E51">
        <w:rPr>
          <w:rFonts w:ascii="Arial" w:hAnsi="Arial" w:cs="Arial"/>
          <w:sz w:val="22"/>
          <w:szCs w:val="22"/>
        </w:rPr>
        <w:t xml:space="preserve"> </w:t>
      </w:r>
      <w:r w:rsidR="007D1182" w:rsidRPr="00220E51">
        <w:rPr>
          <w:rFonts w:ascii="Arial" w:hAnsi="Arial" w:cs="Arial"/>
          <w:sz w:val="22"/>
          <w:szCs w:val="22"/>
        </w:rPr>
        <w:t xml:space="preserve">literature </w:t>
      </w:r>
      <w:r w:rsidR="00B20C79">
        <w:rPr>
          <w:rFonts w:ascii="Arial" w:hAnsi="Arial" w:cs="Arial"/>
          <w:sz w:val="22"/>
          <w:szCs w:val="22"/>
        </w:rPr>
        <w:t>(McMain, Newman, Segal &amp; DeRubeis, 2015)</w:t>
      </w:r>
    </w:p>
    <w:p w14:paraId="36017309" w14:textId="77777777" w:rsidR="00F740FA" w:rsidRPr="00220E51" w:rsidRDefault="00F740FA" w:rsidP="00BF5105">
      <w:pPr>
        <w:spacing w:line="480" w:lineRule="auto"/>
        <w:rPr>
          <w:rFonts w:ascii="Arial" w:hAnsi="Arial" w:cs="Arial"/>
          <w:sz w:val="22"/>
          <w:szCs w:val="22"/>
        </w:rPr>
      </w:pPr>
    </w:p>
    <w:p w14:paraId="258AEFAB" w14:textId="57B3070F" w:rsidR="00815315" w:rsidRDefault="00F740FA" w:rsidP="00BF5105">
      <w:pPr>
        <w:spacing w:line="480" w:lineRule="auto"/>
        <w:rPr>
          <w:rFonts w:ascii="Arial" w:hAnsi="Arial" w:cs="Arial"/>
          <w:sz w:val="22"/>
          <w:szCs w:val="22"/>
        </w:rPr>
      </w:pPr>
      <w:r w:rsidRPr="00220E51">
        <w:rPr>
          <w:rFonts w:ascii="Arial" w:hAnsi="Arial" w:cs="Arial"/>
          <w:sz w:val="22"/>
          <w:szCs w:val="22"/>
        </w:rPr>
        <w:t xml:space="preserve">Non-responders described their treatment as disrupted by ‘people outside of the programme’ and </w:t>
      </w:r>
      <w:r w:rsidR="00687AE6">
        <w:rPr>
          <w:rFonts w:ascii="Arial" w:hAnsi="Arial" w:cs="Arial"/>
          <w:sz w:val="22"/>
          <w:szCs w:val="22"/>
        </w:rPr>
        <w:t>reported fewer distressing</w:t>
      </w:r>
      <w:r w:rsidRPr="00220E51">
        <w:rPr>
          <w:rFonts w:ascii="Arial" w:hAnsi="Arial" w:cs="Arial"/>
          <w:sz w:val="22"/>
          <w:szCs w:val="22"/>
        </w:rPr>
        <w:t xml:space="preserve"> ‘emotional state</w:t>
      </w:r>
      <w:r w:rsidR="00687AE6">
        <w:rPr>
          <w:rFonts w:ascii="Arial" w:hAnsi="Arial" w:cs="Arial"/>
          <w:sz w:val="22"/>
          <w:szCs w:val="22"/>
        </w:rPr>
        <w:t>s</w:t>
      </w:r>
      <w:r w:rsidRPr="00220E51">
        <w:rPr>
          <w:rFonts w:ascii="Arial" w:hAnsi="Arial" w:cs="Arial"/>
          <w:sz w:val="22"/>
          <w:szCs w:val="22"/>
        </w:rPr>
        <w:t xml:space="preserve">’ at the time of the programme. </w:t>
      </w:r>
      <w:r w:rsidR="006D4F32" w:rsidRPr="00220E51">
        <w:rPr>
          <w:rFonts w:ascii="Arial" w:hAnsi="Arial" w:cs="Arial"/>
          <w:sz w:val="22"/>
          <w:szCs w:val="22"/>
        </w:rPr>
        <w:t xml:space="preserve">Although single items around the length and demands of the programme day seemed to separate responders and non-responders, the subscale including these items did not emerge as an independent predictor of group membership in the logistic regression analysis. </w:t>
      </w:r>
      <w:r w:rsidRPr="00220E51">
        <w:rPr>
          <w:rFonts w:ascii="Arial" w:hAnsi="Arial" w:cs="Arial"/>
          <w:sz w:val="22"/>
          <w:szCs w:val="22"/>
        </w:rPr>
        <w:t>Non-responders more clearly reported that others outside of the programme were physically or emotionally abusive, or that they were worried about such abuse. They reported more difficult communications with others. It might seem obvious that ongoing interpersonal adversity would affect treatment, but this is seldom discussed in the more theoretically-oriente</w:t>
      </w:r>
      <w:r w:rsidR="006C1989" w:rsidRPr="00220E51">
        <w:rPr>
          <w:rFonts w:ascii="Arial" w:hAnsi="Arial" w:cs="Arial"/>
          <w:sz w:val="22"/>
          <w:szCs w:val="22"/>
        </w:rPr>
        <w:t xml:space="preserve">d treatment process literature. </w:t>
      </w:r>
      <w:r w:rsidR="00523BC7">
        <w:rPr>
          <w:rFonts w:ascii="Arial" w:hAnsi="Arial" w:cs="Arial"/>
          <w:sz w:val="22"/>
          <w:szCs w:val="22"/>
        </w:rPr>
        <w:t xml:space="preserve">This finding echoes the contemporary emphasis on social contextual </w:t>
      </w:r>
      <w:r w:rsidR="00676286">
        <w:rPr>
          <w:rFonts w:ascii="Arial" w:hAnsi="Arial" w:cs="Arial"/>
          <w:sz w:val="22"/>
          <w:szCs w:val="22"/>
        </w:rPr>
        <w:t>and</w:t>
      </w:r>
      <w:r w:rsidR="00523BC7">
        <w:rPr>
          <w:rFonts w:ascii="Arial" w:hAnsi="Arial" w:cs="Arial"/>
          <w:sz w:val="22"/>
          <w:szCs w:val="22"/>
        </w:rPr>
        <w:t xml:space="preserve"> communication factors in chronic pain (Cano et al., 2013). </w:t>
      </w:r>
    </w:p>
    <w:p w14:paraId="0A1D9CE4" w14:textId="77777777" w:rsidR="00815315" w:rsidRDefault="00815315" w:rsidP="00BF5105">
      <w:pPr>
        <w:spacing w:line="480" w:lineRule="auto"/>
        <w:rPr>
          <w:rFonts w:ascii="Arial" w:hAnsi="Arial" w:cs="Arial"/>
          <w:sz w:val="22"/>
          <w:szCs w:val="22"/>
        </w:rPr>
      </w:pPr>
    </w:p>
    <w:p w14:paraId="70A701C0" w14:textId="2ECA3F7D" w:rsidR="00687AE6" w:rsidRDefault="006C1989" w:rsidP="00BF5105">
      <w:pPr>
        <w:spacing w:line="480" w:lineRule="auto"/>
        <w:rPr>
          <w:rFonts w:ascii="Arial" w:hAnsi="Arial" w:cs="Arial"/>
          <w:sz w:val="22"/>
          <w:szCs w:val="22"/>
        </w:rPr>
      </w:pPr>
      <w:r w:rsidRPr="00220E51">
        <w:rPr>
          <w:rFonts w:ascii="Arial" w:hAnsi="Arial" w:cs="Arial"/>
          <w:sz w:val="22"/>
          <w:szCs w:val="22"/>
        </w:rPr>
        <w:t>Non-responders also</w:t>
      </w:r>
      <w:r w:rsidR="00687AE6">
        <w:rPr>
          <w:rFonts w:ascii="Arial" w:hAnsi="Arial" w:cs="Arial"/>
          <w:sz w:val="22"/>
          <w:szCs w:val="22"/>
        </w:rPr>
        <w:t>, in contrast to the finding above,</w:t>
      </w:r>
      <w:r w:rsidRPr="00220E51">
        <w:rPr>
          <w:rFonts w:ascii="Arial" w:hAnsi="Arial" w:cs="Arial"/>
          <w:sz w:val="22"/>
          <w:szCs w:val="22"/>
        </w:rPr>
        <w:t xml:space="preserve"> reported </w:t>
      </w:r>
      <w:r w:rsidR="00B20C79" w:rsidRPr="003C56CF">
        <w:rPr>
          <w:rFonts w:ascii="Arial" w:hAnsi="Arial" w:cs="Arial"/>
          <w:sz w:val="22"/>
          <w:szCs w:val="22"/>
        </w:rPr>
        <w:t>lower</w:t>
      </w:r>
      <w:r w:rsidRPr="00220E51">
        <w:rPr>
          <w:rFonts w:ascii="Arial" w:hAnsi="Arial" w:cs="Arial"/>
          <w:sz w:val="22"/>
          <w:szCs w:val="22"/>
        </w:rPr>
        <w:t xml:space="preserve"> levels of emotions such as guilt, frustration and sadness at the time of treatment. </w:t>
      </w:r>
      <w:r w:rsidR="00687AE6">
        <w:rPr>
          <w:rFonts w:ascii="Arial" w:hAnsi="Arial" w:cs="Arial"/>
          <w:sz w:val="22"/>
          <w:szCs w:val="22"/>
        </w:rPr>
        <w:t xml:space="preserve">This result </w:t>
      </w:r>
      <w:r w:rsidR="00815315">
        <w:rPr>
          <w:rFonts w:ascii="Arial" w:hAnsi="Arial" w:cs="Arial"/>
          <w:sz w:val="22"/>
          <w:szCs w:val="22"/>
        </w:rPr>
        <w:t xml:space="preserve">is counterintuitive and </w:t>
      </w:r>
      <w:r w:rsidR="00687AE6">
        <w:rPr>
          <w:rFonts w:ascii="Arial" w:hAnsi="Arial" w:cs="Arial"/>
          <w:sz w:val="22"/>
          <w:szCs w:val="22"/>
        </w:rPr>
        <w:t xml:space="preserve">requires careful </w:t>
      </w:r>
      <w:r w:rsidR="00815315">
        <w:rPr>
          <w:rFonts w:ascii="Arial" w:hAnsi="Arial" w:cs="Arial"/>
          <w:sz w:val="22"/>
          <w:szCs w:val="22"/>
        </w:rPr>
        <w:t>interpretation. At baseline, non-responders reported lower levels of pain-related fear; it could be argued that this accounts for this unusual result. However, the broader picture argues against this</w:t>
      </w:r>
      <w:r w:rsidR="00676286">
        <w:rPr>
          <w:rFonts w:ascii="Arial" w:hAnsi="Arial" w:cs="Arial"/>
          <w:sz w:val="22"/>
          <w:szCs w:val="22"/>
        </w:rPr>
        <w:t xml:space="preserve"> notion</w:t>
      </w:r>
      <w:r w:rsidR="00815315">
        <w:rPr>
          <w:rFonts w:ascii="Arial" w:hAnsi="Arial" w:cs="Arial"/>
          <w:sz w:val="22"/>
          <w:szCs w:val="22"/>
        </w:rPr>
        <w:t xml:space="preserve">. At baseline, non-responders did not show lower levels of depression, or pain-related distress. Thus, it cannot be argued that non-responders were less generically ‘distressed’ at baseline. Also, the Emotional State subscale sampled a range of different emotions (including sadness, guilt, anger) and no item sampled pain-related </w:t>
      </w:r>
      <w:r w:rsidR="00815315">
        <w:rPr>
          <w:rFonts w:ascii="Arial" w:hAnsi="Arial" w:cs="Arial"/>
          <w:sz w:val="22"/>
          <w:szCs w:val="22"/>
        </w:rPr>
        <w:lastRenderedPageBreak/>
        <w:t>fear</w:t>
      </w:r>
      <w:r w:rsidR="00FC637F">
        <w:rPr>
          <w:rFonts w:ascii="Arial" w:hAnsi="Arial" w:cs="Arial"/>
          <w:sz w:val="22"/>
          <w:szCs w:val="22"/>
        </w:rPr>
        <w:t xml:space="preserve">; thus the </w:t>
      </w:r>
      <w:r w:rsidR="006432E1">
        <w:rPr>
          <w:rFonts w:ascii="Arial" w:hAnsi="Arial" w:cs="Arial"/>
          <w:sz w:val="22"/>
          <w:szCs w:val="22"/>
        </w:rPr>
        <w:t xml:space="preserve">findings for </w:t>
      </w:r>
      <w:r w:rsidR="00FC637F">
        <w:rPr>
          <w:rFonts w:ascii="Arial" w:hAnsi="Arial" w:cs="Arial"/>
          <w:sz w:val="22"/>
          <w:szCs w:val="22"/>
        </w:rPr>
        <w:t xml:space="preserve">Emotional State subscale </w:t>
      </w:r>
      <w:r w:rsidR="006432E1">
        <w:rPr>
          <w:rFonts w:ascii="Arial" w:hAnsi="Arial" w:cs="Arial"/>
          <w:sz w:val="22"/>
          <w:szCs w:val="22"/>
        </w:rPr>
        <w:t xml:space="preserve">were </w:t>
      </w:r>
      <w:r w:rsidR="00FC637F">
        <w:rPr>
          <w:rFonts w:ascii="Arial" w:hAnsi="Arial" w:cs="Arial"/>
          <w:sz w:val="22"/>
          <w:szCs w:val="22"/>
        </w:rPr>
        <w:t>independent of the ‘pain-related fear’ variable that was lower at baseline. I</w:t>
      </w:r>
      <w:r w:rsidR="00815315">
        <w:rPr>
          <w:rFonts w:ascii="Arial" w:hAnsi="Arial" w:cs="Arial"/>
          <w:sz w:val="22"/>
          <w:szCs w:val="22"/>
        </w:rPr>
        <w:t xml:space="preserve">t seems that the non-responders were genuinely less distressed by the treatment experience, and this is in fact a finding that </w:t>
      </w:r>
      <w:r w:rsidR="00687AE6">
        <w:rPr>
          <w:rFonts w:ascii="Arial" w:hAnsi="Arial" w:cs="Arial"/>
          <w:sz w:val="22"/>
          <w:szCs w:val="22"/>
        </w:rPr>
        <w:t xml:space="preserve">echoes other </w:t>
      </w:r>
      <w:r w:rsidR="00815315">
        <w:rPr>
          <w:rFonts w:ascii="Arial" w:hAnsi="Arial" w:cs="Arial"/>
          <w:sz w:val="22"/>
          <w:szCs w:val="22"/>
        </w:rPr>
        <w:t xml:space="preserve">research in </w:t>
      </w:r>
      <w:r w:rsidR="00EE53D2">
        <w:rPr>
          <w:rFonts w:ascii="Arial" w:hAnsi="Arial" w:cs="Arial"/>
          <w:sz w:val="22"/>
          <w:szCs w:val="22"/>
        </w:rPr>
        <w:t>ACT-based pain rehabilitation</w:t>
      </w:r>
      <w:r w:rsidR="00815315">
        <w:rPr>
          <w:rFonts w:ascii="Arial" w:hAnsi="Arial" w:cs="Arial"/>
          <w:sz w:val="22"/>
          <w:szCs w:val="22"/>
        </w:rPr>
        <w:t>. It has been shown</w:t>
      </w:r>
      <w:r w:rsidR="005B193A">
        <w:rPr>
          <w:rFonts w:ascii="Arial" w:hAnsi="Arial" w:cs="Arial"/>
          <w:sz w:val="22"/>
          <w:szCs w:val="22"/>
        </w:rPr>
        <w:t xml:space="preserve"> </w:t>
      </w:r>
      <w:r w:rsidR="00687AE6">
        <w:rPr>
          <w:rFonts w:ascii="Arial" w:hAnsi="Arial" w:cs="Arial"/>
          <w:sz w:val="22"/>
          <w:szCs w:val="22"/>
        </w:rPr>
        <w:t>that positive treatment outcomes are related to patients</w:t>
      </w:r>
      <w:r w:rsidR="00FC637F">
        <w:rPr>
          <w:rFonts w:ascii="Arial" w:hAnsi="Arial" w:cs="Arial"/>
          <w:sz w:val="22"/>
          <w:szCs w:val="22"/>
        </w:rPr>
        <w:t>’</w:t>
      </w:r>
      <w:r w:rsidR="00687AE6">
        <w:rPr>
          <w:rFonts w:ascii="Arial" w:hAnsi="Arial" w:cs="Arial"/>
          <w:sz w:val="22"/>
          <w:szCs w:val="22"/>
        </w:rPr>
        <w:t xml:space="preserve"> ability to openly accept, and avoid suppression of, emotions in general (</w:t>
      </w:r>
      <w:r w:rsidR="009401B5">
        <w:rPr>
          <w:rFonts w:ascii="Arial" w:hAnsi="Arial" w:cs="Arial"/>
          <w:sz w:val="22"/>
          <w:szCs w:val="22"/>
        </w:rPr>
        <w:t xml:space="preserve">e.g. </w:t>
      </w:r>
      <w:r w:rsidR="00687AE6">
        <w:rPr>
          <w:rFonts w:ascii="Arial" w:hAnsi="Arial" w:cs="Arial"/>
          <w:sz w:val="22"/>
          <w:szCs w:val="22"/>
        </w:rPr>
        <w:t>McCracken and Gutierrez</w:t>
      </w:r>
      <w:r w:rsidR="00347003">
        <w:rPr>
          <w:rFonts w:ascii="Arial" w:hAnsi="Arial" w:cs="Arial"/>
          <w:sz w:val="22"/>
          <w:szCs w:val="22"/>
        </w:rPr>
        <w:t>-Martinez</w:t>
      </w:r>
      <w:r w:rsidR="00687AE6">
        <w:rPr>
          <w:rFonts w:ascii="Arial" w:hAnsi="Arial" w:cs="Arial"/>
          <w:sz w:val="22"/>
          <w:szCs w:val="22"/>
        </w:rPr>
        <w:t xml:space="preserve">, 2011). Thus, </w:t>
      </w:r>
      <w:r w:rsidR="00347003">
        <w:rPr>
          <w:rFonts w:ascii="Arial" w:hAnsi="Arial" w:cs="Arial"/>
          <w:sz w:val="22"/>
          <w:szCs w:val="22"/>
        </w:rPr>
        <w:t>the current</w:t>
      </w:r>
      <w:r w:rsidR="00687AE6">
        <w:rPr>
          <w:rFonts w:ascii="Arial" w:hAnsi="Arial" w:cs="Arial"/>
          <w:sz w:val="22"/>
          <w:szCs w:val="22"/>
        </w:rPr>
        <w:t xml:space="preserve"> study lends weight to previous findings indicating that enhanced emotional openness </w:t>
      </w:r>
      <w:r w:rsidR="00815315">
        <w:rPr>
          <w:rFonts w:ascii="Arial" w:hAnsi="Arial" w:cs="Arial"/>
          <w:sz w:val="22"/>
          <w:szCs w:val="22"/>
        </w:rPr>
        <w:t xml:space="preserve">during ACT treatment (and thus increased experience of distress) </w:t>
      </w:r>
      <w:r w:rsidR="00FC637F">
        <w:rPr>
          <w:rFonts w:ascii="Arial" w:hAnsi="Arial" w:cs="Arial"/>
          <w:sz w:val="22"/>
          <w:szCs w:val="22"/>
        </w:rPr>
        <w:t>can be</w:t>
      </w:r>
      <w:r w:rsidR="00687AE6">
        <w:rPr>
          <w:rFonts w:ascii="Arial" w:hAnsi="Arial" w:cs="Arial"/>
          <w:sz w:val="22"/>
          <w:szCs w:val="22"/>
        </w:rPr>
        <w:t xml:space="preserve"> associated with positive treatment response. </w:t>
      </w:r>
    </w:p>
    <w:p w14:paraId="51FB08A7" w14:textId="77777777" w:rsidR="00E267BF" w:rsidRPr="00220E51" w:rsidRDefault="00E267BF" w:rsidP="00BF5105">
      <w:pPr>
        <w:spacing w:line="480" w:lineRule="auto"/>
        <w:rPr>
          <w:rFonts w:ascii="Arial" w:hAnsi="Arial" w:cs="Arial"/>
          <w:sz w:val="22"/>
          <w:szCs w:val="22"/>
        </w:rPr>
      </w:pPr>
    </w:p>
    <w:p w14:paraId="2687C9B5" w14:textId="15CAE4DF" w:rsidR="00E267BF" w:rsidRPr="00220E51" w:rsidRDefault="00E267BF" w:rsidP="00BF5105">
      <w:pPr>
        <w:spacing w:line="480" w:lineRule="auto"/>
        <w:rPr>
          <w:rFonts w:ascii="Arial" w:hAnsi="Arial" w:cs="Arial"/>
          <w:sz w:val="22"/>
          <w:szCs w:val="22"/>
        </w:rPr>
      </w:pPr>
      <w:r w:rsidRPr="00220E51">
        <w:rPr>
          <w:rFonts w:ascii="Arial" w:hAnsi="Arial" w:cs="Arial"/>
          <w:sz w:val="22"/>
          <w:szCs w:val="22"/>
        </w:rPr>
        <w:t xml:space="preserve">These findings have clear clinical implications – </w:t>
      </w:r>
      <w:r w:rsidR="006432E1">
        <w:rPr>
          <w:rFonts w:ascii="Arial" w:hAnsi="Arial" w:cs="Arial"/>
          <w:sz w:val="22"/>
          <w:szCs w:val="22"/>
        </w:rPr>
        <w:t xml:space="preserve">for example, </w:t>
      </w:r>
      <w:r w:rsidRPr="00220E51">
        <w:rPr>
          <w:rFonts w:ascii="Arial" w:hAnsi="Arial" w:cs="Arial"/>
          <w:sz w:val="22"/>
          <w:szCs w:val="22"/>
        </w:rPr>
        <w:t>psychosocial adversity might either be episodic or open to intervention</w:t>
      </w:r>
      <w:r w:rsidR="00CA3C36">
        <w:rPr>
          <w:rFonts w:ascii="Arial" w:hAnsi="Arial" w:cs="Arial"/>
          <w:sz w:val="22"/>
          <w:szCs w:val="22"/>
        </w:rPr>
        <w:t xml:space="preserve">, and assessing clinicians can benefit from knowing that high reported distress </w:t>
      </w:r>
      <w:r w:rsidR="00EE53D2">
        <w:rPr>
          <w:rFonts w:ascii="Arial" w:hAnsi="Arial" w:cs="Arial"/>
          <w:sz w:val="22"/>
          <w:szCs w:val="22"/>
        </w:rPr>
        <w:t>is not necessarily a</w:t>
      </w:r>
      <w:r w:rsidR="00CA3C36">
        <w:rPr>
          <w:rFonts w:ascii="Arial" w:hAnsi="Arial" w:cs="Arial"/>
          <w:sz w:val="22"/>
          <w:szCs w:val="22"/>
        </w:rPr>
        <w:t xml:space="preserve"> barrier to successful treatment</w:t>
      </w:r>
      <w:r w:rsidRPr="00220E51">
        <w:rPr>
          <w:rFonts w:ascii="Arial" w:hAnsi="Arial" w:cs="Arial"/>
          <w:sz w:val="22"/>
          <w:szCs w:val="22"/>
        </w:rPr>
        <w:t xml:space="preserve">. Thus, there may be an argument </w:t>
      </w:r>
      <w:r w:rsidR="00D85CB5" w:rsidRPr="00220E51">
        <w:rPr>
          <w:rFonts w:ascii="Arial" w:hAnsi="Arial" w:cs="Arial"/>
          <w:sz w:val="22"/>
          <w:szCs w:val="22"/>
        </w:rPr>
        <w:t xml:space="preserve">for focusing treatment efforts on the </w:t>
      </w:r>
      <w:r w:rsidR="00EE53D2">
        <w:rPr>
          <w:rFonts w:ascii="Arial" w:hAnsi="Arial" w:cs="Arial"/>
          <w:sz w:val="22"/>
          <w:szCs w:val="22"/>
        </w:rPr>
        <w:t xml:space="preserve">social and </w:t>
      </w:r>
      <w:r w:rsidR="00D85CB5" w:rsidRPr="00220E51">
        <w:rPr>
          <w:rFonts w:ascii="Arial" w:hAnsi="Arial" w:cs="Arial"/>
          <w:sz w:val="22"/>
          <w:szCs w:val="22"/>
        </w:rPr>
        <w:t>family environment, as is now commonplace in interventions for psychotic conditions (</w:t>
      </w:r>
      <w:r w:rsidR="00CC28EB" w:rsidRPr="00CC28EB">
        <w:rPr>
          <w:rFonts w:ascii="Arial" w:hAnsi="Arial" w:cs="Arial"/>
          <w:sz w:val="22"/>
          <w:szCs w:val="22"/>
        </w:rPr>
        <w:t>Okpokoro, Adams &amp; Sampson, 2014</w:t>
      </w:r>
      <w:r w:rsidR="00D85CB5" w:rsidRPr="00220E51">
        <w:rPr>
          <w:rFonts w:ascii="Arial" w:hAnsi="Arial" w:cs="Arial"/>
          <w:sz w:val="22"/>
          <w:szCs w:val="22"/>
        </w:rPr>
        <w:t>).</w:t>
      </w:r>
      <w:r w:rsidR="00363021">
        <w:rPr>
          <w:rFonts w:ascii="Arial" w:hAnsi="Arial" w:cs="Arial"/>
          <w:sz w:val="22"/>
          <w:szCs w:val="22"/>
        </w:rPr>
        <w:t xml:space="preserve"> </w:t>
      </w:r>
      <w:r w:rsidR="003C04D0">
        <w:rPr>
          <w:rFonts w:ascii="Arial" w:hAnsi="Arial" w:cs="Arial"/>
          <w:sz w:val="22"/>
          <w:szCs w:val="22"/>
        </w:rPr>
        <w:t>Also</w:t>
      </w:r>
      <w:r w:rsidR="00D85CB5" w:rsidRPr="00220E51">
        <w:rPr>
          <w:rFonts w:ascii="Arial" w:hAnsi="Arial" w:cs="Arial"/>
          <w:sz w:val="22"/>
          <w:szCs w:val="22"/>
        </w:rPr>
        <w:t xml:space="preserve">, clinicians often intuitively assess whether it is ‘the right time’ for a patient to undertake treatment, given the patient’s overall state and circumstances, and understanding that some episodic stressors may improve simply with the passage of time. </w:t>
      </w:r>
      <w:r w:rsidR="003C04D0" w:rsidRPr="00220E51">
        <w:rPr>
          <w:rFonts w:ascii="Arial" w:hAnsi="Arial" w:cs="Arial"/>
          <w:sz w:val="22"/>
          <w:szCs w:val="22"/>
        </w:rPr>
        <w:t xml:space="preserve">For example, it is common for a surgeon to postpone an operation until a patient is medically stable enough to benefit optimally from it. </w:t>
      </w:r>
      <w:r w:rsidR="00D85CB5" w:rsidRPr="00220E51">
        <w:rPr>
          <w:rFonts w:ascii="Arial" w:hAnsi="Arial" w:cs="Arial"/>
          <w:sz w:val="22"/>
          <w:szCs w:val="22"/>
        </w:rPr>
        <w:t xml:space="preserve">The results from this study add credence </w:t>
      </w:r>
      <w:r w:rsidR="003C04D0">
        <w:rPr>
          <w:rFonts w:ascii="Arial" w:hAnsi="Arial" w:cs="Arial"/>
          <w:sz w:val="22"/>
          <w:szCs w:val="22"/>
        </w:rPr>
        <w:t>to the clinical assessment of ‘psychosocial stability’</w:t>
      </w:r>
      <w:r w:rsidR="00D85CB5" w:rsidRPr="00220E51">
        <w:rPr>
          <w:rFonts w:ascii="Arial" w:hAnsi="Arial" w:cs="Arial"/>
          <w:sz w:val="22"/>
          <w:szCs w:val="22"/>
        </w:rPr>
        <w:t xml:space="preserve">, </w:t>
      </w:r>
      <w:r w:rsidR="003C04D0">
        <w:rPr>
          <w:rFonts w:ascii="Arial" w:hAnsi="Arial" w:cs="Arial"/>
          <w:sz w:val="22"/>
          <w:szCs w:val="22"/>
        </w:rPr>
        <w:t xml:space="preserve">but add the counterintuitive observation that reporting intense negative emotional states need be no necessary barrier to successful ACT treatment. </w:t>
      </w:r>
      <w:r w:rsidR="000B0D51" w:rsidRPr="00220E51">
        <w:rPr>
          <w:rFonts w:ascii="Arial" w:hAnsi="Arial" w:cs="Arial"/>
          <w:sz w:val="22"/>
          <w:szCs w:val="22"/>
        </w:rPr>
        <w:t xml:space="preserve">It is also valuable to note the factors that were not related to non-response in this study. Where there were difficult group dynamics, </w:t>
      </w:r>
      <w:r w:rsidR="00077010">
        <w:rPr>
          <w:rFonts w:ascii="Arial" w:hAnsi="Arial" w:cs="Arial"/>
          <w:sz w:val="22"/>
          <w:szCs w:val="22"/>
        </w:rPr>
        <w:t>communication</w:t>
      </w:r>
      <w:r w:rsidR="000B0D51" w:rsidRPr="00220E51">
        <w:rPr>
          <w:rFonts w:ascii="Arial" w:hAnsi="Arial" w:cs="Arial"/>
          <w:sz w:val="22"/>
          <w:szCs w:val="22"/>
        </w:rPr>
        <w:t xml:space="preserve">, and the </w:t>
      </w:r>
      <w:r w:rsidR="00813F50" w:rsidRPr="00220E51">
        <w:rPr>
          <w:rFonts w:ascii="Arial" w:hAnsi="Arial" w:cs="Arial"/>
          <w:sz w:val="22"/>
          <w:szCs w:val="22"/>
        </w:rPr>
        <w:t xml:space="preserve">personal </w:t>
      </w:r>
      <w:r w:rsidR="000B0D51" w:rsidRPr="00220E51">
        <w:rPr>
          <w:rFonts w:ascii="Arial" w:hAnsi="Arial" w:cs="Arial"/>
          <w:sz w:val="22"/>
          <w:szCs w:val="22"/>
        </w:rPr>
        <w:t xml:space="preserve">disruptions of entering intensive treatment, these did not emerge as causally related to outcome in the current study. </w:t>
      </w:r>
    </w:p>
    <w:p w14:paraId="4251F2D4" w14:textId="77777777" w:rsidR="00C81F5B" w:rsidRPr="00220E51" w:rsidRDefault="00C81F5B" w:rsidP="00BF5105">
      <w:pPr>
        <w:spacing w:line="480" w:lineRule="auto"/>
        <w:rPr>
          <w:rFonts w:ascii="Arial" w:hAnsi="Arial" w:cs="Arial"/>
          <w:sz w:val="22"/>
          <w:szCs w:val="22"/>
        </w:rPr>
      </w:pPr>
    </w:p>
    <w:p w14:paraId="5CDD9331" w14:textId="55F8D476" w:rsidR="00C81F5B" w:rsidRPr="00220E51" w:rsidRDefault="00C81F5B" w:rsidP="00BF5105">
      <w:pPr>
        <w:spacing w:line="480" w:lineRule="auto"/>
        <w:rPr>
          <w:rFonts w:ascii="Arial" w:hAnsi="Arial" w:cs="Arial"/>
          <w:sz w:val="22"/>
          <w:szCs w:val="22"/>
        </w:rPr>
      </w:pPr>
      <w:r w:rsidRPr="00220E51">
        <w:rPr>
          <w:rFonts w:ascii="Arial" w:hAnsi="Arial" w:cs="Arial"/>
          <w:sz w:val="22"/>
          <w:szCs w:val="22"/>
        </w:rPr>
        <w:t xml:space="preserve">This study was preliminary and </w:t>
      </w:r>
      <w:r w:rsidR="0095728A" w:rsidRPr="00220E51">
        <w:rPr>
          <w:rFonts w:ascii="Arial" w:hAnsi="Arial" w:cs="Arial"/>
          <w:sz w:val="22"/>
          <w:szCs w:val="22"/>
        </w:rPr>
        <w:t xml:space="preserve">has </w:t>
      </w:r>
      <w:r w:rsidR="0095728A" w:rsidRPr="001A04F5">
        <w:rPr>
          <w:rFonts w:ascii="Arial" w:hAnsi="Arial" w:cs="Arial"/>
          <w:color w:val="FF0000"/>
          <w:sz w:val="22"/>
          <w:szCs w:val="22"/>
        </w:rPr>
        <w:t xml:space="preserve">several </w:t>
      </w:r>
      <w:r w:rsidR="0095728A" w:rsidRPr="00220E51">
        <w:rPr>
          <w:rFonts w:ascii="Arial" w:hAnsi="Arial" w:cs="Arial"/>
          <w:sz w:val="22"/>
          <w:szCs w:val="22"/>
        </w:rPr>
        <w:t>limitations</w:t>
      </w:r>
      <w:r w:rsidRPr="00220E51">
        <w:rPr>
          <w:rFonts w:ascii="Arial" w:hAnsi="Arial" w:cs="Arial"/>
          <w:sz w:val="22"/>
          <w:szCs w:val="22"/>
        </w:rPr>
        <w:t>. Our method of combining single items into ‘scales’ was improvisational</w:t>
      </w:r>
      <w:r w:rsidR="009537BA" w:rsidRPr="00220E51">
        <w:rPr>
          <w:rFonts w:ascii="Arial" w:hAnsi="Arial" w:cs="Arial"/>
          <w:sz w:val="22"/>
          <w:szCs w:val="22"/>
        </w:rPr>
        <w:t>,</w:t>
      </w:r>
      <w:r w:rsidRPr="00220E51">
        <w:rPr>
          <w:rFonts w:ascii="Arial" w:hAnsi="Arial" w:cs="Arial"/>
          <w:sz w:val="22"/>
          <w:szCs w:val="22"/>
        </w:rPr>
        <w:t xml:space="preserve"> rather than principled. However,</w:t>
      </w:r>
      <w:r w:rsidR="00EA2AE6">
        <w:rPr>
          <w:rFonts w:ascii="Arial" w:hAnsi="Arial" w:cs="Arial"/>
          <w:sz w:val="22"/>
          <w:szCs w:val="22"/>
        </w:rPr>
        <w:t xml:space="preserve"> </w:t>
      </w:r>
      <w:r w:rsidR="00EA2AE6" w:rsidRPr="00CE5F78">
        <w:rPr>
          <w:rFonts w:ascii="Arial" w:hAnsi="Arial" w:cs="Arial"/>
          <w:color w:val="FF0000"/>
          <w:sz w:val="22"/>
          <w:szCs w:val="22"/>
        </w:rPr>
        <w:t>in the absence of</w:t>
      </w:r>
      <w:r w:rsidR="00EA2AE6">
        <w:rPr>
          <w:rFonts w:ascii="Arial" w:hAnsi="Arial" w:cs="Arial"/>
          <w:color w:val="FF0000"/>
          <w:sz w:val="22"/>
          <w:szCs w:val="22"/>
        </w:rPr>
        <w:t xml:space="preserve"> measures that reflected the wide range of factors cited by patients and clinicians, this approach was warranted.</w:t>
      </w:r>
      <w:r w:rsidRPr="00220E51">
        <w:rPr>
          <w:rFonts w:ascii="Arial" w:hAnsi="Arial" w:cs="Arial"/>
          <w:sz w:val="22"/>
          <w:szCs w:val="22"/>
        </w:rPr>
        <w:t xml:space="preserve"> </w:t>
      </w:r>
      <w:r w:rsidR="00EA2AE6">
        <w:rPr>
          <w:rFonts w:ascii="Arial" w:hAnsi="Arial" w:cs="Arial"/>
          <w:sz w:val="22"/>
          <w:szCs w:val="22"/>
        </w:rPr>
        <w:t>W</w:t>
      </w:r>
      <w:r w:rsidRPr="00220E51">
        <w:rPr>
          <w:rFonts w:ascii="Arial" w:hAnsi="Arial" w:cs="Arial"/>
          <w:sz w:val="22"/>
          <w:szCs w:val="22"/>
        </w:rPr>
        <w:t xml:space="preserve">e wished to start the study using a wide range of factors cited by patients and clinicians; these seemed naturally to group into some themes, but doubtless future studies may find a more elegant way of doing this. </w:t>
      </w:r>
      <w:r w:rsidR="00EA2AE6">
        <w:rPr>
          <w:rFonts w:ascii="Arial" w:hAnsi="Arial" w:cs="Arial"/>
          <w:color w:val="FF0000"/>
          <w:sz w:val="22"/>
          <w:szCs w:val="22"/>
        </w:rPr>
        <w:t xml:space="preserve">Similarly, we were unable look at clinically significant change, as normative scores are not available and return to sub-clinical levels is not expected for this population. </w:t>
      </w:r>
      <w:r w:rsidR="00EE53D2">
        <w:rPr>
          <w:rFonts w:ascii="Arial" w:hAnsi="Arial" w:cs="Arial"/>
          <w:sz w:val="22"/>
          <w:szCs w:val="22"/>
        </w:rPr>
        <w:t>Our f</w:t>
      </w:r>
      <w:r w:rsidRPr="00220E51">
        <w:rPr>
          <w:rFonts w:ascii="Arial" w:hAnsi="Arial" w:cs="Arial"/>
          <w:sz w:val="22"/>
          <w:szCs w:val="22"/>
        </w:rPr>
        <w:t xml:space="preserve">indings may also be limited by the retrospective nature of participants’ report – most were more than one year after the end of </w:t>
      </w:r>
      <w:r w:rsidR="009537BA" w:rsidRPr="00220E51">
        <w:rPr>
          <w:rFonts w:ascii="Arial" w:hAnsi="Arial" w:cs="Arial"/>
          <w:sz w:val="22"/>
          <w:szCs w:val="22"/>
        </w:rPr>
        <w:t xml:space="preserve">their </w:t>
      </w:r>
      <w:r w:rsidRPr="00220E51">
        <w:rPr>
          <w:rFonts w:ascii="Arial" w:hAnsi="Arial" w:cs="Arial"/>
          <w:sz w:val="22"/>
          <w:szCs w:val="22"/>
        </w:rPr>
        <w:t>treatment. Results from a treatment setting seeing a higher volume of patients would allow this study to be repeated on patients who were less distant from their treatment experience.</w:t>
      </w:r>
      <w:r w:rsidR="00D27843">
        <w:rPr>
          <w:rFonts w:ascii="Arial" w:hAnsi="Arial" w:cs="Arial"/>
          <w:sz w:val="22"/>
          <w:szCs w:val="22"/>
        </w:rPr>
        <w:t xml:space="preserve"> </w:t>
      </w:r>
      <w:r w:rsidR="00D27843">
        <w:rPr>
          <w:rFonts w:ascii="Arial" w:hAnsi="Arial" w:cs="Arial"/>
          <w:color w:val="FF0000"/>
          <w:sz w:val="22"/>
          <w:szCs w:val="22"/>
        </w:rPr>
        <w:t>P</w:t>
      </w:r>
      <w:r w:rsidR="00D27843" w:rsidRPr="001D17C1">
        <w:rPr>
          <w:rFonts w:ascii="Arial" w:hAnsi="Arial" w:cs="Arial"/>
          <w:color w:val="FF0000"/>
          <w:sz w:val="22"/>
          <w:szCs w:val="22"/>
        </w:rPr>
        <w:t xml:space="preserve">rospectively </w:t>
      </w:r>
      <w:r w:rsidR="00D27843">
        <w:rPr>
          <w:rFonts w:ascii="Arial" w:hAnsi="Arial" w:cs="Arial"/>
          <w:color w:val="FF0000"/>
          <w:sz w:val="22"/>
          <w:szCs w:val="22"/>
        </w:rPr>
        <w:t>employing this method and recruiting a larger sample is needed to elaborate on the current study, enabling exploration of factors related to specific outcome domains</w:t>
      </w:r>
      <w:r w:rsidR="00D27843" w:rsidRPr="001D17C1">
        <w:rPr>
          <w:rFonts w:ascii="Arial" w:hAnsi="Arial" w:cs="Arial"/>
          <w:color w:val="FF0000"/>
          <w:sz w:val="22"/>
          <w:szCs w:val="22"/>
        </w:rPr>
        <w:t>.</w:t>
      </w:r>
      <w:r w:rsidRPr="00220E51">
        <w:rPr>
          <w:rFonts w:ascii="Arial" w:hAnsi="Arial" w:cs="Arial"/>
          <w:sz w:val="22"/>
          <w:szCs w:val="22"/>
        </w:rPr>
        <w:t xml:space="preserve"> </w:t>
      </w:r>
      <w:r w:rsidR="009537BA" w:rsidRPr="00220E51">
        <w:rPr>
          <w:rFonts w:ascii="Arial" w:hAnsi="Arial" w:cs="Arial"/>
          <w:sz w:val="22"/>
          <w:szCs w:val="22"/>
        </w:rPr>
        <w:t>Finally, we only sampled patients who had attended their three-month follow</w:t>
      </w:r>
      <w:r w:rsidR="00575C41">
        <w:rPr>
          <w:rFonts w:ascii="Arial" w:hAnsi="Arial" w:cs="Arial"/>
          <w:sz w:val="22"/>
          <w:szCs w:val="22"/>
        </w:rPr>
        <w:t>-</w:t>
      </w:r>
      <w:r w:rsidR="009537BA" w:rsidRPr="00220E51">
        <w:rPr>
          <w:rFonts w:ascii="Arial" w:hAnsi="Arial" w:cs="Arial"/>
          <w:sz w:val="22"/>
          <w:szCs w:val="22"/>
        </w:rPr>
        <w:t>up review. Positively, this allowed us to study only those where non-response, or response, was relatively enduring. However, we are unable to account for those non-responders who did not attend follow</w:t>
      </w:r>
      <w:r w:rsidR="00575C41">
        <w:rPr>
          <w:rFonts w:ascii="Arial" w:hAnsi="Arial" w:cs="Arial"/>
          <w:sz w:val="22"/>
          <w:szCs w:val="22"/>
        </w:rPr>
        <w:t>-</w:t>
      </w:r>
      <w:r w:rsidR="009537BA" w:rsidRPr="00220E51">
        <w:rPr>
          <w:rFonts w:ascii="Arial" w:hAnsi="Arial" w:cs="Arial"/>
          <w:sz w:val="22"/>
          <w:szCs w:val="22"/>
        </w:rPr>
        <w:t xml:space="preserve">up. </w:t>
      </w:r>
    </w:p>
    <w:p w14:paraId="3B64B962" w14:textId="77777777" w:rsidR="009537BA" w:rsidRPr="00220E51" w:rsidRDefault="009537BA" w:rsidP="00BF5105">
      <w:pPr>
        <w:spacing w:line="480" w:lineRule="auto"/>
        <w:rPr>
          <w:rFonts w:ascii="Arial" w:hAnsi="Arial" w:cs="Arial"/>
          <w:sz w:val="22"/>
          <w:szCs w:val="22"/>
        </w:rPr>
      </w:pPr>
    </w:p>
    <w:p w14:paraId="2228C4BD" w14:textId="77777777" w:rsidR="00227646" w:rsidRDefault="009537BA" w:rsidP="00BF5105">
      <w:pPr>
        <w:spacing w:line="480" w:lineRule="auto"/>
        <w:rPr>
          <w:rFonts w:ascii="Arial" w:hAnsi="Arial" w:cs="Arial"/>
          <w:sz w:val="22"/>
          <w:szCs w:val="22"/>
        </w:rPr>
      </w:pPr>
      <w:r w:rsidRPr="00220E51">
        <w:rPr>
          <w:rFonts w:ascii="Arial" w:hAnsi="Arial" w:cs="Arial"/>
          <w:sz w:val="22"/>
          <w:szCs w:val="22"/>
        </w:rPr>
        <w:t xml:space="preserve">In summary, we surveyed treatment non-responders and asked them about factors that may have impacted their treatment. Comparison of their responses to responders </w:t>
      </w:r>
      <w:r w:rsidR="00E837AA" w:rsidRPr="00220E51">
        <w:rPr>
          <w:rFonts w:ascii="Arial" w:hAnsi="Arial" w:cs="Arial"/>
          <w:sz w:val="22"/>
          <w:szCs w:val="22"/>
        </w:rPr>
        <w:t xml:space="preserve">was a methodological innovation that arguably allowed the study of a wide range of treatment factors with the rigour of a controlled design. </w:t>
      </w:r>
      <w:r w:rsidR="00227646">
        <w:rPr>
          <w:rFonts w:ascii="Arial" w:hAnsi="Arial" w:cs="Arial"/>
          <w:sz w:val="22"/>
          <w:szCs w:val="22"/>
        </w:rPr>
        <w:t xml:space="preserve">The results included theoretically relevant and counterintuitive findings that seemed to vindicate the use of the design. They </w:t>
      </w:r>
      <w:r w:rsidR="00E837AA" w:rsidRPr="00220E51">
        <w:rPr>
          <w:rFonts w:ascii="Arial" w:hAnsi="Arial" w:cs="Arial"/>
          <w:sz w:val="22"/>
          <w:szCs w:val="22"/>
        </w:rPr>
        <w:t xml:space="preserve">direct attention towards psychosocial factors that may be modifiable, </w:t>
      </w:r>
      <w:r w:rsidR="00227646">
        <w:rPr>
          <w:rFonts w:ascii="Arial" w:hAnsi="Arial" w:cs="Arial"/>
          <w:sz w:val="22"/>
          <w:szCs w:val="22"/>
        </w:rPr>
        <w:t xml:space="preserve">and indicate that endorsement of strong negative emotions is no necessary barrier to successful ACT treatment. </w:t>
      </w:r>
    </w:p>
    <w:p w14:paraId="11103BDD" w14:textId="77777777" w:rsidR="00227646" w:rsidRDefault="00227646" w:rsidP="00BF5105">
      <w:pPr>
        <w:spacing w:line="480" w:lineRule="auto"/>
        <w:rPr>
          <w:rFonts w:ascii="Arial" w:hAnsi="Arial" w:cs="Arial"/>
          <w:sz w:val="22"/>
          <w:szCs w:val="22"/>
        </w:rPr>
      </w:pPr>
    </w:p>
    <w:p w14:paraId="36D53F6A" w14:textId="77777777" w:rsidR="009A7FFA" w:rsidRPr="00220E51" w:rsidRDefault="009A7FFA" w:rsidP="00BF5105">
      <w:pPr>
        <w:spacing w:line="480" w:lineRule="auto"/>
        <w:rPr>
          <w:rFonts w:ascii="Arial" w:hAnsi="Arial" w:cs="Arial"/>
          <w:b/>
          <w:sz w:val="22"/>
          <w:szCs w:val="22"/>
        </w:rPr>
      </w:pPr>
    </w:p>
    <w:p w14:paraId="2DEE8CD7" w14:textId="77777777" w:rsidR="009A7FFA" w:rsidRPr="00220E51" w:rsidRDefault="009A7FFA" w:rsidP="00BF5105">
      <w:pPr>
        <w:spacing w:line="480" w:lineRule="auto"/>
        <w:rPr>
          <w:rFonts w:ascii="Arial" w:hAnsi="Arial" w:cs="Arial"/>
          <w:b/>
          <w:sz w:val="22"/>
          <w:szCs w:val="22"/>
        </w:rPr>
      </w:pPr>
      <w:r w:rsidRPr="00220E51">
        <w:rPr>
          <w:rFonts w:ascii="Arial" w:hAnsi="Arial" w:cs="Arial"/>
          <w:b/>
          <w:sz w:val="22"/>
          <w:szCs w:val="22"/>
        </w:rPr>
        <w:t>Acknowledgements</w:t>
      </w:r>
    </w:p>
    <w:p w14:paraId="339DEAF3" w14:textId="5C883CF8" w:rsidR="009A7FFA" w:rsidRPr="00220E51" w:rsidRDefault="009A7FFA" w:rsidP="00BF5105">
      <w:pPr>
        <w:spacing w:line="480" w:lineRule="auto"/>
        <w:rPr>
          <w:rFonts w:ascii="Arial" w:hAnsi="Arial" w:cs="Arial"/>
          <w:sz w:val="22"/>
          <w:szCs w:val="22"/>
        </w:rPr>
      </w:pPr>
      <w:r w:rsidRPr="00220E51">
        <w:rPr>
          <w:rFonts w:ascii="Arial" w:hAnsi="Arial" w:cs="Arial"/>
          <w:sz w:val="22"/>
          <w:szCs w:val="22"/>
        </w:rPr>
        <w:t>The authors would like to thank the Donated Funds Committee of the Royal National Hospital for Rheumatic Diseases for supporting this study</w:t>
      </w:r>
      <w:r w:rsidR="004F3595">
        <w:rPr>
          <w:rFonts w:ascii="Arial" w:hAnsi="Arial" w:cs="Arial"/>
          <w:sz w:val="22"/>
          <w:szCs w:val="22"/>
        </w:rPr>
        <w:t xml:space="preserve"> financially</w:t>
      </w:r>
      <w:r w:rsidR="00350FEF">
        <w:rPr>
          <w:rFonts w:ascii="Arial" w:hAnsi="Arial" w:cs="Arial"/>
          <w:sz w:val="22"/>
          <w:szCs w:val="22"/>
        </w:rPr>
        <w:t xml:space="preserve"> (RBB430)</w:t>
      </w:r>
      <w:r w:rsidRPr="00220E51">
        <w:rPr>
          <w:rFonts w:ascii="Arial" w:hAnsi="Arial" w:cs="Arial"/>
          <w:sz w:val="22"/>
          <w:szCs w:val="22"/>
        </w:rPr>
        <w:t>. Jane Carter and Janine McCaulder-Ojeda provided invaluable help with funding and governance</w:t>
      </w:r>
      <w:r w:rsidR="00005601">
        <w:rPr>
          <w:rFonts w:ascii="Arial" w:hAnsi="Arial" w:cs="Arial"/>
          <w:sz w:val="22"/>
          <w:szCs w:val="22"/>
        </w:rPr>
        <w:t>.</w:t>
      </w:r>
    </w:p>
    <w:p w14:paraId="4C4B33C2" w14:textId="77777777" w:rsidR="009A7FFA" w:rsidRDefault="009A7FFA" w:rsidP="00BF5105">
      <w:pPr>
        <w:spacing w:line="480" w:lineRule="auto"/>
        <w:rPr>
          <w:rFonts w:ascii="Arial" w:hAnsi="Arial" w:cs="Arial"/>
          <w:b/>
          <w:sz w:val="22"/>
          <w:szCs w:val="22"/>
        </w:rPr>
      </w:pPr>
    </w:p>
    <w:p w14:paraId="4F27BA73" w14:textId="1662D356" w:rsidR="00BF5105" w:rsidRPr="00220E51" w:rsidRDefault="00BF5105" w:rsidP="00BF5105">
      <w:pPr>
        <w:spacing w:line="480" w:lineRule="auto"/>
        <w:rPr>
          <w:rFonts w:ascii="Arial" w:hAnsi="Arial" w:cs="Arial"/>
          <w:b/>
          <w:sz w:val="22"/>
          <w:szCs w:val="22"/>
        </w:rPr>
      </w:pPr>
      <w:r>
        <w:rPr>
          <w:rFonts w:ascii="Arial" w:hAnsi="Arial" w:cs="Arial"/>
          <w:b/>
          <w:sz w:val="22"/>
          <w:szCs w:val="22"/>
        </w:rPr>
        <w:t>Declaration of Interest</w:t>
      </w:r>
    </w:p>
    <w:p w14:paraId="7C0D7E40" w14:textId="2AC1E072" w:rsidR="009A7FFA" w:rsidRPr="00BF5105" w:rsidRDefault="00BF5105" w:rsidP="00BF5105">
      <w:pPr>
        <w:spacing w:line="480" w:lineRule="auto"/>
        <w:rPr>
          <w:rFonts w:ascii="Arial" w:hAnsi="Arial" w:cs="Arial"/>
          <w:sz w:val="22"/>
          <w:szCs w:val="22"/>
        </w:rPr>
      </w:pPr>
      <w:r w:rsidRPr="00BF5105">
        <w:rPr>
          <w:rFonts w:ascii="Arial" w:hAnsi="Arial" w:cs="Arial"/>
          <w:sz w:val="22"/>
          <w:szCs w:val="22"/>
        </w:rPr>
        <w:t>None.</w:t>
      </w:r>
    </w:p>
    <w:p w14:paraId="2CB16938" w14:textId="77777777" w:rsidR="009A7FFA" w:rsidRDefault="009A7FFA" w:rsidP="00BF5105">
      <w:pPr>
        <w:spacing w:line="480" w:lineRule="auto"/>
        <w:rPr>
          <w:rFonts w:ascii="Arial" w:hAnsi="Arial" w:cs="Arial"/>
          <w:b/>
          <w:sz w:val="22"/>
          <w:szCs w:val="22"/>
        </w:rPr>
      </w:pPr>
    </w:p>
    <w:p w14:paraId="4ED10B23" w14:textId="0B9C9EBD" w:rsidR="00BF5105" w:rsidRDefault="00BF5105" w:rsidP="00BF5105">
      <w:pPr>
        <w:spacing w:line="480" w:lineRule="auto"/>
        <w:rPr>
          <w:rFonts w:ascii="Arial" w:hAnsi="Arial" w:cs="Arial"/>
          <w:b/>
          <w:sz w:val="22"/>
          <w:szCs w:val="22"/>
        </w:rPr>
      </w:pPr>
      <w:r>
        <w:rPr>
          <w:rFonts w:ascii="Arial" w:hAnsi="Arial" w:cs="Arial"/>
          <w:b/>
          <w:sz w:val="22"/>
          <w:szCs w:val="22"/>
        </w:rPr>
        <w:t>Ethical Statement</w:t>
      </w:r>
    </w:p>
    <w:p w14:paraId="44A5117C" w14:textId="2EB240F3" w:rsidR="00BF5105" w:rsidRPr="00220E51" w:rsidRDefault="00BF5105" w:rsidP="00BF5105">
      <w:pPr>
        <w:spacing w:line="480" w:lineRule="auto"/>
        <w:rPr>
          <w:rFonts w:ascii="Arial" w:hAnsi="Arial" w:cs="Arial"/>
          <w:b/>
          <w:sz w:val="22"/>
          <w:szCs w:val="22"/>
        </w:rPr>
      </w:pPr>
      <w:r>
        <w:rPr>
          <w:rFonts w:ascii="Calibri" w:hAnsi="Calibri"/>
        </w:rPr>
        <w:t>The authors assert that all procedures contributing to this work comply with the ethical standards of the relevant national and institutional committees on human experimentation and with the Helsinki Declaration of 1975, and its most recent revision.</w:t>
      </w:r>
    </w:p>
    <w:p w14:paraId="2D1E4883" w14:textId="77777777" w:rsidR="0068677F" w:rsidRPr="00220E51" w:rsidRDefault="0068677F" w:rsidP="00BF5105">
      <w:pPr>
        <w:spacing w:line="480" w:lineRule="auto"/>
        <w:rPr>
          <w:rFonts w:ascii="Arial" w:hAnsi="Arial" w:cs="Arial"/>
          <w:b/>
          <w:sz w:val="22"/>
          <w:szCs w:val="22"/>
        </w:rPr>
      </w:pPr>
      <w:r w:rsidRPr="00220E51">
        <w:rPr>
          <w:rFonts w:ascii="Arial" w:hAnsi="Arial" w:cs="Arial"/>
          <w:b/>
          <w:sz w:val="22"/>
          <w:szCs w:val="22"/>
        </w:rPr>
        <w:br w:type="page"/>
      </w:r>
    </w:p>
    <w:p w14:paraId="7DD081C8" w14:textId="77777777" w:rsidR="005551ED" w:rsidRPr="00220E51" w:rsidRDefault="005551ED" w:rsidP="00BF5105">
      <w:pPr>
        <w:spacing w:line="480" w:lineRule="auto"/>
        <w:rPr>
          <w:rFonts w:ascii="Arial" w:hAnsi="Arial" w:cs="Arial"/>
          <w:b/>
          <w:sz w:val="22"/>
          <w:szCs w:val="22"/>
        </w:rPr>
      </w:pPr>
      <w:r w:rsidRPr="00220E51">
        <w:rPr>
          <w:rFonts w:ascii="Arial" w:hAnsi="Arial" w:cs="Arial"/>
          <w:b/>
          <w:sz w:val="22"/>
          <w:szCs w:val="22"/>
        </w:rPr>
        <w:lastRenderedPageBreak/>
        <w:t xml:space="preserve">References </w:t>
      </w:r>
    </w:p>
    <w:p w14:paraId="430FDEB3" w14:textId="77777777" w:rsidR="00C237A4" w:rsidRPr="00220E51" w:rsidRDefault="00C237A4" w:rsidP="00BF5105">
      <w:pPr>
        <w:spacing w:line="480" w:lineRule="auto"/>
        <w:rPr>
          <w:rFonts w:ascii="Arial" w:hAnsi="Arial" w:cs="Arial"/>
          <w:i/>
          <w:sz w:val="22"/>
          <w:szCs w:val="22"/>
        </w:rPr>
      </w:pPr>
    </w:p>
    <w:p w14:paraId="52DF5B68" w14:textId="77777777" w:rsidR="002517C3" w:rsidRPr="00220E51" w:rsidRDefault="002517C3" w:rsidP="00BF5105">
      <w:pPr>
        <w:spacing w:line="480" w:lineRule="auto"/>
        <w:rPr>
          <w:rFonts w:ascii="Arial" w:hAnsi="Arial" w:cs="Arial"/>
          <w:sz w:val="22"/>
          <w:szCs w:val="22"/>
        </w:rPr>
      </w:pPr>
      <w:r w:rsidRPr="00220E51">
        <w:rPr>
          <w:rFonts w:ascii="Arial" w:hAnsi="Arial" w:cs="Arial"/>
          <w:sz w:val="22"/>
          <w:szCs w:val="22"/>
        </w:rPr>
        <w:t xml:space="preserve">Bendelin, N., Hesser, H., Dahl, J., Carlbring, P., Nelson, K. Z., &amp; Andersson, G. (2011). Experiences of guided Internet-based cognitive-behavioural treatment for depression: a qualitative study. </w:t>
      </w:r>
      <w:r w:rsidRPr="00220E51">
        <w:rPr>
          <w:rFonts w:ascii="Arial" w:hAnsi="Arial" w:cs="Arial"/>
          <w:i/>
          <w:sz w:val="22"/>
          <w:szCs w:val="22"/>
        </w:rPr>
        <w:t>BMC psychiatry, 11</w:t>
      </w:r>
      <w:r w:rsidRPr="00220E51">
        <w:rPr>
          <w:rFonts w:ascii="Arial" w:hAnsi="Arial" w:cs="Arial"/>
          <w:sz w:val="22"/>
          <w:szCs w:val="22"/>
        </w:rPr>
        <w:t>(1), 107.</w:t>
      </w:r>
    </w:p>
    <w:p w14:paraId="5DC29193" w14:textId="77777777" w:rsidR="002517C3" w:rsidRPr="00220E51" w:rsidRDefault="002517C3" w:rsidP="00BF5105">
      <w:pPr>
        <w:spacing w:line="480" w:lineRule="auto"/>
        <w:rPr>
          <w:rFonts w:ascii="Arial" w:hAnsi="Arial" w:cs="Arial"/>
          <w:sz w:val="22"/>
          <w:szCs w:val="22"/>
        </w:rPr>
      </w:pPr>
    </w:p>
    <w:p w14:paraId="0C57AAB8" w14:textId="427AA68A" w:rsidR="002517C3" w:rsidRPr="00220E51" w:rsidRDefault="002517C3" w:rsidP="00BF5105">
      <w:pPr>
        <w:spacing w:line="480" w:lineRule="auto"/>
        <w:rPr>
          <w:rFonts w:ascii="Arial" w:hAnsi="Arial" w:cs="Arial"/>
          <w:sz w:val="22"/>
          <w:szCs w:val="22"/>
        </w:rPr>
      </w:pPr>
      <w:r w:rsidRPr="00220E51">
        <w:rPr>
          <w:rFonts w:ascii="Arial" w:hAnsi="Arial" w:cs="Arial"/>
          <w:sz w:val="22"/>
          <w:szCs w:val="22"/>
        </w:rPr>
        <w:t xml:space="preserve">Bergner, M., Bobbitt, R. A., Carter, W. B., &amp; Gilson, B. S. (1981). The Sickness Impact Profile: development and final revision of a health status measure. </w:t>
      </w:r>
      <w:r w:rsidRPr="00220E51">
        <w:rPr>
          <w:rFonts w:ascii="Arial" w:hAnsi="Arial" w:cs="Arial"/>
          <w:i/>
          <w:sz w:val="22"/>
          <w:szCs w:val="22"/>
        </w:rPr>
        <w:t>Medical care</w:t>
      </w:r>
      <w:r w:rsidRPr="00220E51">
        <w:rPr>
          <w:rFonts w:ascii="Arial" w:hAnsi="Arial" w:cs="Arial"/>
          <w:sz w:val="22"/>
          <w:szCs w:val="22"/>
        </w:rPr>
        <w:t xml:space="preserve">, </w:t>
      </w:r>
      <w:r w:rsidR="00276451" w:rsidRPr="00276451">
        <w:rPr>
          <w:rFonts w:ascii="Arial" w:hAnsi="Arial" w:cs="Arial"/>
          <w:i/>
          <w:sz w:val="22"/>
          <w:szCs w:val="22"/>
        </w:rPr>
        <w:t>19,</w:t>
      </w:r>
      <w:r w:rsidR="00276451">
        <w:rPr>
          <w:rFonts w:ascii="Arial" w:hAnsi="Arial" w:cs="Arial"/>
          <w:sz w:val="22"/>
          <w:szCs w:val="22"/>
        </w:rPr>
        <w:t xml:space="preserve"> </w:t>
      </w:r>
      <w:r w:rsidRPr="00220E51">
        <w:rPr>
          <w:rFonts w:ascii="Arial" w:hAnsi="Arial" w:cs="Arial"/>
          <w:sz w:val="22"/>
          <w:szCs w:val="22"/>
        </w:rPr>
        <w:t>787-805.</w:t>
      </w:r>
    </w:p>
    <w:p w14:paraId="1A3D010E" w14:textId="77777777" w:rsidR="00F13DBD" w:rsidRDefault="00F13DBD" w:rsidP="00BF5105">
      <w:pPr>
        <w:spacing w:line="480" w:lineRule="auto"/>
        <w:rPr>
          <w:rFonts w:ascii="Arial" w:hAnsi="Arial" w:cs="Arial"/>
          <w:sz w:val="22"/>
          <w:szCs w:val="22"/>
        </w:rPr>
      </w:pPr>
    </w:p>
    <w:p w14:paraId="5F71F442" w14:textId="1E5D3223" w:rsidR="009401B5" w:rsidRDefault="009401B5" w:rsidP="00BF5105">
      <w:pPr>
        <w:spacing w:line="480" w:lineRule="auto"/>
        <w:rPr>
          <w:rFonts w:ascii="Arial" w:hAnsi="Arial" w:cs="Arial"/>
          <w:sz w:val="22"/>
          <w:szCs w:val="22"/>
        </w:rPr>
      </w:pPr>
      <w:r>
        <w:rPr>
          <w:rFonts w:ascii="Arial" w:hAnsi="Arial" w:cs="Arial"/>
          <w:sz w:val="22"/>
          <w:szCs w:val="22"/>
        </w:rPr>
        <w:t xml:space="preserve">Cano, A., Leonard, M.T., Castorena, A., Leong, L. (2013). Interpersonal communication research in the context of pain. </w:t>
      </w:r>
      <w:r w:rsidRPr="009401B5">
        <w:rPr>
          <w:rFonts w:ascii="Arial" w:hAnsi="Arial" w:cs="Arial"/>
          <w:i/>
          <w:sz w:val="22"/>
          <w:szCs w:val="22"/>
        </w:rPr>
        <w:t>Pain</w:t>
      </w:r>
      <w:r>
        <w:rPr>
          <w:rFonts w:ascii="Arial" w:hAnsi="Arial" w:cs="Arial"/>
          <w:sz w:val="22"/>
          <w:szCs w:val="22"/>
        </w:rPr>
        <w:t xml:space="preserve">, 154, 2245-2246. </w:t>
      </w:r>
    </w:p>
    <w:p w14:paraId="31B483C2" w14:textId="77777777" w:rsidR="009401B5" w:rsidRDefault="009401B5" w:rsidP="00BF5105">
      <w:pPr>
        <w:spacing w:line="480" w:lineRule="auto"/>
        <w:rPr>
          <w:rFonts w:ascii="Arial" w:hAnsi="Arial" w:cs="Arial"/>
          <w:sz w:val="22"/>
          <w:szCs w:val="22"/>
        </w:rPr>
      </w:pPr>
    </w:p>
    <w:p w14:paraId="315E3002" w14:textId="77777777" w:rsidR="00F17249" w:rsidRDefault="00F17249" w:rsidP="00BF5105">
      <w:pPr>
        <w:spacing w:line="480" w:lineRule="auto"/>
        <w:rPr>
          <w:rFonts w:ascii="Arial" w:hAnsi="Arial" w:cs="Arial"/>
          <w:sz w:val="22"/>
          <w:szCs w:val="22"/>
        </w:rPr>
      </w:pPr>
      <w:r w:rsidRPr="00F17249">
        <w:rPr>
          <w:rFonts w:ascii="Arial" w:hAnsi="Arial" w:cs="Arial"/>
          <w:sz w:val="22"/>
          <w:szCs w:val="22"/>
        </w:rPr>
        <w:t xml:space="preserve">Craig, P., Dieppe, P., Macintyre, S., Michie, S., Nazareth, I., &amp; Petticrew, M. (2008). Developing and evaluating complex interventions: the new Medical Research Council guidance. </w:t>
      </w:r>
      <w:r w:rsidRPr="00BF7747">
        <w:rPr>
          <w:rFonts w:ascii="Arial" w:hAnsi="Arial" w:cs="Arial"/>
          <w:i/>
          <w:sz w:val="22"/>
          <w:szCs w:val="22"/>
        </w:rPr>
        <w:t>British Medical Journal, 337</w:t>
      </w:r>
      <w:r w:rsidR="00BF7747">
        <w:rPr>
          <w:rFonts w:ascii="Arial" w:hAnsi="Arial" w:cs="Arial"/>
          <w:sz w:val="22"/>
          <w:szCs w:val="22"/>
        </w:rPr>
        <w:t>, 979-983</w:t>
      </w:r>
      <w:r w:rsidRPr="00F17249">
        <w:rPr>
          <w:rFonts w:ascii="Arial" w:hAnsi="Arial" w:cs="Arial"/>
          <w:sz w:val="22"/>
          <w:szCs w:val="22"/>
        </w:rPr>
        <w:t>.</w:t>
      </w:r>
    </w:p>
    <w:p w14:paraId="05647FDE" w14:textId="77777777" w:rsidR="00F17249" w:rsidRPr="00220E51" w:rsidRDefault="00F17249" w:rsidP="00BF5105">
      <w:pPr>
        <w:spacing w:line="480" w:lineRule="auto"/>
        <w:rPr>
          <w:rFonts w:ascii="Arial" w:hAnsi="Arial" w:cs="Arial"/>
          <w:sz w:val="22"/>
          <w:szCs w:val="22"/>
        </w:rPr>
      </w:pPr>
    </w:p>
    <w:p w14:paraId="7B8A1188" w14:textId="77777777" w:rsidR="002517C3" w:rsidRPr="00220E51" w:rsidRDefault="002517C3" w:rsidP="00BF5105">
      <w:pPr>
        <w:spacing w:line="480" w:lineRule="auto"/>
        <w:rPr>
          <w:rFonts w:ascii="Arial" w:hAnsi="Arial" w:cs="Arial"/>
          <w:sz w:val="22"/>
          <w:szCs w:val="22"/>
        </w:rPr>
      </w:pPr>
      <w:r w:rsidRPr="00220E51">
        <w:rPr>
          <w:rFonts w:ascii="Arial" w:hAnsi="Arial" w:cs="Arial"/>
          <w:sz w:val="22"/>
          <w:szCs w:val="22"/>
        </w:rPr>
        <w:t xml:space="preserve">Elliott, R. (2010). Psychotherapy change process research: Realizing the promise. </w:t>
      </w:r>
      <w:r w:rsidRPr="00220E51">
        <w:rPr>
          <w:rFonts w:ascii="Arial" w:hAnsi="Arial" w:cs="Arial"/>
          <w:i/>
          <w:sz w:val="22"/>
          <w:szCs w:val="22"/>
        </w:rPr>
        <w:t>Psychotherapy research, 20</w:t>
      </w:r>
      <w:r w:rsidRPr="00220E51">
        <w:rPr>
          <w:rFonts w:ascii="Arial" w:hAnsi="Arial" w:cs="Arial"/>
          <w:sz w:val="22"/>
          <w:szCs w:val="22"/>
        </w:rPr>
        <w:t>(2), 123-135.</w:t>
      </w:r>
    </w:p>
    <w:p w14:paraId="5A4E6916" w14:textId="77777777" w:rsidR="00CC28EB" w:rsidRPr="00220E51" w:rsidRDefault="00CC28EB" w:rsidP="00BF5105">
      <w:pPr>
        <w:spacing w:line="480" w:lineRule="auto"/>
        <w:rPr>
          <w:rFonts w:ascii="Arial" w:hAnsi="Arial" w:cs="Arial"/>
          <w:sz w:val="22"/>
          <w:szCs w:val="22"/>
        </w:rPr>
      </w:pPr>
    </w:p>
    <w:p w14:paraId="0D22583F" w14:textId="77777777" w:rsidR="002517C3" w:rsidRPr="00220E51" w:rsidRDefault="002517C3" w:rsidP="00BF5105">
      <w:pPr>
        <w:spacing w:line="480" w:lineRule="auto"/>
        <w:rPr>
          <w:rFonts w:ascii="Arial" w:hAnsi="Arial" w:cs="Arial"/>
          <w:sz w:val="22"/>
          <w:szCs w:val="22"/>
        </w:rPr>
      </w:pPr>
      <w:r w:rsidRPr="00220E51">
        <w:rPr>
          <w:rFonts w:ascii="Arial" w:hAnsi="Arial" w:cs="Arial"/>
          <w:sz w:val="22"/>
          <w:szCs w:val="22"/>
        </w:rPr>
        <w:t>Iverson, G. L., &amp; Remick, R. (2004). Diagnostic accuracy of the British Columbia Major Depression Inventory 1.</w:t>
      </w:r>
      <w:r w:rsidRPr="00220E51">
        <w:rPr>
          <w:rFonts w:ascii="Arial" w:hAnsi="Arial" w:cs="Arial"/>
          <w:i/>
          <w:sz w:val="22"/>
          <w:szCs w:val="22"/>
        </w:rPr>
        <w:t xml:space="preserve"> Psychological reports, 95</w:t>
      </w:r>
      <w:r w:rsidRPr="00220E51">
        <w:rPr>
          <w:rFonts w:ascii="Arial" w:hAnsi="Arial" w:cs="Arial"/>
          <w:sz w:val="22"/>
          <w:szCs w:val="22"/>
        </w:rPr>
        <w:t>(3), 1241-1247.</w:t>
      </w:r>
    </w:p>
    <w:p w14:paraId="79A027E6" w14:textId="77777777" w:rsidR="002517C3" w:rsidRPr="00220E51" w:rsidRDefault="002517C3" w:rsidP="00BF5105">
      <w:pPr>
        <w:spacing w:line="480" w:lineRule="auto"/>
        <w:rPr>
          <w:rFonts w:ascii="Arial" w:hAnsi="Arial" w:cs="Arial"/>
          <w:sz w:val="22"/>
          <w:szCs w:val="22"/>
        </w:rPr>
      </w:pPr>
    </w:p>
    <w:p w14:paraId="1027998B" w14:textId="77777777" w:rsidR="002517C3" w:rsidRPr="00953FB6" w:rsidRDefault="002517C3" w:rsidP="00BF5105">
      <w:pPr>
        <w:spacing w:line="480" w:lineRule="auto"/>
        <w:rPr>
          <w:rFonts w:ascii="Arial" w:hAnsi="Arial" w:cs="Arial"/>
          <w:sz w:val="22"/>
          <w:szCs w:val="22"/>
          <w:lang w:val="nb-NO"/>
        </w:rPr>
      </w:pPr>
      <w:r w:rsidRPr="00220E51">
        <w:rPr>
          <w:rFonts w:ascii="Arial" w:hAnsi="Arial" w:cs="Arial"/>
          <w:sz w:val="22"/>
          <w:szCs w:val="22"/>
        </w:rPr>
        <w:t xml:space="preserve">Kristjánsdóttir, Ó. B., Fors, E. A., Eide, E., Finset, A., van Dulmen, S., Wigers, S. H., &amp; Eide, H. (2011). Written online situational feedback via mobile phone to support self-management of chronic widespread pain: a usability study of a Web-based intervention. </w:t>
      </w:r>
      <w:r w:rsidRPr="00953FB6">
        <w:rPr>
          <w:rFonts w:ascii="Arial" w:hAnsi="Arial" w:cs="Arial"/>
          <w:i/>
          <w:sz w:val="22"/>
          <w:szCs w:val="22"/>
          <w:lang w:val="nb-NO"/>
        </w:rPr>
        <w:t>BMC musculoskeletal disorders, 12</w:t>
      </w:r>
      <w:r w:rsidRPr="00953FB6">
        <w:rPr>
          <w:rFonts w:ascii="Arial" w:hAnsi="Arial" w:cs="Arial"/>
          <w:sz w:val="22"/>
          <w:szCs w:val="22"/>
          <w:lang w:val="nb-NO"/>
        </w:rPr>
        <w:t>(1), 51.</w:t>
      </w:r>
    </w:p>
    <w:p w14:paraId="5A3A2E0E" w14:textId="77777777" w:rsidR="002517C3" w:rsidRPr="00953FB6" w:rsidRDefault="002517C3" w:rsidP="00BF5105">
      <w:pPr>
        <w:spacing w:line="480" w:lineRule="auto"/>
        <w:rPr>
          <w:rFonts w:ascii="Arial" w:hAnsi="Arial" w:cs="Arial"/>
          <w:sz w:val="22"/>
          <w:szCs w:val="22"/>
          <w:lang w:val="nb-NO"/>
        </w:rPr>
      </w:pPr>
    </w:p>
    <w:p w14:paraId="0505B0A6" w14:textId="023F71D2" w:rsidR="002517C3" w:rsidRPr="00220E51" w:rsidRDefault="002517C3" w:rsidP="00BF5105">
      <w:pPr>
        <w:spacing w:line="480" w:lineRule="auto"/>
        <w:rPr>
          <w:rFonts w:ascii="Arial" w:hAnsi="Arial" w:cs="Arial"/>
          <w:sz w:val="22"/>
          <w:szCs w:val="22"/>
        </w:rPr>
      </w:pPr>
      <w:r w:rsidRPr="007971A4">
        <w:rPr>
          <w:rFonts w:ascii="Arial" w:hAnsi="Arial" w:cs="Arial"/>
          <w:sz w:val="22"/>
          <w:szCs w:val="22"/>
          <w:lang w:val="nb-NO"/>
        </w:rPr>
        <w:lastRenderedPageBreak/>
        <w:t xml:space="preserve">Kroenke, K., Spitzer, R. L., &amp; Williams, J. B. (2001). </w:t>
      </w:r>
      <w:r w:rsidRPr="00220E51">
        <w:rPr>
          <w:rFonts w:ascii="Arial" w:hAnsi="Arial" w:cs="Arial"/>
          <w:sz w:val="22"/>
          <w:szCs w:val="22"/>
        </w:rPr>
        <w:t>The P</w:t>
      </w:r>
      <w:r w:rsidR="00077DAD">
        <w:rPr>
          <w:rFonts w:ascii="Arial" w:hAnsi="Arial" w:cs="Arial"/>
          <w:sz w:val="22"/>
          <w:szCs w:val="22"/>
        </w:rPr>
        <w:t>HQ</w:t>
      </w:r>
      <w:r w:rsidRPr="00220E51">
        <w:rPr>
          <w:rFonts w:ascii="Noteworthy Light" w:hAnsi="Noteworthy Light" w:cs="Noteworthy Light"/>
          <w:sz w:val="22"/>
          <w:szCs w:val="22"/>
        </w:rPr>
        <w:t>‐</w:t>
      </w:r>
      <w:r w:rsidRPr="00220E51">
        <w:rPr>
          <w:rFonts w:ascii="Arial" w:hAnsi="Arial" w:cs="Arial"/>
          <w:sz w:val="22"/>
          <w:szCs w:val="22"/>
        </w:rPr>
        <w:t xml:space="preserve">9. </w:t>
      </w:r>
      <w:r w:rsidRPr="00220E51">
        <w:rPr>
          <w:rFonts w:ascii="Arial" w:hAnsi="Arial" w:cs="Arial"/>
          <w:i/>
          <w:sz w:val="22"/>
          <w:szCs w:val="22"/>
        </w:rPr>
        <w:t>Journal of general internal medicine, 16</w:t>
      </w:r>
      <w:r w:rsidRPr="00220E51">
        <w:rPr>
          <w:rFonts w:ascii="Arial" w:hAnsi="Arial" w:cs="Arial"/>
          <w:sz w:val="22"/>
          <w:szCs w:val="22"/>
        </w:rPr>
        <w:t>(9), 606-613.</w:t>
      </w:r>
    </w:p>
    <w:p w14:paraId="46567073" w14:textId="77777777" w:rsidR="002517C3" w:rsidRPr="00220E51" w:rsidRDefault="002517C3" w:rsidP="00BF5105">
      <w:pPr>
        <w:spacing w:line="480" w:lineRule="auto"/>
        <w:rPr>
          <w:rFonts w:ascii="Arial" w:hAnsi="Arial" w:cs="Arial"/>
          <w:sz w:val="22"/>
          <w:szCs w:val="22"/>
        </w:rPr>
      </w:pPr>
    </w:p>
    <w:p w14:paraId="7D24C2B1" w14:textId="77777777" w:rsidR="002517C3" w:rsidRPr="00220E51" w:rsidRDefault="002517C3" w:rsidP="00BF5105">
      <w:pPr>
        <w:spacing w:line="480" w:lineRule="auto"/>
        <w:rPr>
          <w:rFonts w:ascii="Arial" w:hAnsi="Arial" w:cs="Arial"/>
          <w:sz w:val="22"/>
          <w:szCs w:val="22"/>
        </w:rPr>
      </w:pPr>
      <w:r w:rsidRPr="00220E51">
        <w:rPr>
          <w:rFonts w:ascii="Arial" w:hAnsi="Arial" w:cs="Arial"/>
          <w:sz w:val="22"/>
          <w:szCs w:val="22"/>
        </w:rPr>
        <w:t xml:space="preserve">McCracken, L. M., &amp; Dhingra, L. (2002). A short version of the Pain Anxiety Symptoms Scale (PASS--20): Preliminary development and validity. </w:t>
      </w:r>
      <w:r w:rsidRPr="00220E51">
        <w:rPr>
          <w:rFonts w:ascii="Arial" w:hAnsi="Arial" w:cs="Arial"/>
          <w:i/>
          <w:sz w:val="22"/>
          <w:szCs w:val="22"/>
        </w:rPr>
        <w:t>Pain Research &amp; Management</w:t>
      </w:r>
      <w:r w:rsidRPr="00220E51">
        <w:rPr>
          <w:rFonts w:ascii="Arial" w:hAnsi="Arial" w:cs="Arial"/>
          <w:sz w:val="22"/>
          <w:szCs w:val="22"/>
        </w:rPr>
        <w:t>.</w:t>
      </w:r>
    </w:p>
    <w:p w14:paraId="064DF51E" w14:textId="77777777" w:rsidR="002517C3" w:rsidRDefault="002517C3" w:rsidP="00BF5105">
      <w:pPr>
        <w:spacing w:line="480" w:lineRule="auto"/>
        <w:rPr>
          <w:rFonts w:ascii="Arial" w:hAnsi="Arial" w:cs="Arial"/>
          <w:sz w:val="22"/>
          <w:szCs w:val="22"/>
        </w:rPr>
      </w:pPr>
    </w:p>
    <w:p w14:paraId="77C13A44" w14:textId="77777777" w:rsidR="00E942B5" w:rsidRPr="00E942B5" w:rsidRDefault="00E942B5" w:rsidP="00BF5105">
      <w:pPr>
        <w:spacing w:line="480" w:lineRule="auto"/>
        <w:rPr>
          <w:rFonts w:ascii="Arial" w:hAnsi="Arial" w:cs="Arial"/>
          <w:sz w:val="22"/>
          <w:szCs w:val="22"/>
        </w:rPr>
      </w:pPr>
      <w:r w:rsidRPr="00E942B5">
        <w:rPr>
          <w:rFonts w:ascii="Arial" w:hAnsi="Arial" w:cs="Arial"/>
          <w:sz w:val="22"/>
          <w:szCs w:val="22"/>
        </w:rPr>
        <w:t xml:space="preserve">McCracken, L. M., &amp; Gutiérrez-Martínez, O. (2011). Processes of change in psychological flexibility in an interdisciplinary group-based treatment for chronic pain based on Acceptance and Commitment Therapy. </w:t>
      </w:r>
      <w:r w:rsidRPr="00E942B5">
        <w:rPr>
          <w:rFonts w:ascii="Arial" w:hAnsi="Arial" w:cs="Arial"/>
          <w:i/>
          <w:sz w:val="22"/>
          <w:szCs w:val="22"/>
        </w:rPr>
        <w:t>Behaviour research and therapy, 49</w:t>
      </w:r>
      <w:r w:rsidRPr="00E942B5">
        <w:rPr>
          <w:rFonts w:ascii="Arial" w:hAnsi="Arial" w:cs="Arial"/>
          <w:sz w:val="22"/>
          <w:szCs w:val="22"/>
        </w:rPr>
        <w:t>(4), 267-274.</w:t>
      </w:r>
    </w:p>
    <w:p w14:paraId="4AE52FA6" w14:textId="77777777" w:rsidR="00E942B5" w:rsidRPr="00220E51" w:rsidRDefault="00E942B5" w:rsidP="00BF5105">
      <w:pPr>
        <w:spacing w:line="480" w:lineRule="auto"/>
        <w:rPr>
          <w:rFonts w:ascii="Arial" w:hAnsi="Arial" w:cs="Arial"/>
          <w:sz w:val="22"/>
          <w:szCs w:val="22"/>
        </w:rPr>
      </w:pPr>
    </w:p>
    <w:p w14:paraId="5561D157" w14:textId="77777777" w:rsidR="006C0540" w:rsidRDefault="006C0540" w:rsidP="00BF5105">
      <w:pPr>
        <w:spacing w:line="480" w:lineRule="auto"/>
        <w:rPr>
          <w:rFonts w:ascii="Arial" w:hAnsi="Arial" w:cs="Arial"/>
          <w:sz w:val="22"/>
          <w:szCs w:val="22"/>
        </w:rPr>
      </w:pPr>
      <w:r w:rsidRPr="00220E51">
        <w:rPr>
          <w:rFonts w:ascii="Arial" w:hAnsi="Arial" w:cs="Arial"/>
          <w:sz w:val="22"/>
          <w:szCs w:val="22"/>
        </w:rPr>
        <w:t xml:space="preserve">McMain, S., Newman, M. G., Segal, Z. V., &amp; DeRubeis, R. J. (2015). Cognitive behavioral therapy: Current status and future research directions. </w:t>
      </w:r>
      <w:r w:rsidRPr="00220E51">
        <w:rPr>
          <w:rFonts w:ascii="Arial" w:hAnsi="Arial" w:cs="Arial"/>
          <w:i/>
          <w:sz w:val="22"/>
          <w:szCs w:val="22"/>
        </w:rPr>
        <w:t>Psychotherapy Research, 25</w:t>
      </w:r>
      <w:r w:rsidRPr="00220E51">
        <w:rPr>
          <w:rFonts w:ascii="Arial" w:hAnsi="Arial" w:cs="Arial"/>
          <w:sz w:val="22"/>
          <w:szCs w:val="22"/>
        </w:rPr>
        <w:t>(3), 321-329.</w:t>
      </w:r>
    </w:p>
    <w:p w14:paraId="24A8CEDF" w14:textId="77777777" w:rsidR="006C0540" w:rsidRPr="00220E51" w:rsidRDefault="006C0540" w:rsidP="00BF5105">
      <w:pPr>
        <w:spacing w:line="480" w:lineRule="auto"/>
        <w:rPr>
          <w:rFonts w:ascii="Arial" w:hAnsi="Arial" w:cs="Arial"/>
          <w:sz w:val="22"/>
          <w:szCs w:val="22"/>
        </w:rPr>
      </w:pPr>
    </w:p>
    <w:p w14:paraId="7B1519CC" w14:textId="72624AD9" w:rsidR="002517C3" w:rsidRPr="00220E51" w:rsidRDefault="002517C3" w:rsidP="00BF5105">
      <w:pPr>
        <w:spacing w:line="480" w:lineRule="auto"/>
        <w:rPr>
          <w:rFonts w:ascii="Arial" w:hAnsi="Arial" w:cs="Arial"/>
          <w:sz w:val="22"/>
          <w:szCs w:val="22"/>
        </w:rPr>
      </w:pPr>
      <w:r w:rsidRPr="00220E51">
        <w:rPr>
          <w:rFonts w:ascii="Arial" w:hAnsi="Arial" w:cs="Arial"/>
          <w:sz w:val="22"/>
          <w:szCs w:val="22"/>
        </w:rPr>
        <w:t xml:space="preserve">Morley, S., Williams, A., &amp; Eccleston, C. (2013). Examining the evidence about psychological treatments for chronic pain: Time for a paradigm shift? </w:t>
      </w:r>
      <w:r w:rsidRPr="00220E51">
        <w:rPr>
          <w:rFonts w:ascii="Arial" w:hAnsi="Arial" w:cs="Arial"/>
          <w:i/>
          <w:sz w:val="22"/>
          <w:szCs w:val="22"/>
        </w:rPr>
        <w:t>Pain, 154</w:t>
      </w:r>
      <w:r w:rsidRPr="00220E51">
        <w:rPr>
          <w:rFonts w:ascii="Arial" w:hAnsi="Arial" w:cs="Arial"/>
          <w:sz w:val="22"/>
          <w:szCs w:val="22"/>
        </w:rPr>
        <w:t xml:space="preserve">(10), 1929-1931. </w:t>
      </w:r>
    </w:p>
    <w:p w14:paraId="738BB0AD" w14:textId="77777777" w:rsidR="00E72411" w:rsidRDefault="00E72411" w:rsidP="00BF5105">
      <w:pPr>
        <w:spacing w:line="480" w:lineRule="auto"/>
        <w:rPr>
          <w:rFonts w:ascii="Arial" w:hAnsi="Arial" w:cs="Arial"/>
          <w:sz w:val="22"/>
          <w:szCs w:val="22"/>
        </w:rPr>
      </w:pPr>
    </w:p>
    <w:p w14:paraId="5105C991" w14:textId="77777777" w:rsidR="00CC28EB" w:rsidRPr="00CC28EB" w:rsidRDefault="00CC28EB" w:rsidP="00BF5105">
      <w:pPr>
        <w:spacing w:line="480" w:lineRule="auto"/>
        <w:rPr>
          <w:rFonts w:ascii="Arial" w:hAnsi="Arial" w:cs="Arial"/>
          <w:sz w:val="22"/>
          <w:szCs w:val="22"/>
        </w:rPr>
      </w:pPr>
      <w:r w:rsidRPr="00CC28EB">
        <w:rPr>
          <w:rFonts w:ascii="Arial" w:hAnsi="Arial" w:cs="Arial"/>
          <w:sz w:val="22"/>
          <w:szCs w:val="22"/>
        </w:rPr>
        <w:t>Okpokoro, U., Adams, C. E., &amp; Sampson, S. (2014). Family intervention (brief) for schizophrenia.</w:t>
      </w:r>
      <w:r w:rsidRPr="00CC28EB">
        <w:rPr>
          <w:rFonts w:ascii="Arial" w:hAnsi="Arial" w:cs="Arial"/>
          <w:i/>
          <w:sz w:val="22"/>
          <w:szCs w:val="22"/>
        </w:rPr>
        <w:t xml:space="preserve"> Cochrane Database Systematic Reviews, 3</w:t>
      </w:r>
      <w:r w:rsidRPr="00CC28EB">
        <w:rPr>
          <w:rFonts w:ascii="Arial" w:hAnsi="Arial" w:cs="Arial"/>
          <w:sz w:val="22"/>
          <w:szCs w:val="22"/>
        </w:rPr>
        <w:t>.</w:t>
      </w:r>
    </w:p>
    <w:p w14:paraId="6612AF18" w14:textId="77777777" w:rsidR="00CC28EB" w:rsidRPr="00220E51" w:rsidRDefault="00CC28EB" w:rsidP="00BF5105">
      <w:pPr>
        <w:spacing w:line="480" w:lineRule="auto"/>
        <w:rPr>
          <w:rFonts w:ascii="Arial" w:hAnsi="Arial" w:cs="Arial"/>
          <w:sz w:val="22"/>
          <w:szCs w:val="22"/>
        </w:rPr>
      </w:pPr>
    </w:p>
    <w:p w14:paraId="75D40960" w14:textId="77777777" w:rsidR="002517C3" w:rsidRPr="00220E51" w:rsidRDefault="002517C3" w:rsidP="00BF5105">
      <w:pPr>
        <w:spacing w:line="480" w:lineRule="auto"/>
        <w:rPr>
          <w:rFonts w:ascii="Arial" w:hAnsi="Arial" w:cs="Arial"/>
          <w:sz w:val="22"/>
          <w:szCs w:val="22"/>
        </w:rPr>
      </w:pPr>
      <w:r w:rsidRPr="00220E51">
        <w:rPr>
          <w:rFonts w:ascii="Arial" w:hAnsi="Arial" w:cs="Arial"/>
          <w:sz w:val="22"/>
          <w:szCs w:val="22"/>
        </w:rPr>
        <w:t xml:space="preserve">Veehof, M. M., Oskam, M. J., Schreurs, K. M., &amp; Bohlmeijer, E. T. (2011). Acceptance-based interventions for the treatment of chronic pain: a systematic review and meta-analysis. </w:t>
      </w:r>
      <w:r w:rsidRPr="00220E51">
        <w:rPr>
          <w:rFonts w:ascii="Arial" w:hAnsi="Arial" w:cs="Arial"/>
          <w:i/>
          <w:sz w:val="22"/>
          <w:szCs w:val="22"/>
        </w:rPr>
        <w:t>Pain, 152</w:t>
      </w:r>
      <w:r w:rsidRPr="00220E51">
        <w:rPr>
          <w:rFonts w:ascii="Arial" w:hAnsi="Arial" w:cs="Arial"/>
          <w:sz w:val="22"/>
          <w:szCs w:val="22"/>
        </w:rPr>
        <w:t>(3), 533-542.</w:t>
      </w:r>
    </w:p>
    <w:p w14:paraId="6278AA06" w14:textId="77777777" w:rsidR="00F86DA7" w:rsidRPr="00220E51" w:rsidRDefault="00F86DA7" w:rsidP="00BF5105">
      <w:pPr>
        <w:spacing w:line="480" w:lineRule="auto"/>
        <w:rPr>
          <w:rFonts w:ascii="Arial" w:hAnsi="Arial" w:cs="Arial"/>
          <w:sz w:val="22"/>
          <w:szCs w:val="22"/>
        </w:rPr>
      </w:pPr>
    </w:p>
    <w:p w14:paraId="4A1F95A6" w14:textId="77777777" w:rsidR="002A0341" w:rsidRPr="00220E51" w:rsidRDefault="002A0341" w:rsidP="00BF5105">
      <w:pPr>
        <w:spacing w:line="480" w:lineRule="auto"/>
        <w:rPr>
          <w:rFonts w:ascii="Arial" w:hAnsi="Arial" w:cs="Arial"/>
          <w:sz w:val="22"/>
          <w:szCs w:val="22"/>
        </w:rPr>
      </w:pPr>
      <w:r w:rsidRPr="00220E51">
        <w:rPr>
          <w:rFonts w:ascii="Arial" w:hAnsi="Arial" w:cs="Arial"/>
          <w:sz w:val="22"/>
          <w:szCs w:val="22"/>
        </w:rPr>
        <w:lastRenderedPageBreak/>
        <w:t xml:space="preserve">Vittinghoff, E., &amp; McCulloch, C. E. (2007). Relaxing the rule of ten events per variable in logistic and Cox regression. </w:t>
      </w:r>
      <w:r w:rsidRPr="00220E51">
        <w:rPr>
          <w:rFonts w:ascii="Arial" w:hAnsi="Arial" w:cs="Arial"/>
          <w:i/>
          <w:sz w:val="22"/>
          <w:szCs w:val="22"/>
        </w:rPr>
        <w:t>American journal of epidemiology, 165</w:t>
      </w:r>
      <w:r w:rsidRPr="00220E51">
        <w:rPr>
          <w:rFonts w:ascii="Arial" w:hAnsi="Arial" w:cs="Arial"/>
          <w:sz w:val="22"/>
          <w:szCs w:val="22"/>
        </w:rPr>
        <w:t>(6), 710-718.</w:t>
      </w:r>
    </w:p>
    <w:p w14:paraId="38BCE99B" w14:textId="77777777" w:rsidR="002A0341" w:rsidRPr="00220E51" w:rsidRDefault="002A0341" w:rsidP="00BF5105">
      <w:pPr>
        <w:spacing w:line="480" w:lineRule="auto"/>
        <w:rPr>
          <w:rFonts w:ascii="Arial" w:hAnsi="Arial" w:cs="Arial"/>
          <w:i/>
          <w:sz w:val="22"/>
          <w:szCs w:val="22"/>
        </w:rPr>
      </w:pPr>
    </w:p>
    <w:p w14:paraId="425AB327" w14:textId="77777777" w:rsidR="00E72411" w:rsidRPr="00220E51" w:rsidRDefault="00E72411" w:rsidP="00BF5105">
      <w:pPr>
        <w:spacing w:line="480" w:lineRule="auto"/>
        <w:rPr>
          <w:rFonts w:ascii="Arial" w:hAnsi="Arial" w:cs="Arial"/>
          <w:sz w:val="22"/>
          <w:szCs w:val="22"/>
        </w:rPr>
      </w:pPr>
      <w:r w:rsidRPr="00220E51">
        <w:rPr>
          <w:rFonts w:ascii="Arial" w:hAnsi="Arial" w:cs="Arial"/>
          <w:sz w:val="22"/>
          <w:szCs w:val="22"/>
        </w:rPr>
        <w:t xml:space="preserve">Vowles, K. E., &amp; McCracken, L. M. (2008). Acceptance and values-based action in chronic pain: a study of treatment effectiveness and process. </w:t>
      </w:r>
      <w:r w:rsidRPr="00220E51">
        <w:rPr>
          <w:rFonts w:ascii="Arial" w:hAnsi="Arial" w:cs="Arial"/>
          <w:i/>
          <w:sz w:val="22"/>
          <w:szCs w:val="22"/>
        </w:rPr>
        <w:t>Journal of consulting and clinical psychology, 76</w:t>
      </w:r>
      <w:r w:rsidRPr="00220E51">
        <w:rPr>
          <w:rFonts w:ascii="Arial" w:hAnsi="Arial" w:cs="Arial"/>
          <w:sz w:val="22"/>
          <w:szCs w:val="22"/>
        </w:rPr>
        <w:t>(3), 397.</w:t>
      </w:r>
    </w:p>
    <w:p w14:paraId="2C97C2D3" w14:textId="77777777" w:rsidR="00E72411" w:rsidRPr="00220E51" w:rsidRDefault="00E72411" w:rsidP="00BF5105">
      <w:pPr>
        <w:spacing w:line="480" w:lineRule="auto"/>
        <w:rPr>
          <w:rFonts w:ascii="Arial" w:hAnsi="Arial" w:cs="Arial"/>
          <w:i/>
          <w:sz w:val="22"/>
          <w:szCs w:val="22"/>
        </w:rPr>
      </w:pPr>
    </w:p>
    <w:p w14:paraId="5519E275" w14:textId="77777777" w:rsidR="00F86DA7" w:rsidRPr="00220E51" w:rsidRDefault="00402C97" w:rsidP="00BF5105">
      <w:pPr>
        <w:spacing w:line="480" w:lineRule="auto"/>
        <w:rPr>
          <w:rFonts w:ascii="Arial" w:hAnsi="Arial" w:cs="Arial"/>
          <w:sz w:val="22"/>
          <w:szCs w:val="22"/>
        </w:rPr>
      </w:pPr>
      <w:r w:rsidRPr="00220E51">
        <w:rPr>
          <w:rFonts w:ascii="Arial" w:hAnsi="Arial" w:cs="Arial"/>
          <w:sz w:val="22"/>
          <w:szCs w:val="22"/>
        </w:rPr>
        <w:t>Williams, J. M. G., Crane, C., Barnhofer, T., Brennan, K., Duggan, D. S., Fennell, M. J., ... &amp; Russell, I. T. (2014). Mindfulness-based cognitive therapy for preventing relapse in recurrent depression: a randomized dismantling trial.</w:t>
      </w:r>
      <w:r w:rsidRPr="00220E51">
        <w:rPr>
          <w:rFonts w:ascii="Arial" w:hAnsi="Arial" w:cs="Arial"/>
          <w:i/>
          <w:sz w:val="22"/>
          <w:szCs w:val="22"/>
        </w:rPr>
        <w:t xml:space="preserve"> Journal of consulting and clinical psychology, 82</w:t>
      </w:r>
      <w:r w:rsidRPr="00220E51">
        <w:rPr>
          <w:rFonts w:ascii="Arial" w:hAnsi="Arial" w:cs="Arial"/>
          <w:sz w:val="22"/>
          <w:szCs w:val="22"/>
        </w:rPr>
        <w:t>(2), 275.</w:t>
      </w:r>
    </w:p>
    <w:p w14:paraId="5D11791F" w14:textId="77777777" w:rsidR="00F86DA7" w:rsidRPr="00220E51" w:rsidRDefault="00F86DA7" w:rsidP="00BF5105">
      <w:pPr>
        <w:spacing w:line="480" w:lineRule="auto"/>
        <w:rPr>
          <w:rFonts w:ascii="Arial" w:hAnsi="Arial" w:cs="Arial"/>
          <w:i/>
          <w:sz w:val="22"/>
          <w:szCs w:val="22"/>
        </w:rPr>
      </w:pPr>
    </w:p>
    <w:p w14:paraId="02607335" w14:textId="77777777" w:rsidR="00330594" w:rsidRPr="00220E51" w:rsidRDefault="00330594" w:rsidP="00BF5105">
      <w:pPr>
        <w:spacing w:line="480" w:lineRule="auto"/>
        <w:rPr>
          <w:rFonts w:ascii="Arial" w:hAnsi="Arial" w:cs="Arial"/>
          <w:sz w:val="22"/>
          <w:szCs w:val="22"/>
        </w:rPr>
      </w:pPr>
    </w:p>
    <w:p w14:paraId="49305CAB" w14:textId="77777777" w:rsidR="00330594" w:rsidRPr="00220E51" w:rsidRDefault="00330594" w:rsidP="00BF5105">
      <w:pPr>
        <w:spacing w:line="480" w:lineRule="auto"/>
        <w:rPr>
          <w:rFonts w:ascii="Arial" w:hAnsi="Arial" w:cs="Arial"/>
          <w:sz w:val="22"/>
          <w:szCs w:val="22"/>
        </w:rPr>
      </w:pPr>
    </w:p>
    <w:p w14:paraId="5F5FF09A" w14:textId="77777777" w:rsidR="00330594" w:rsidRPr="00220E51" w:rsidRDefault="00330594" w:rsidP="00BF5105">
      <w:pPr>
        <w:spacing w:line="480" w:lineRule="auto"/>
        <w:rPr>
          <w:rFonts w:ascii="Arial" w:hAnsi="Arial" w:cs="Arial"/>
          <w:sz w:val="22"/>
          <w:szCs w:val="22"/>
        </w:rPr>
      </w:pPr>
    </w:p>
    <w:p w14:paraId="7E9E24AD" w14:textId="77777777" w:rsidR="00330594" w:rsidRPr="00220E51" w:rsidRDefault="00330594" w:rsidP="00BF5105">
      <w:pPr>
        <w:spacing w:line="480" w:lineRule="auto"/>
        <w:rPr>
          <w:rFonts w:ascii="Arial" w:hAnsi="Arial" w:cs="Arial"/>
          <w:sz w:val="22"/>
          <w:szCs w:val="22"/>
        </w:rPr>
      </w:pPr>
    </w:p>
    <w:p w14:paraId="13F1EDCC" w14:textId="77777777" w:rsidR="00330594" w:rsidRPr="00220E51" w:rsidRDefault="00330594" w:rsidP="00BF5105">
      <w:pPr>
        <w:spacing w:line="480" w:lineRule="auto"/>
        <w:rPr>
          <w:rFonts w:ascii="Arial" w:hAnsi="Arial" w:cs="Arial"/>
          <w:sz w:val="22"/>
          <w:szCs w:val="22"/>
        </w:rPr>
      </w:pPr>
    </w:p>
    <w:p w14:paraId="433C62C8" w14:textId="77777777" w:rsidR="00330594" w:rsidRPr="00220E51" w:rsidRDefault="00330594" w:rsidP="00BF5105">
      <w:pPr>
        <w:spacing w:line="480" w:lineRule="auto"/>
        <w:rPr>
          <w:rFonts w:ascii="Arial" w:hAnsi="Arial" w:cs="Arial"/>
          <w:sz w:val="22"/>
          <w:szCs w:val="22"/>
        </w:rPr>
      </w:pPr>
    </w:p>
    <w:p w14:paraId="1697CBFC" w14:textId="6D658DAE" w:rsidR="00F86DA7" w:rsidRPr="00220E51" w:rsidRDefault="00F86DA7" w:rsidP="00BF5105">
      <w:pPr>
        <w:spacing w:line="480" w:lineRule="auto"/>
        <w:rPr>
          <w:rFonts w:ascii="Arial" w:hAnsi="Arial" w:cs="Arial"/>
          <w:sz w:val="22"/>
          <w:szCs w:val="22"/>
        </w:rPr>
      </w:pPr>
    </w:p>
    <w:sectPr w:rsidR="00F86DA7" w:rsidRPr="00220E51" w:rsidSect="00FF3B2F">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4D93B" w14:textId="77777777" w:rsidR="0068243F" w:rsidRDefault="0068243F" w:rsidP="002F37CF">
      <w:r>
        <w:separator/>
      </w:r>
    </w:p>
  </w:endnote>
  <w:endnote w:type="continuationSeparator" w:id="0">
    <w:p w14:paraId="2F0E5A63" w14:textId="77777777" w:rsidR="0068243F" w:rsidRDefault="0068243F" w:rsidP="002F3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Noteworthy Light">
    <w:altName w:val="Arial Unicode MS"/>
    <w:charset w:val="00"/>
    <w:family w:val="auto"/>
    <w:pitch w:val="variable"/>
    <w:sig w:usb0="00000001" w:usb1="08000048" w:usb2="14600000" w:usb3="00000000" w:csb0="0000011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FE1B2" w14:textId="77777777" w:rsidR="0068243F" w:rsidRDefault="0068243F" w:rsidP="002F37CF">
      <w:r>
        <w:separator/>
      </w:r>
    </w:p>
  </w:footnote>
  <w:footnote w:type="continuationSeparator" w:id="0">
    <w:p w14:paraId="5A773C4C" w14:textId="77777777" w:rsidR="0068243F" w:rsidRDefault="0068243F" w:rsidP="002F37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97250"/>
    <w:multiLevelType w:val="hybridMultilevel"/>
    <w:tmpl w:val="A6B60196"/>
    <w:lvl w:ilvl="0" w:tplc="812854B8">
      <w:numFmt w:val="bullet"/>
      <w:lvlText w:val=""/>
      <w:lvlJc w:val="left"/>
      <w:pPr>
        <w:ind w:left="1287" w:hanging="360"/>
      </w:pPr>
      <w:rPr>
        <w:rFonts w:ascii="Symbol" w:eastAsiaTheme="minorEastAsia" w:hAnsi="Symbo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2BF64C5"/>
    <w:multiLevelType w:val="hybridMultilevel"/>
    <w:tmpl w:val="1996D5EC"/>
    <w:lvl w:ilvl="0" w:tplc="4C0024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98B292A"/>
    <w:multiLevelType w:val="hybridMultilevel"/>
    <w:tmpl w:val="B622B9AC"/>
    <w:lvl w:ilvl="0" w:tplc="E946CFC0">
      <w:start w:val="2"/>
      <w:numFmt w:val="bullet"/>
      <w:lvlText w:val=""/>
      <w:lvlJc w:val="left"/>
      <w:pPr>
        <w:ind w:left="927" w:hanging="360"/>
      </w:pPr>
      <w:rPr>
        <w:rFonts w:ascii="Symbol" w:eastAsiaTheme="minorEastAsia" w:hAnsi="Symbol" w:cstheme="minorBidi"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B8609B3"/>
    <w:multiLevelType w:val="hybridMultilevel"/>
    <w:tmpl w:val="8312C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D92CE7"/>
    <w:multiLevelType w:val="hybridMultilevel"/>
    <w:tmpl w:val="C7047758"/>
    <w:lvl w:ilvl="0" w:tplc="0809000F">
      <w:start w:val="1"/>
      <w:numFmt w:val="decimal"/>
      <w:lvlText w:val="%1."/>
      <w:lvlJc w:val="left"/>
      <w:pPr>
        <w:ind w:left="420" w:hanging="360"/>
      </w:pPr>
      <w:rPr>
        <w:rFonts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4B6A5F94"/>
    <w:multiLevelType w:val="hybridMultilevel"/>
    <w:tmpl w:val="D61C9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8F3784"/>
    <w:multiLevelType w:val="hybridMultilevel"/>
    <w:tmpl w:val="3178449E"/>
    <w:lvl w:ilvl="0" w:tplc="F2AC37CE">
      <w:numFmt w:val="bullet"/>
      <w:lvlText w:val=""/>
      <w:lvlJc w:val="left"/>
      <w:pPr>
        <w:ind w:left="1287" w:hanging="360"/>
      </w:pPr>
      <w:rPr>
        <w:rFonts w:ascii="Symbol" w:eastAsiaTheme="minorEastAsia" w:hAnsi="Symbo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51F565F8"/>
    <w:multiLevelType w:val="hybridMultilevel"/>
    <w:tmpl w:val="89EEFA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7B3406"/>
    <w:multiLevelType w:val="hybridMultilevel"/>
    <w:tmpl w:val="BDD64D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7D7132E"/>
    <w:multiLevelType w:val="hybridMultilevel"/>
    <w:tmpl w:val="1BCE3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0B2185"/>
    <w:multiLevelType w:val="hybridMultilevel"/>
    <w:tmpl w:val="FB1CEA9C"/>
    <w:lvl w:ilvl="0" w:tplc="0A9C4E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7448B1"/>
    <w:multiLevelType w:val="hybridMultilevel"/>
    <w:tmpl w:val="704C79F0"/>
    <w:lvl w:ilvl="0" w:tplc="2DEAF5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0A40E5B"/>
    <w:multiLevelType w:val="hybridMultilevel"/>
    <w:tmpl w:val="554C9B5E"/>
    <w:lvl w:ilvl="0" w:tplc="FED6E73A">
      <w:numFmt w:val="bullet"/>
      <w:lvlText w:val="-"/>
      <w:lvlJc w:val="left"/>
      <w:pPr>
        <w:ind w:left="420" w:hanging="360"/>
      </w:pPr>
      <w:rPr>
        <w:rFonts w:ascii="Cambria" w:eastAsiaTheme="minorEastAsia" w:hAnsi="Cambria"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3"/>
  </w:num>
  <w:num w:numId="2">
    <w:abstractNumId w:val="10"/>
  </w:num>
  <w:num w:numId="3">
    <w:abstractNumId w:val="2"/>
  </w:num>
  <w:num w:numId="4">
    <w:abstractNumId w:val="7"/>
  </w:num>
  <w:num w:numId="5">
    <w:abstractNumId w:val="11"/>
  </w:num>
  <w:num w:numId="6">
    <w:abstractNumId w:val="1"/>
  </w:num>
  <w:num w:numId="7">
    <w:abstractNumId w:val="12"/>
  </w:num>
  <w:num w:numId="8">
    <w:abstractNumId w:val="5"/>
  </w:num>
  <w:num w:numId="9">
    <w:abstractNumId w:val="9"/>
  </w:num>
  <w:num w:numId="10">
    <w:abstractNumId w:val="4"/>
  </w:num>
  <w:num w:numId="11">
    <w:abstractNumId w:val="0"/>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D68"/>
    <w:rsid w:val="00005601"/>
    <w:rsid w:val="00006C9B"/>
    <w:rsid w:val="00021E6B"/>
    <w:rsid w:val="00025C1A"/>
    <w:rsid w:val="00034238"/>
    <w:rsid w:val="00043AAC"/>
    <w:rsid w:val="000462B2"/>
    <w:rsid w:val="00063A17"/>
    <w:rsid w:val="00077010"/>
    <w:rsid w:val="00077DAD"/>
    <w:rsid w:val="0008029C"/>
    <w:rsid w:val="000845AD"/>
    <w:rsid w:val="000B0D51"/>
    <w:rsid w:val="000B498E"/>
    <w:rsid w:val="000B5001"/>
    <w:rsid w:val="000C4CF3"/>
    <w:rsid w:val="000C4D5C"/>
    <w:rsid w:val="000C7514"/>
    <w:rsid w:val="0010370E"/>
    <w:rsid w:val="00104520"/>
    <w:rsid w:val="001045AB"/>
    <w:rsid w:val="00112307"/>
    <w:rsid w:val="0012283A"/>
    <w:rsid w:val="0013717C"/>
    <w:rsid w:val="00157F02"/>
    <w:rsid w:val="00166327"/>
    <w:rsid w:val="0016679C"/>
    <w:rsid w:val="00177E79"/>
    <w:rsid w:val="001D5EF0"/>
    <w:rsid w:val="00204116"/>
    <w:rsid w:val="0021126D"/>
    <w:rsid w:val="002179E7"/>
    <w:rsid w:val="00220E51"/>
    <w:rsid w:val="00227646"/>
    <w:rsid w:val="00242399"/>
    <w:rsid w:val="00244EFF"/>
    <w:rsid w:val="002517C3"/>
    <w:rsid w:val="00263150"/>
    <w:rsid w:val="00276451"/>
    <w:rsid w:val="00294976"/>
    <w:rsid w:val="002A0341"/>
    <w:rsid w:val="002A31F6"/>
    <w:rsid w:val="002B180C"/>
    <w:rsid w:val="002B69A4"/>
    <w:rsid w:val="002C71F7"/>
    <w:rsid w:val="002D5BAB"/>
    <w:rsid w:val="002E5742"/>
    <w:rsid w:val="002F37CF"/>
    <w:rsid w:val="002F3B23"/>
    <w:rsid w:val="002F70D1"/>
    <w:rsid w:val="00304501"/>
    <w:rsid w:val="00327BC0"/>
    <w:rsid w:val="00330594"/>
    <w:rsid w:val="0033221F"/>
    <w:rsid w:val="00333219"/>
    <w:rsid w:val="00344D9C"/>
    <w:rsid w:val="00347003"/>
    <w:rsid w:val="00347B4B"/>
    <w:rsid w:val="00350FEF"/>
    <w:rsid w:val="00353859"/>
    <w:rsid w:val="00363021"/>
    <w:rsid w:val="003632F7"/>
    <w:rsid w:val="00377706"/>
    <w:rsid w:val="00381DFE"/>
    <w:rsid w:val="00392D78"/>
    <w:rsid w:val="003A4E48"/>
    <w:rsid w:val="003A6F0F"/>
    <w:rsid w:val="003C04D0"/>
    <w:rsid w:val="003C2ABC"/>
    <w:rsid w:val="003C56CF"/>
    <w:rsid w:val="003C7918"/>
    <w:rsid w:val="00402C97"/>
    <w:rsid w:val="00404778"/>
    <w:rsid w:val="00420914"/>
    <w:rsid w:val="004223A3"/>
    <w:rsid w:val="00432F3D"/>
    <w:rsid w:val="00443F60"/>
    <w:rsid w:val="00446A35"/>
    <w:rsid w:val="00452166"/>
    <w:rsid w:val="00453CFC"/>
    <w:rsid w:val="00453D68"/>
    <w:rsid w:val="004670FF"/>
    <w:rsid w:val="00490ED3"/>
    <w:rsid w:val="004927EE"/>
    <w:rsid w:val="00494995"/>
    <w:rsid w:val="004A28C9"/>
    <w:rsid w:val="004A638E"/>
    <w:rsid w:val="004A7284"/>
    <w:rsid w:val="004D1794"/>
    <w:rsid w:val="004D5E41"/>
    <w:rsid w:val="004F3595"/>
    <w:rsid w:val="004F5D73"/>
    <w:rsid w:val="00504738"/>
    <w:rsid w:val="005133AF"/>
    <w:rsid w:val="0051790C"/>
    <w:rsid w:val="00523BC7"/>
    <w:rsid w:val="00536B64"/>
    <w:rsid w:val="005551ED"/>
    <w:rsid w:val="00557C7F"/>
    <w:rsid w:val="0056341C"/>
    <w:rsid w:val="00575C41"/>
    <w:rsid w:val="005823FB"/>
    <w:rsid w:val="005918A1"/>
    <w:rsid w:val="00594987"/>
    <w:rsid w:val="005B193A"/>
    <w:rsid w:val="005C7CF7"/>
    <w:rsid w:val="005D01A0"/>
    <w:rsid w:val="005E0685"/>
    <w:rsid w:val="005E2D89"/>
    <w:rsid w:val="005E60B7"/>
    <w:rsid w:val="005E6844"/>
    <w:rsid w:val="005F1437"/>
    <w:rsid w:val="005F1598"/>
    <w:rsid w:val="005F4C9F"/>
    <w:rsid w:val="00610B37"/>
    <w:rsid w:val="006131A2"/>
    <w:rsid w:val="006345D7"/>
    <w:rsid w:val="00635124"/>
    <w:rsid w:val="00635CAE"/>
    <w:rsid w:val="00636B06"/>
    <w:rsid w:val="006432E1"/>
    <w:rsid w:val="006652DD"/>
    <w:rsid w:val="00666A8C"/>
    <w:rsid w:val="00676286"/>
    <w:rsid w:val="0068243F"/>
    <w:rsid w:val="00682910"/>
    <w:rsid w:val="00685218"/>
    <w:rsid w:val="0068677F"/>
    <w:rsid w:val="00686A4E"/>
    <w:rsid w:val="00687AE6"/>
    <w:rsid w:val="00690A34"/>
    <w:rsid w:val="006C0540"/>
    <w:rsid w:val="006C1989"/>
    <w:rsid w:val="006D0EEF"/>
    <w:rsid w:val="006D125D"/>
    <w:rsid w:val="006D4F32"/>
    <w:rsid w:val="006F12DA"/>
    <w:rsid w:val="007028C4"/>
    <w:rsid w:val="00702B08"/>
    <w:rsid w:val="007051B1"/>
    <w:rsid w:val="00710650"/>
    <w:rsid w:val="00720346"/>
    <w:rsid w:val="007266CD"/>
    <w:rsid w:val="007268C2"/>
    <w:rsid w:val="007334B4"/>
    <w:rsid w:val="0074528E"/>
    <w:rsid w:val="00745C99"/>
    <w:rsid w:val="00766B4F"/>
    <w:rsid w:val="00773502"/>
    <w:rsid w:val="00785D9A"/>
    <w:rsid w:val="007971A4"/>
    <w:rsid w:val="007A10B0"/>
    <w:rsid w:val="007A51E5"/>
    <w:rsid w:val="007B0C5D"/>
    <w:rsid w:val="007B0F84"/>
    <w:rsid w:val="007C039D"/>
    <w:rsid w:val="007C386B"/>
    <w:rsid w:val="007D1182"/>
    <w:rsid w:val="007E07EF"/>
    <w:rsid w:val="007E3247"/>
    <w:rsid w:val="007E5E2B"/>
    <w:rsid w:val="007F3024"/>
    <w:rsid w:val="007F4815"/>
    <w:rsid w:val="007F76B1"/>
    <w:rsid w:val="00813F50"/>
    <w:rsid w:val="00815315"/>
    <w:rsid w:val="0083021C"/>
    <w:rsid w:val="00836947"/>
    <w:rsid w:val="00850DEE"/>
    <w:rsid w:val="00875B7E"/>
    <w:rsid w:val="00880A17"/>
    <w:rsid w:val="00885F71"/>
    <w:rsid w:val="00894267"/>
    <w:rsid w:val="008B46B2"/>
    <w:rsid w:val="008C0702"/>
    <w:rsid w:val="008C1AD4"/>
    <w:rsid w:val="008F6D1C"/>
    <w:rsid w:val="00920B80"/>
    <w:rsid w:val="009401B5"/>
    <w:rsid w:val="00952C59"/>
    <w:rsid w:val="009537BA"/>
    <w:rsid w:val="00953FB6"/>
    <w:rsid w:val="00955A60"/>
    <w:rsid w:val="0095728A"/>
    <w:rsid w:val="0096683A"/>
    <w:rsid w:val="009673D6"/>
    <w:rsid w:val="00994127"/>
    <w:rsid w:val="009A4FEF"/>
    <w:rsid w:val="009A7FFA"/>
    <w:rsid w:val="009C0AEF"/>
    <w:rsid w:val="009C22C3"/>
    <w:rsid w:val="009C7FDF"/>
    <w:rsid w:val="009D5ECF"/>
    <w:rsid w:val="009E13E2"/>
    <w:rsid w:val="009E18D8"/>
    <w:rsid w:val="009F5ACE"/>
    <w:rsid w:val="00A00FA1"/>
    <w:rsid w:val="00A17F3B"/>
    <w:rsid w:val="00A301E1"/>
    <w:rsid w:val="00A35B18"/>
    <w:rsid w:val="00A45862"/>
    <w:rsid w:val="00AA1C70"/>
    <w:rsid w:val="00AD14DD"/>
    <w:rsid w:val="00AD5789"/>
    <w:rsid w:val="00AD6649"/>
    <w:rsid w:val="00B0425B"/>
    <w:rsid w:val="00B20C79"/>
    <w:rsid w:val="00B32E4C"/>
    <w:rsid w:val="00B46C6E"/>
    <w:rsid w:val="00B7158D"/>
    <w:rsid w:val="00B919B5"/>
    <w:rsid w:val="00BA1EBB"/>
    <w:rsid w:val="00BA214D"/>
    <w:rsid w:val="00BB13F2"/>
    <w:rsid w:val="00BC24FF"/>
    <w:rsid w:val="00BD3B20"/>
    <w:rsid w:val="00BF5105"/>
    <w:rsid w:val="00BF7747"/>
    <w:rsid w:val="00C14159"/>
    <w:rsid w:val="00C237A4"/>
    <w:rsid w:val="00C30683"/>
    <w:rsid w:val="00C33EAA"/>
    <w:rsid w:val="00C35DA7"/>
    <w:rsid w:val="00C360E2"/>
    <w:rsid w:val="00C4235D"/>
    <w:rsid w:val="00C45803"/>
    <w:rsid w:val="00C4721A"/>
    <w:rsid w:val="00C6271E"/>
    <w:rsid w:val="00C6533F"/>
    <w:rsid w:val="00C73367"/>
    <w:rsid w:val="00C81F5B"/>
    <w:rsid w:val="00C824A6"/>
    <w:rsid w:val="00C82945"/>
    <w:rsid w:val="00C844EE"/>
    <w:rsid w:val="00C93940"/>
    <w:rsid w:val="00CA3C36"/>
    <w:rsid w:val="00CB300A"/>
    <w:rsid w:val="00CB3D5D"/>
    <w:rsid w:val="00CC28EB"/>
    <w:rsid w:val="00CC79C3"/>
    <w:rsid w:val="00CD08B1"/>
    <w:rsid w:val="00CD3AD2"/>
    <w:rsid w:val="00CD7992"/>
    <w:rsid w:val="00CE6F27"/>
    <w:rsid w:val="00CF65C6"/>
    <w:rsid w:val="00D054AE"/>
    <w:rsid w:val="00D065CA"/>
    <w:rsid w:val="00D142E3"/>
    <w:rsid w:val="00D17869"/>
    <w:rsid w:val="00D203F1"/>
    <w:rsid w:val="00D2733A"/>
    <w:rsid w:val="00D27843"/>
    <w:rsid w:val="00D443A6"/>
    <w:rsid w:val="00D47F34"/>
    <w:rsid w:val="00D67AA3"/>
    <w:rsid w:val="00D70E41"/>
    <w:rsid w:val="00D85CB5"/>
    <w:rsid w:val="00D86EF9"/>
    <w:rsid w:val="00D87E94"/>
    <w:rsid w:val="00D93C91"/>
    <w:rsid w:val="00D9457D"/>
    <w:rsid w:val="00DA0F39"/>
    <w:rsid w:val="00DB513D"/>
    <w:rsid w:val="00DD2ED8"/>
    <w:rsid w:val="00DD443C"/>
    <w:rsid w:val="00E105E2"/>
    <w:rsid w:val="00E14D38"/>
    <w:rsid w:val="00E160DE"/>
    <w:rsid w:val="00E2358F"/>
    <w:rsid w:val="00E267BF"/>
    <w:rsid w:val="00E34A5F"/>
    <w:rsid w:val="00E37D15"/>
    <w:rsid w:val="00E37FD6"/>
    <w:rsid w:val="00E41BB7"/>
    <w:rsid w:val="00E52004"/>
    <w:rsid w:val="00E55C86"/>
    <w:rsid w:val="00E72411"/>
    <w:rsid w:val="00E74CCC"/>
    <w:rsid w:val="00E7605C"/>
    <w:rsid w:val="00E82AF1"/>
    <w:rsid w:val="00E837AA"/>
    <w:rsid w:val="00E85195"/>
    <w:rsid w:val="00E901E0"/>
    <w:rsid w:val="00E942B5"/>
    <w:rsid w:val="00EA08BA"/>
    <w:rsid w:val="00EA1463"/>
    <w:rsid w:val="00EA2AE6"/>
    <w:rsid w:val="00EC1451"/>
    <w:rsid w:val="00EC330F"/>
    <w:rsid w:val="00EC78F0"/>
    <w:rsid w:val="00ED698C"/>
    <w:rsid w:val="00EE53D2"/>
    <w:rsid w:val="00EF4928"/>
    <w:rsid w:val="00EF6F75"/>
    <w:rsid w:val="00F13DBD"/>
    <w:rsid w:val="00F17249"/>
    <w:rsid w:val="00F175A9"/>
    <w:rsid w:val="00F4460E"/>
    <w:rsid w:val="00F46068"/>
    <w:rsid w:val="00F47CA0"/>
    <w:rsid w:val="00F5181B"/>
    <w:rsid w:val="00F648BD"/>
    <w:rsid w:val="00F740FA"/>
    <w:rsid w:val="00F84D72"/>
    <w:rsid w:val="00F86DA7"/>
    <w:rsid w:val="00F94900"/>
    <w:rsid w:val="00F94F6F"/>
    <w:rsid w:val="00F96A1A"/>
    <w:rsid w:val="00FA068A"/>
    <w:rsid w:val="00FA6C18"/>
    <w:rsid w:val="00FB3A49"/>
    <w:rsid w:val="00FC098F"/>
    <w:rsid w:val="00FC637F"/>
    <w:rsid w:val="00FE1A6D"/>
    <w:rsid w:val="00FE37B8"/>
    <w:rsid w:val="00FE7B2C"/>
    <w:rsid w:val="00FF33C3"/>
    <w:rsid w:val="00FF3B2F"/>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828E76"/>
  <w14:defaultImageDpi w14:val="300"/>
  <w15:docId w15:val="{47863E2D-5EB5-4EBA-86F2-5726CF05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D68"/>
    <w:pPr>
      <w:ind w:left="720"/>
      <w:contextualSpacing/>
    </w:pPr>
  </w:style>
  <w:style w:type="character" w:styleId="Hyperlink">
    <w:name w:val="Hyperlink"/>
    <w:basedOn w:val="DefaultParagraphFont"/>
    <w:uiPriority w:val="99"/>
    <w:unhideWhenUsed/>
    <w:rsid w:val="00453D68"/>
    <w:rPr>
      <w:color w:val="0000FF"/>
      <w:u w:val="single"/>
    </w:rPr>
  </w:style>
  <w:style w:type="paragraph" w:styleId="BalloonText">
    <w:name w:val="Balloon Text"/>
    <w:basedOn w:val="Normal"/>
    <w:link w:val="BalloonTextChar"/>
    <w:uiPriority w:val="99"/>
    <w:semiHidden/>
    <w:unhideWhenUsed/>
    <w:rsid w:val="00006C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6C9B"/>
    <w:rPr>
      <w:rFonts w:ascii="Lucida Grande" w:hAnsi="Lucida Grande" w:cs="Lucida Grande"/>
      <w:sz w:val="18"/>
      <w:szCs w:val="18"/>
      <w:lang w:val="en-GB"/>
    </w:rPr>
  </w:style>
  <w:style w:type="table" w:styleId="TableGrid">
    <w:name w:val="Table Grid"/>
    <w:basedOn w:val="TableNormal"/>
    <w:uiPriority w:val="59"/>
    <w:rsid w:val="00330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6844"/>
    <w:rPr>
      <w:sz w:val="16"/>
      <w:szCs w:val="16"/>
    </w:rPr>
  </w:style>
  <w:style w:type="paragraph" w:styleId="CommentText">
    <w:name w:val="annotation text"/>
    <w:basedOn w:val="Normal"/>
    <w:link w:val="CommentTextChar"/>
    <w:uiPriority w:val="99"/>
    <w:semiHidden/>
    <w:unhideWhenUsed/>
    <w:rsid w:val="005E6844"/>
    <w:rPr>
      <w:sz w:val="20"/>
      <w:szCs w:val="20"/>
    </w:rPr>
  </w:style>
  <w:style w:type="character" w:customStyle="1" w:styleId="CommentTextChar">
    <w:name w:val="Comment Text Char"/>
    <w:basedOn w:val="DefaultParagraphFont"/>
    <w:link w:val="CommentText"/>
    <w:uiPriority w:val="99"/>
    <w:semiHidden/>
    <w:rsid w:val="005E6844"/>
    <w:rPr>
      <w:sz w:val="20"/>
      <w:szCs w:val="20"/>
      <w:lang w:val="en-GB"/>
    </w:rPr>
  </w:style>
  <w:style w:type="paragraph" w:styleId="CommentSubject">
    <w:name w:val="annotation subject"/>
    <w:basedOn w:val="CommentText"/>
    <w:next w:val="CommentText"/>
    <w:link w:val="CommentSubjectChar"/>
    <w:uiPriority w:val="99"/>
    <w:semiHidden/>
    <w:unhideWhenUsed/>
    <w:rsid w:val="005E6844"/>
    <w:rPr>
      <w:b/>
      <w:bCs/>
    </w:rPr>
  </w:style>
  <w:style w:type="character" w:customStyle="1" w:styleId="CommentSubjectChar">
    <w:name w:val="Comment Subject Char"/>
    <w:basedOn w:val="CommentTextChar"/>
    <w:link w:val="CommentSubject"/>
    <w:uiPriority w:val="99"/>
    <w:semiHidden/>
    <w:rsid w:val="005E6844"/>
    <w:rPr>
      <w:b/>
      <w:bCs/>
      <w:sz w:val="20"/>
      <w:szCs w:val="20"/>
      <w:lang w:val="en-GB"/>
    </w:rPr>
  </w:style>
  <w:style w:type="character" w:styleId="FollowedHyperlink">
    <w:name w:val="FollowedHyperlink"/>
    <w:basedOn w:val="DefaultParagraphFont"/>
    <w:uiPriority w:val="99"/>
    <w:semiHidden/>
    <w:unhideWhenUsed/>
    <w:rsid w:val="00402C97"/>
    <w:rPr>
      <w:color w:val="800080" w:themeColor="followedHyperlink"/>
      <w:u w:val="single"/>
    </w:rPr>
  </w:style>
  <w:style w:type="paragraph" w:styleId="FootnoteText">
    <w:name w:val="footnote text"/>
    <w:basedOn w:val="Normal"/>
    <w:link w:val="FootnoteTextChar"/>
    <w:uiPriority w:val="99"/>
    <w:unhideWhenUsed/>
    <w:rsid w:val="002F37CF"/>
  </w:style>
  <w:style w:type="character" w:customStyle="1" w:styleId="FootnoteTextChar">
    <w:name w:val="Footnote Text Char"/>
    <w:basedOn w:val="DefaultParagraphFont"/>
    <w:link w:val="FootnoteText"/>
    <w:uiPriority w:val="99"/>
    <w:rsid w:val="002F37CF"/>
    <w:rPr>
      <w:lang w:val="en-GB"/>
    </w:rPr>
  </w:style>
  <w:style w:type="character" w:styleId="FootnoteReference">
    <w:name w:val="footnote reference"/>
    <w:basedOn w:val="DefaultParagraphFont"/>
    <w:uiPriority w:val="99"/>
    <w:unhideWhenUsed/>
    <w:rsid w:val="002F37CF"/>
    <w:rPr>
      <w:vertAlign w:val="superscript"/>
    </w:rPr>
  </w:style>
  <w:style w:type="paragraph" w:styleId="Header">
    <w:name w:val="header"/>
    <w:basedOn w:val="Normal"/>
    <w:link w:val="HeaderChar"/>
    <w:uiPriority w:val="99"/>
    <w:unhideWhenUsed/>
    <w:rsid w:val="00166327"/>
    <w:pPr>
      <w:tabs>
        <w:tab w:val="center" w:pos="4513"/>
        <w:tab w:val="right" w:pos="9026"/>
      </w:tabs>
    </w:pPr>
  </w:style>
  <w:style w:type="character" w:customStyle="1" w:styleId="HeaderChar">
    <w:name w:val="Header Char"/>
    <w:basedOn w:val="DefaultParagraphFont"/>
    <w:link w:val="Header"/>
    <w:uiPriority w:val="99"/>
    <w:rsid w:val="00166327"/>
    <w:rPr>
      <w:lang w:val="en-GB"/>
    </w:rPr>
  </w:style>
  <w:style w:type="paragraph" w:styleId="Footer">
    <w:name w:val="footer"/>
    <w:basedOn w:val="Normal"/>
    <w:link w:val="FooterChar"/>
    <w:uiPriority w:val="99"/>
    <w:unhideWhenUsed/>
    <w:rsid w:val="00166327"/>
    <w:pPr>
      <w:tabs>
        <w:tab w:val="center" w:pos="4513"/>
        <w:tab w:val="right" w:pos="9026"/>
      </w:tabs>
    </w:pPr>
  </w:style>
  <w:style w:type="character" w:customStyle="1" w:styleId="FooterChar">
    <w:name w:val="Footer Char"/>
    <w:basedOn w:val="DefaultParagraphFont"/>
    <w:link w:val="Footer"/>
    <w:uiPriority w:val="99"/>
    <w:rsid w:val="0016632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13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662B9-B8BE-41C7-B68F-1E5726346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DB6CBB8</Template>
  <TotalTime>1</TotalTime>
  <Pages>19</Pages>
  <Words>4680</Words>
  <Characters>26680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 Vittersø</dc:creator>
  <cp:lastModifiedBy>AV</cp:lastModifiedBy>
  <cp:revision>3</cp:revision>
  <cp:lastPrinted>2015-07-22T14:50:00Z</cp:lastPrinted>
  <dcterms:created xsi:type="dcterms:W3CDTF">2017-07-05T15:24:00Z</dcterms:created>
  <dcterms:modified xsi:type="dcterms:W3CDTF">2017-07-11T08:36:00Z</dcterms:modified>
</cp:coreProperties>
</file>