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46E7" w14:textId="61461A6F" w:rsidR="000D4807" w:rsidRPr="005847A9" w:rsidRDefault="000D4807" w:rsidP="005847A9">
      <w:pPr>
        <w:spacing w:line="360" w:lineRule="auto"/>
        <w:jc w:val="center"/>
        <w:rPr>
          <w:rFonts w:ascii="Arial" w:hAnsi="Arial" w:cs="Arial"/>
          <w:sz w:val="24"/>
          <w:szCs w:val="24"/>
        </w:rPr>
      </w:pPr>
      <w:r w:rsidRPr="005847A9">
        <w:rPr>
          <w:rFonts w:ascii="Arial" w:hAnsi="Arial" w:cs="Arial"/>
          <w:sz w:val="24"/>
          <w:szCs w:val="24"/>
        </w:rPr>
        <w:t>Abstract</w:t>
      </w:r>
    </w:p>
    <w:p w14:paraId="230F1F4B"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Background</w:t>
      </w:r>
    </w:p>
    <w:p w14:paraId="16305717"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 xml:space="preserve">PTSD is commonly experienced by asylum seekers and refugees (ASR). Evidence supports the use of CBT-based treatments, but not in group format for this population. However group-based treatments are frequently used as a first-line intervention in the UK. </w:t>
      </w:r>
    </w:p>
    <w:p w14:paraId="5789D4D6"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Aims</w:t>
      </w:r>
    </w:p>
    <w:p w14:paraId="5DB6FA85"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This study investigated the feasibility of delivering a group-based, manualised stabilisation course specifically developed for ASR. The second aim was to evaluate the use of routine outcome measures (ROMs) to capture psychological change in this population.</w:t>
      </w:r>
    </w:p>
    <w:p w14:paraId="4FB5A5EB"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Method</w:t>
      </w:r>
    </w:p>
    <w:p w14:paraId="06AB0DE7"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 xml:space="preserve">Eighty-two participants from 22 countries attended the eight-session Moving On After Trauma (MOAT) group-based stabilisation treatment. PHQ-9, GAD-7, IES-R and idiosyncratic outcomes were administered pre- and post- intervention. </w:t>
      </w:r>
    </w:p>
    <w:p w14:paraId="6B410F1D"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Results</w:t>
      </w:r>
    </w:p>
    <w:p w14:paraId="39EDAE37"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 xml:space="preserve">Seventy-one percent of participants (n=58) attended five or more of the treatment sessions. While completion rates of the ROMs were poor – measures were completed at pre- and post- intervention for 46% participants (n=38), </w:t>
      </w:r>
      <w:bookmarkStart w:id="0" w:name="_Hlk50088668"/>
      <w:r w:rsidRPr="005847A9">
        <w:rPr>
          <w:rFonts w:ascii="Arial" w:hAnsi="Arial" w:cs="Arial"/>
          <w:sz w:val="24"/>
          <w:szCs w:val="24"/>
        </w:rPr>
        <w:t>a repeated-measures MANOVA indicated significant improvements in depression (</w:t>
      </w:r>
      <w:r w:rsidRPr="005847A9">
        <w:rPr>
          <w:rFonts w:ascii="Arial" w:hAnsi="Arial" w:cs="Arial"/>
          <w:i/>
          <w:sz w:val="24"/>
          <w:szCs w:val="24"/>
        </w:rPr>
        <w:t>p</w:t>
      </w:r>
      <w:r w:rsidRPr="005847A9">
        <w:rPr>
          <w:rFonts w:ascii="Arial" w:hAnsi="Arial" w:cs="Arial"/>
          <w:sz w:val="24"/>
          <w:szCs w:val="24"/>
        </w:rPr>
        <w:t xml:space="preserve"> = .001, </w:t>
      </w:r>
      <w:r w:rsidRPr="005847A9">
        <w:rPr>
          <w:rFonts w:ascii="Arial" w:hAnsi="Arial" w:cs="Arial"/>
          <w:bCs/>
          <w:i/>
          <w:iCs/>
          <w:sz w:val="24"/>
          <w:szCs w:val="24"/>
        </w:rPr>
        <w:t>η</w:t>
      </w:r>
      <w:r w:rsidRPr="005847A9">
        <w:rPr>
          <w:rFonts w:ascii="Arial" w:hAnsi="Arial" w:cs="Arial"/>
          <w:bCs/>
          <w:i/>
          <w:iCs/>
          <w:sz w:val="24"/>
          <w:szCs w:val="24"/>
          <w:vertAlign w:val="subscript"/>
        </w:rPr>
        <w:t>p</w:t>
      </w:r>
      <w:r w:rsidRPr="005847A9">
        <w:rPr>
          <w:rFonts w:ascii="Arial" w:hAnsi="Arial" w:cs="Arial"/>
          <w:bCs/>
          <w:i/>
          <w:iCs/>
          <w:sz w:val="24"/>
          <w:szCs w:val="24"/>
          <w:vertAlign w:val="superscript"/>
        </w:rPr>
        <w:t>2</w:t>
      </w:r>
      <w:r w:rsidRPr="005847A9">
        <w:rPr>
          <w:rFonts w:ascii="Arial" w:hAnsi="Arial" w:cs="Arial"/>
          <w:sz w:val="24"/>
          <w:szCs w:val="24"/>
        </w:rPr>
        <w:t xml:space="preserve"> = .262), anxiety (</w:t>
      </w:r>
      <w:r w:rsidRPr="005847A9">
        <w:rPr>
          <w:rFonts w:ascii="Arial" w:hAnsi="Arial" w:cs="Arial"/>
          <w:i/>
          <w:sz w:val="24"/>
          <w:szCs w:val="24"/>
        </w:rPr>
        <w:t>p</w:t>
      </w:r>
      <w:r w:rsidRPr="005847A9">
        <w:rPr>
          <w:rFonts w:ascii="Arial" w:hAnsi="Arial" w:cs="Arial"/>
          <w:sz w:val="24"/>
          <w:szCs w:val="24"/>
        </w:rPr>
        <w:t xml:space="preserve"> = .000,</w:t>
      </w:r>
      <w:r w:rsidRPr="005847A9">
        <w:rPr>
          <w:rFonts w:ascii="Arial" w:hAnsi="Arial" w:cs="Arial"/>
          <w:bCs/>
          <w:i/>
          <w:iCs/>
          <w:sz w:val="24"/>
          <w:szCs w:val="24"/>
        </w:rPr>
        <w:t xml:space="preserve"> η</w:t>
      </w:r>
      <w:r w:rsidRPr="005847A9">
        <w:rPr>
          <w:rFonts w:ascii="Arial" w:hAnsi="Arial" w:cs="Arial"/>
          <w:bCs/>
          <w:i/>
          <w:iCs/>
          <w:sz w:val="24"/>
          <w:szCs w:val="24"/>
          <w:vertAlign w:val="subscript"/>
        </w:rPr>
        <w:t>p</w:t>
      </w:r>
      <w:r w:rsidRPr="005847A9">
        <w:rPr>
          <w:rFonts w:ascii="Arial" w:hAnsi="Arial" w:cs="Arial"/>
          <w:bCs/>
          <w:i/>
          <w:iCs/>
          <w:sz w:val="24"/>
          <w:szCs w:val="24"/>
          <w:vertAlign w:val="superscript"/>
        </w:rPr>
        <w:t>2</w:t>
      </w:r>
      <w:r w:rsidRPr="005847A9">
        <w:rPr>
          <w:rFonts w:ascii="Arial" w:hAnsi="Arial" w:cs="Arial"/>
          <w:sz w:val="24"/>
          <w:szCs w:val="24"/>
        </w:rPr>
        <w:t xml:space="preserve"> = .390), PTSD (</w:t>
      </w:r>
      <w:r w:rsidRPr="005847A9">
        <w:rPr>
          <w:rFonts w:ascii="Arial" w:hAnsi="Arial" w:cs="Arial"/>
          <w:i/>
          <w:sz w:val="24"/>
          <w:szCs w:val="24"/>
        </w:rPr>
        <w:t>p</w:t>
      </w:r>
      <w:r w:rsidRPr="005847A9">
        <w:rPr>
          <w:rFonts w:ascii="Arial" w:hAnsi="Arial" w:cs="Arial"/>
          <w:sz w:val="24"/>
          <w:szCs w:val="24"/>
        </w:rPr>
        <w:t xml:space="preserve"> = .001, </w:t>
      </w:r>
      <w:r w:rsidRPr="005847A9">
        <w:rPr>
          <w:rFonts w:ascii="Arial" w:hAnsi="Arial" w:cs="Arial"/>
          <w:bCs/>
          <w:i/>
          <w:iCs/>
          <w:sz w:val="24"/>
          <w:szCs w:val="24"/>
        </w:rPr>
        <w:t>η</w:t>
      </w:r>
      <w:r w:rsidRPr="005847A9">
        <w:rPr>
          <w:rFonts w:ascii="Arial" w:hAnsi="Arial" w:cs="Arial"/>
          <w:bCs/>
          <w:i/>
          <w:iCs/>
          <w:sz w:val="24"/>
          <w:szCs w:val="24"/>
          <w:vertAlign w:val="subscript"/>
        </w:rPr>
        <w:t>p</w:t>
      </w:r>
      <w:r w:rsidRPr="005847A9">
        <w:rPr>
          <w:rFonts w:ascii="Arial" w:hAnsi="Arial" w:cs="Arial"/>
          <w:bCs/>
          <w:i/>
          <w:iCs/>
          <w:sz w:val="24"/>
          <w:szCs w:val="24"/>
          <w:vertAlign w:val="superscript"/>
        </w:rPr>
        <w:t>2</w:t>
      </w:r>
      <w:r w:rsidRPr="005847A9">
        <w:rPr>
          <w:rFonts w:ascii="Arial" w:hAnsi="Arial" w:cs="Arial"/>
          <w:sz w:val="24"/>
          <w:szCs w:val="24"/>
        </w:rPr>
        <w:t xml:space="preserve"> = .393) and idiosyncratic measures (</w:t>
      </w:r>
      <w:r w:rsidRPr="005847A9">
        <w:rPr>
          <w:rFonts w:ascii="Arial" w:hAnsi="Arial" w:cs="Arial"/>
          <w:i/>
          <w:sz w:val="24"/>
          <w:szCs w:val="24"/>
        </w:rPr>
        <w:t>p</w:t>
      </w:r>
      <w:r w:rsidRPr="005847A9">
        <w:rPr>
          <w:rFonts w:ascii="Arial" w:hAnsi="Arial" w:cs="Arial"/>
          <w:sz w:val="24"/>
          <w:szCs w:val="24"/>
        </w:rPr>
        <w:t xml:space="preserve"> = .000, </w:t>
      </w:r>
      <w:r w:rsidRPr="005847A9">
        <w:rPr>
          <w:rFonts w:ascii="Arial" w:hAnsi="Arial" w:cs="Arial"/>
          <w:bCs/>
          <w:i/>
          <w:iCs/>
          <w:sz w:val="24"/>
          <w:szCs w:val="24"/>
        </w:rPr>
        <w:t>η</w:t>
      </w:r>
      <w:r w:rsidRPr="005847A9">
        <w:rPr>
          <w:rFonts w:ascii="Arial" w:hAnsi="Arial" w:cs="Arial"/>
          <w:bCs/>
          <w:i/>
          <w:iCs/>
          <w:sz w:val="24"/>
          <w:szCs w:val="24"/>
          <w:vertAlign w:val="subscript"/>
        </w:rPr>
        <w:t>p</w:t>
      </w:r>
      <w:r w:rsidRPr="005847A9">
        <w:rPr>
          <w:rFonts w:ascii="Arial" w:hAnsi="Arial" w:cs="Arial"/>
          <w:bCs/>
          <w:i/>
          <w:iCs/>
          <w:sz w:val="24"/>
          <w:szCs w:val="24"/>
          <w:vertAlign w:val="superscript"/>
        </w:rPr>
        <w:t>2</w:t>
      </w:r>
      <w:r w:rsidRPr="005847A9">
        <w:rPr>
          <w:rFonts w:ascii="Arial" w:hAnsi="Arial" w:cs="Arial"/>
          <w:sz w:val="24"/>
          <w:szCs w:val="24"/>
        </w:rPr>
        <w:t xml:space="preserve"> = .593) following the intervention. </w:t>
      </w:r>
    </w:p>
    <w:bookmarkEnd w:id="0"/>
    <w:p w14:paraId="6E41565C"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Conclusions</w:t>
      </w:r>
    </w:p>
    <w:p w14:paraId="5B9AF437" w14:textId="77777777" w:rsidR="0084326D" w:rsidRPr="005847A9" w:rsidRDefault="0084326D" w:rsidP="005847A9">
      <w:pPr>
        <w:jc w:val="both"/>
        <w:rPr>
          <w:rFonts w:ascii="Arial" w:hAnsi="Arial" w:cs="Arial"/>
          <w:sz w:val="24"/>
          <w:szCs w:val="24"/>
        </w:rPr>
      </w:pPr>
      <w:r w:rsidRPr="005847A9">
        <w:rPr>
          <w:rFonts w:ascii="Arial" w:hAnsi="Arial" w:cs="Arial"/>
          <w:sz w:val="24"/>
          <w:szCs w:val="24"/>
        </w:rPr>
        <w:t>Preliminary evidence indicates that ASR who attended a low-intensity, group-based stabilisation group for PTSD experienced lower mental health scores post-group, although the lack of a comparison group means these results should be interpreted with caution. There are significant challenges in administering ROMs to individuals who speak many different languages, in a group setting. Nonetheless groups have benefits including efficiency of treatment delivery which should also be considered.</w:t>
      </w:r>
    </w:p>
    <w:p w14:paraId="30DA9DC7" w14:textId="77777777" w:rsidR="00397EAB" w:rsidRPr="005847A9" w:rsidRDefault="00397EAB" w:rsidP="005847A9">
      <w:pPr>
        <w:spacing w:line="360" w:lineRule="auto"/>
        <w:rPr>
          <w:rFonts w:ascii="Arial" w:hAnsi="Arial" w:cs="Arial"/>
          <w:sz w:val="24"/>
          <w:szCs w:val="24"/>
        </w:rPr>
      </w:pPr>
    </w:p>
    <w:p w14:paraId="4DE3AA57" w14:textId="77777777" w:rsidR="00397EAB" w:rsidRPr="005847A9" w:rsidRDefault="00397EAB" w:rsidP="005847A9">
      <w:pPr>
        <w:spacing w:line="360" w:lineRule="auto"/>
        <w:rPr>
          <w:rFonts w:ascii="Arial" w:hAnsi="Arial" w:cs="Arial"/>
          <w:sz w:val="24"/>
          <w:szCs w:val="24"/>
        </w:rPr>
      </w:pPr>
    </w:p>
    <w:p w14:paraId="320ABDA6" w14:textId="77777777" w:rsidR="00397EAB" w:rsidRPr="005847A9" w:rsidRDefault="00397EAB" w:rsidP="005847A9">
      <w:pPr>
        <w:spacing w:line="360" w:lineRule="auto"/>
        <w:rPr>
          <w:rFonts w:ascii="Arial" w:hAnsi="Arial" w:cs="Arial"/>
          <w:sz w:val="24"/>
          <w:szCs w:val="24"/>
        </w:rPr>
      </w:pPr>
    </w:p>
    <w:p w14:paraId="4CB80202" w14:textId="0D9189A8" w:rsidR="00397EAB" w:rsidRPr="005847A9" w:rsidRDefault="00397EAB" w:rsidP="005847A9">
      <w:pPr>
        <w:spacing w:line="360" w:lineRule="auto"/>
        <w:rPr>
          <w:rFonts w:ascii="Arial" w:hAnsi="Arial" w:cs="Arial"/>
          <w:sz w:val="24"/>
          <w:szCs w:val="24"/>
        </w:rPr>
      </w:pPr>
    </w:p>
    <w:p w14:paraId="235AAD74" w14:textId="68BCF030" w:rsidR="001D7DC4" w:rsidRPr="005847A9" w:rsidRDefault="001D7DC4" w:rsidP="005847A9">
      <w:pPr>
        <w:spacing w:line="360" w:lineRule="auto"/>
        <w:rPr>
          <w:rFonts w:ascii="Arial" w:hAnsi="Arial" w:cs="Arial"/>
          <w:sz w:val="24"/>
          <w:szCs w:val="24"/>
        </w:rPr>
      </w:pPr>
    </w:p>
    <w:p w14:paraId="3357525B" w14:textId="37FF3CA2" w:rsidR="001D7DC4" w:rsidRPr="005847A9" w:rsidRDefault="001D7DC4" w:rsidP="005847A9">
      <w:pPr>
        <w:spacing w:line="360" w:lineRule="auto"/>
        <w:rPr>
          <w:rFonts w:ascii="Arial" w:hAnsi="Arial" w:cs="Arial"/>
          <w:sz w:val="24"/>
          <w:szCs w:val="24"/>
        </w:rPr>
      </w:pPr>
    </w:p>
    <w:p w14:paraId="3C0E8B59" w14:textId="77777777" w:rsidR="0084326D" w:rsidRPr="005847A9" w:rsidRDefault="00676737" w:rsidP="005847A9">
      <w:pPr>
        <w:spacing w:after="0" w:line="360" w:lineRule="auto"/>
        <w:jc w:val="center"/>
        <w:rPr>
          <w:rFonts w:ascii="Arial" w:hAnsi="Arial" w:cs="Arial"/>
          <w:sz w:val="24"/>
          <w:szCs w:val="24"/>
        </w:rPr>
      </w:pPr>
      <w:bookmarkStart w:id="1" w:name="_Hlk39503630"/>
      <w:r w:rsidRPr="005847A9">
        <w:rPr>
          <w:rFonts w:ascii="Arial" w:hAnsi="Arial" w:cs="Arial"/>
          <w:sz w:val="24"/>
          <w:szCs w:val="24"/>
        </w:rPr>
        <w:lastRenderedPageBreak/>
        <w:t xml:space="preserve">Pilot evaluation of a group stabilisation intervention </w:t>
      </w:r>
    </w:p>
    <w:p w14:paraId="7E88116C" w14:textId="1733DF69" w:rsidR="00676737" w:rsidRPr="005847A9" w:rsidRDefault="00676737" w:rsidP="005847A9">
      <w:pPr>
        <w:spacing w:after="0" w:line="360" w:lineRule="auto"/>
        <w:jc w:val="center"/>
        <w:rPr>
          <w:rFonts w:ascii="Arial" w:hAnsi="Arial" w:cs="Arial"/>
          <w:sz w:val="24"/>
          <w:szCs w:val="24"/>
        </w:rPr>
      </w:pPr>
      <w:r w:rsidRPr="005847A9">
        <w:rPr>
          <w:rFonts w:ascii="Arial" w:hAnsi="Arial" w:cs="Arial"/>
          <w:sz w:val="24"/>
          <w:szCs w:val="24"/>
        </w:rPr>
        <w:t>for refugees and asylum seekers with PTSD</w:t>
      </w:r>
    </w:p>
    <w:p w14:paraId="58866E0D" w14:textId="77777777" w:rsidR="00531137" w:rsidRPr="005847A9" w:rsidRDefault="00531137" w:rsidP="005847A9">
      <w:pPr>
        <w:spacing w:after="0" w:line="360" w:lineRule="auto"/>
        <w:rPr>
          <w:rFonts w:ascii="Arial" w:hAnsi="Arial" w:cs="Arial"/>
          <w:sz w:val="24"/>
          <w:szCs w:val="24"/>
        </w:rPr>
      </w:pPr>
    </w:p>
    <w:bookmarkEnd w:id="1"/>
    <w:p w14:paraId="25B93F28" w14:textId="4F461776" w:rsidR="0046754E" w:rsidRPr="005847A9" w:rsidRDefault="001049C4" w:rsidP="005847A9">
      <w:pPr>
        <w:spacing w:line="360" w:lineRule="auto"/>
        <w:ind w:firstLine="720"/>
        <w:rPr>
          <w:rFonts w:ascii="Arial" w:hAnsi="Arial" w:cs="Arial"/>
          <w:sz w:val="24"/>
          <w:szCs w:val="24"/>
        </w:rPr>
      </w:pPr>
      <w:r w:rsidRPr="005847A9">
        <w:rPr>
          <w:rFonts w:ascii="Arial" w:hAnsi="Arial" w:cs="Arial"/>
          <w:sz w:val="24"/>
          <w:szCs w:val="24"/>
        </w:rPr>
        <w:t xml:space="preserve">Post-traumatic stress disorder (PTSD) is experienced by 19-53% of young refugees and asylum seekers (Kien et. al, 2018) and according to different </w:t>
      </w:r>
      <w:r w:rsidR="00B44AB9" w:rsidRPr="005847A9">
        <w:rPr>
          <w:rFonts w:ascii="Arial" w:hAnsi="Arial" w:cs="Arial"/>
          <w:sz w:val="24"/>
          <w:szCs w:val="24"/>
        </w:rPr>
        <w:t>studies</w:t>
      </w:r>
      <w:r w:rsidRPr="005847A9">
        <w:rPr>
          <w:rFonts w:ascii="Arial" w:hAnsi="Arial" w:cs="Arial"/>
          <w:sz w:val="24"/>
          <w:szCs w:val="24"/>
        </w:rPr>
        <w:t>, between 3-88% of adults (Morina</w:t>
      </w:r>
      <w:r w:rsidR="00BB4757" w:rsidRPr="005847A9">
        <w:rPr>
          <w:rFonts w:ascii="Arial" w:hAnsi="Arial" w:cs="Arial"/>
          <w:sz w:val="24"/>
          <w:szCs w:val="24"/>
        </w:rPr>
        <w:t xml:space="preserve"> et al., </w:t>
      </w:r>
      <w:r w:rsidRPr="005847A9">
        <w:rPr>
          <w:rFonts w:ascii="Arial" w:hAnsi="Arial" w:cs="Arial"/>
          <w:sz w:val="24"/>
          <w:szCs w:val="24"/>
        </w:rPr>
        <w:t xml:space="preserve">2018). </w:t>
      </w:r>
      <w:r w:rsidR="005C0A62" w:rsidRPr="005847A9">
        <w:rPr>
          <w:rFonts w:ascii="Arial" w:hAnsi="Arial" w:cs="Arial"/>
          <w:sz w:val="24"/>
          <w:szCs w:val="24"/>
        </w:rPr>
        <w:t xml:space="preserve">The diagnostic criteria for PTSD as defined in the ICD-11 are 1) re-experiencing the traumatic event in the present, 2) avoidance of reminders of the trauma, and 3) increased sense of current danger. Complex PTSD (CPTSD) includes the PTSD criteria as well as 4) affect dysregulation, 5) negative beliefs about the self, and 6) difficulties in sustaining close relationships (World Health Organisation, 2018). </w:t>
      </w:r>
      <w:r w:rsidR="0046754E" w:rsidRPr="005847A9">
        <w:rPr>
          <w:rFonts w:ascii="Arial" w:hAnsi="Arial" w:cs="Arial"/>
          <w:sz w:val="24"/>
          <w:szCs w:val="24"/>
        </w:rPr>
        <w:t xml:space="preserve">Refugees and asylum seekers, while a diverse group of service users, often </w:t>
      </w:r>
      <w:r w:rsidR="005C0A62" w:rsidRPr="005847A9">
        <w:rPr>
          <w:rFonts w:ascii="Arial" w:hAnsi="Arial" w:cs="Arial"/>
          <w:sz w:val="24"/>
          <w:szCs w:val="24"/>
        </w:rPr>
        <w:t xml:space="preserve">have histories of </w:t>
      </w:r>
      <w:r w:rsidR="0046754E" w:rsidRPr="005847A9">
        <w:rPr>
          <w:rFonts w:ascii="Arial" w:hAnsi="Arial" w:cs="Arial"/>
          <w:sz w:val="24"/>
          <w:szCs w:val="24"/>
        </w:rPr>
        <w:t>multiple and severe trauma including persecution, torture and sexual violence</w:t>
      </w:r>
      <w:r w:rsidR="000A38BE" w:rsidRPr="005847A9">
        <w:rPr>
          <w:rFonts w:ascii="Arial" w:hAnsi="Arial" w:cs="Arial"/>
          <w:sz w:val="24"/>
          <w:szCs w:val="24"/>
        </w:rPr>
        <w:t xml:space="preserve"> (</w:t>
      </w:r>
      <w:r w:rsidR="00C540A7" w:rsidRPr="005847A9">
        <w:rPr>
          <w:rFonts w:ascii="Arial" w:hAnsi="Arial" w:cs="Arial"/>
          <w:sz w:val="24"/>
          <w:szCs w:val="24"/>
        </w:rPr>
        <w:t xml:space="preserve">e.g. </w:t>
      </w:r>
      <w:r w:rsidR="000A38BE" w:rsidRPr="005847A9">
        <w:rPr>
          <w:rFonts w:ascii="Arial" w:hAnsi="Arial" w:cs="Arial"/>
          <w:sz w:val="24"/>
          <w:szCs w:val="24"/>
        </w:rPr>
        <w:t>Carswell</w:t>
      </w:r>
      <w:r w:rsidR="007D2AA1" w:rsidRPr="005847A9">
        <w:rPr>
          <w:rFonts w:ascii="Arial" w:hAnsi="Arial" w:cs="Arial"/>
          <w:sz w:val="24"/>
          <w:szCs w:val="24"/>
        </w:rPr>
        <w:t xml:space="preserve"> et al., </w:t>
      </w:r>
      <w:r w:rsidR="000A38BE" w:rsidRPr="005847A9">
        <w:rPr>
          <w:rFonts w:ascii="Arial" w:hAnsi="Arial" w:cs="Arial"/>
          <w:sz w:val="24"/>
          <w:szCs w:val="24"/>
        </w:rPr>
        <w:t>2011</w:t>
      </w:r>
      <w:r w:rsidR="00C766AE" w:rsidRPr="005847A9">
        <w:rPr>
          <w:rFonts w:ascii="Arial" w:hAnsi="Arial" w:cs="Arial"/>
          <w:sz w:val="24"/>
          <w:szCs w:val="24"/>
        </w:rPr>
        <w:t>;</w:t>
      </w:r>
      <w:r w:rsidR="008E6E16" w:rsidRPr="005847A9">
        <w:rPr>
          <w:rFonts w:ascii="Arial" w:hAnsi="Arial" w:cs="Arial"/>
          <w:sz w:val="24"/>
          <w:szCs w:val="24"/>
        </w:rPr>
        <w:t xml:space="preserve"> Robertson et al</w:t>
      </w:r>
      <w:r w:rsidR="00972F06" w:rsidRPr="005847A9">
        <w:rPr>
          <w:rFonts w:ascii="Arial" w:hAnsi="Arial" w:cs="Arial"/>
          <w:sz w:val="24"/>
          <w:szCs w:val="24"/>
        </w:rPr>
        <w:t>.,</w:t>
      </w:r>
      <w:r w:rsidR="008E6E16" w:rsidRPr="005847A9">
        <w:rPr>
          <w:rFonts w:ascii="Arial" w:hAnsi="Arial" w:cs="Arial"/>
          <w:sz w:val="24"/>
          <w:szCs w:val="24"/>
        </w:rPr>
        <w:t xml:space="preserve"> 2013</w:t>
      </w:r>
      <w:r w:rsidR="000A38BE" w:rsidRPr="005847A9">
        <w:rPr>
          <w:rFonts w:ascii="Arial" w:hAnsi="Arial" w:cs="Arial"/>
          <w:sz w:val="24"/>
          <w:szCs w:val="24"/>
        </w:rPr>
        <w:t>)</w:t>
      </w:r>
      <w:r w:rsidR="005C0A62" w:rsidRPr="005847A9">
        <w:rPr>
          <w:rFonts w:ascii="Arial" w:hAnsi="Arial" w:cs="Arial"/>
          <w:sz w:val="24"/>
          <w:szCs w:val="24"/>
        </w:rPr>
        <w:t>, which may be more likely to contribute to CPTSD</w:t>
      </w:r>
      <w:r w:rsidR="0046754E" w:rsidRPr="005847A9">
        <w:rPr>
          <w:rFonts w:ascii="Arial" w:hAnsi="Arial" w:cs="Arial"/>
          <w:sz w:val="24"/>
          <w:szCs w:val="24"/>
        </w:rPr>
        <w:t xml:space="preserve">. Many asylum seekers report a traumatic journey to the UK and often re-traumatising experiences navigating the asylum process.  </w:t>
      </w:r>
      <w:r w:rsidRPr="005847A9">
        <w:rPr>
          <w:rFonts w:ascii="Arial" w:hAnsi="Arial" w:cs="Arial"/>
          <w:sz w:val="24"/>
          <w:szCs w:val="24"/>
        </w:rPr>
        <w:t>Evidence based interventions for PTSD</w:t>
      </w:r>
      <w:r w:rsidR="005C0A62" w:rsidRPr="005847A9">
        <w:rPr>
          <w:rFonts w:ascii="Arial" w:hAnsi="Arial" w:cs="Arial"/>
          <w:sz w:val="24"/>
          <w:szCs w:val="24"/>
        </w:rPr>
        <w:t xml:space="preserve"> and CPTSD</w:t>
      </w:r>
      <w:r w:rsidR="0046754E" w:rsidRPr="005847A9">
        <w:rPr>
          <w:rFonts w:ascii="Arial" w:hAnsi="Arial" w:cs="Arial"/>
          <w:sz w:val="24"/>
          <w:szCs w:val="24"/>
        </w:rPr>
        <w:t>, which meet the diverse needs of this population,</w:t>
      </w:r>
      <w:r w:rsidRPr="005847A9">
        <w:rPr>
          <w:rFonts w:ascii="Arial" w:hAnsi="Arial" w:cs="Arial"/>
          <w:sz w:val="24"/>
          <w:szCs w:val="24"/>
        </w:rPr>
        <w:t xml:space="preserve"> are therefore needed</w:t>
      </w:r>
      <w:r w:rsidR="007A5BF4" w:rsidRPr="005847A9">
        <w:rPr>
          <w:rFonts w:ascii="Arial" w:hAnsi="Arial" w:cs="Arial"/>
          <w:sz w:val="24"/>
          <w:szCs w:val="24"/>
        </w:rPr>
        <w:t>.</w:t>
      </w:r>
      <w:r w:rsidR="0046754E" w:rsidRPr="005847A9">
        <w:rPr>
          <w:rFonts w:ascii="Arial" w:hAnsi="Arial" w:cs="Arial"/>
          <w:sz w:val="24"/>
          <w:szCs w:val="24"/>
        </w:rPr>
        <w:t xml:space="preserve"> </w:t>
      </w:r>
    </w:p>
    <w:p w14:paraId="3F67AB68" w14:textId="0C81E00F" w:rsidR="0046754E" w:rsidRPr="005847A9" w:rsidRDefault="00C5797A" w:rsidP="005847A9">
      <w:pPr>
        <w:spacing w:line="360" w:lineRule="auto"/>
        <w:ind w:firstLine="720"/>
        <w:rPr>
          <w:rFonts w:ascii="Arial" w:hAnsi="Arial" w:cs="Arial"/>
          <w:sz w:val="24"/>
          <w:szCs w:val="24"/>
        </w:rPr>
      </w:pPr>
      <w:r w:rsidRPr="005847A9">
        <w:rPr>
          <w:rFonts w:ascii="Arial" w:hAnsi="Arial" w:cs="Arial"/>
          <w:sz w:val="24"/>
          <w:szCs w:val="24"/>
        </w:rPr>
        <w:t xml:space="preserve">There is </w:t>
      </w:r>
      <w:r w:rsidR="009E77E7" w:rsidRPr="005847A9">
        <w:rPr>
          <w:rFonts w:ascii="Arial" w:hAnsi="Arial" w:cs="Arial"/>
          <w:sz w:val="24"/>
          <w:szCs w:val="24"/>
        </w:rPr>
        <w:t xml:space="preserve">debate as to how common CPTSD is in the refugee and asylum seeker population, with </w:t>
      </w:r>
      <w:r w:rsidR="00EC4403" w:rsidRPr="005847A9">
        <w:rPr>
          <w:rFonts w:ascii="Arial" w:hAnsi="Arial" w:cs="Arial"/>
          <w:sz w:val="24"/>
          <w:szCs w:val="24"/>
        </w:rPr>
        <w:t>a</w:t>
      </w:r>
      <w:r w:rsidR="009E77E7" w:rsidRPr="005847A9">
        <w:rPr>
          <w:rFonts w:ascii="Arial" w:hAnsi="Arial" w:cs="Arial"/>
          <w:sz w:val="24"/>
          <w:szCs w:val="24"/>
        </w:rPr>
        <w:t xml:space="preserve"> review</w:t>
      </w:r>
      <w:r w:rsidR="0046754E" w:rsidRPr="005847A9">
        <w:rPr>
          <w:rFonts w:ascii="Arial" w:hAnsi="Arial" w:cs="Arial"/>
          <w:sz w:val="24"/>
          <w:szCs w:val="24"/>
        </w:rPr>
        <w:t xml:space="preserve"> of three studies</w:t>
      </w:r>
      <w:r w:rsidR="009E77E7" w:rsidRPr="005847A9">
        <w:rPr>
          <w:rFonts w:ascii="Arial" w:hAnsi="Arial" w:cs="Arial"/>
          <w:sz w:val="24"/>
          <w:szCs w:val="24"/>
        </w:rPr>
        <w:t xml:space="preserve"> indicating that 16-67% of treatment-seeking refugee</w:t>
      </w:r>
      <w:r w:rsidR="005C0A62" w:rsidRPr="005847A9">
        <w:rPr>
          <w:rFonts w:ascii="Arial" w:hAnsi="Arial" w:cs="Arial"/>
          <w:sz w:val="24"/>
          <w:szCs w:val="24"/>
        </w:rPr>
        <w:t>s</w:t>
      </w:r>
      <w:r w:rsidR="009E77E7" w:rsidRPr="005847A9">
        <w:rPr>
          <w:rFonts w:ascii="Arial" w:hAnsi="Arial" w:cs="Arial"/>
          <w:sz w:val="24"/>
          <w:szCs w:val="24"/>
        </w:rPr>
        <w:t xml:space="preserve"> experienced CPTSD while 42-94% of the same individuals met criteria for PTSD (</w:t>
      </w:r>
      <w:r w:rsidR="00972F06" w:rsidRPr="005847A9">
        <w:rPr>
          <w:rFonts w:ascii="Arial" w:hAnsi="Arial" w:cs="Arial"/>
          <w:sz w:val="24"/>
          <w:szCs w:val="24"/>
        </w:rPr>
        <w:t>T</w:t>
      </w:r>
      <w:r w:rsidR="009E77E7" w:rsidRPr="005847A9">
        <w:rPr>
          <w:rFonts w:ascii="Arial" w:hAnsi="Arial" w:cs="Arial"/>
          <w:sz w:val="24"/>
          <w:szCs w:val="24"/>
        </w:rPr>
        <w:t>er Heide</w:t>
      </w:r>
      <w:r w:rsidR="00C0458D" w:rsidRPr="005847A9">
        <w:rPr>
          <w:rFonts w:ascii="Arial" w:hAnsi="Arial" w:cs="Arial"/>
          <w:sz w:val="24"/>
          <w:szCs w:val="24"/>
        </w:rPr>
        <w:t xml:space="preserve"> et al.</w:t>
      </w:r>
      <w:r w:rsidR="009E77E7" w:rsidRPr="005847A9">
        <w:rPr>
          <w:rFonts w:ascii="Arial" w:hAnsi="Arial" w:cs="Arial"/>
          <w:sz w:val="24"/>
          <w:szCs w:val="24"/>
        </w:rPr>
        <w:t>, 2016).</w:t>
      </w:r>
      <w:r w:rsidR="0046754E" w:rsidRPr="005847A9">
        <w:rPr>
          <w:rFonts w:ascii="Arial" w:hAnsi="Arial" w:cs="Arial"/>
          <w:sz w:val="24"/>
          <w:szCs w:val="24"/>
        </w:rPr>
        <w:t xml:space="preserve"> </w:t>
      </w:r>
      <w:r w:rsidR="008B5F56" w:rsidRPr="005847A9">
        <w:rPr>
          <w:rFonts w:ascii="Arial" w:hAnsi="Arial" w:cs="Arial"/>
          <w:sz w:val="24"/>
          <w:szCs w:val="24"/>
        </w:rPr>
        <w:t xml:space="preserve">National Institute for Health and Care Excellence </w:t>
      </w:r>
      <w:r w:rsidR="0046754E" w:rsidRPr="005847A9">
        <w:rPr>
          <w:rFonts w:ascii="Arial" w:hAnsi="Arial" w:cs="Arial"/>
          <w:sz w:val="24"/>
          <w:szCs w:val="24"/>
        </w:rPr>
        <w:t>guidance</w:t>
      </w:r>
      <w:r w:rsidR="006C1E0C" w:rsidRPr="005847A9">
        <w:rPr>
          <w:rFonts w:ascii="Arial" w:hAnsi="Arial" w:cs="Arial"/>
          <w:sz w:val="24"/>
          <w:szCs w:val="24"/>
        </w:rPr>
        <w:t xml:space="preserve"> (NICE, 2018)</w:t>
      </w:r>
      <w:r w:rsidR="0046754E" w:rsidRPr="005847A9">
        <w:rPr>
          <w:rFonts w:ascii="Arial" w:hAnsi="Arial" w:cs="Arial"/>
          <w:sz w:val="24"/>
          <w:szCs w:val="24"/>
        </w:rPr>
        <w:t xml:space="preserve"> recommends a </w:t>
      </w:r>
      <w:r w:rsidR="00E93B45" w:rsidRPr="005847A9">
        <w:rPr>
          <w:rFonts w:ascii="Arial" w:hAnsi="Arial" w:cs="Arial"/>
          <w:sz w:val="24"/>
          <w:szCs w:val="24"/>
        </w:rPr>
        <w:t xml:space="preserve">phased approach to treatment including a </w:t>
      </w:r>
      <w:r w:rsidR="0046754E" w:rsidRPr="005847A9">
        <w:rPr>
          <w:rFonts w:ascii="Arial" w:hAnsi="Arial" w:cs="Arial"/>
          <w:sz w:val="24"/>
          <w:szCs w:val="24"/>
        </w:rPr>
        <w:t xml:space="preserve">stabilisation phase of treatment for individuals with </w:t>
      </w:r>
      <w:r w:rsidR="008B5F56" w:rsidRPr="005847A9">
        <w:rPr>
          <w:rFonts w:ascii="Arial" w:hAnsi="Arial" w:cs="Arial"/>
          <w:sz w:val="24"/>
          <w:szCs w:val="24"/>
        </w:rPr>
        <w:t>C</w:t>
      </w:r>
      <w:r w:rsidR="0046754E" w:rsidRPr="005847A9">
        <w:rPr>
          <w:rFonts w:ascii="Arial" w:hAnsi="Arial" w:cs="Arial"/>
          <w:sz w:val="24"/>
          <w:szCs w:val="24"/>
        </w:rPr>
        <w:t>PTSD</w:t>
      </w:r>
      <w:r w:rsidR="008A68E2" w:rsidRPr="005847A9">
        <w:rPr>
          <w:rFonts w:ascii="Arial" w:hAnsi="Arial" w:cs="Arial"/>
          <w:sz w:val="24"/>
          <w:szCs w:val="24"/>
        </w:rPr>
        <w:t>,</w:t>
      </w:r>
      <w:r w:rsidR="00B44AB9" w:rsidRPr="005847A9">
        <w:rPr>
          <w:rFonts w:ascii="Arial" w:hAnsi="Arial" w:cs="Arial"/>
          <w:sz w:val="24"/>
          <w:szCs w:val="24"/>
        </w:rPr>
        <w:t xml:space="preserve"> and in treatment of PTSD in asylum seekers and refugee</w:t>
      </w:r>
      <w:r w:rsidR="0011402D" w:rsidRPr="005847A9">
        <w:rPr>
          <w:rFonts w:ascii="Arial" w:hAnsi="Arial" w:cs="Arial"/>
          <w:sz w:val="24"/>
          <w:szCs w:val="24"/>
        </w:rPr>
        <w:t>s</w:t>
      </w:r>
      <w:r w:rsidR="00B44AB9" w:rsidRPr="005847A9">
        <w:rPr>
          <w:rFonts w:ascii="Arial" w:hAnsi="Arial" w:cs="Arial"/>
          <w:sz w:val="24"/>
          <w:szCs w:val="24"/>
        </w:rPr>
        <w:t>. This</w:t>
      </w:r>
      <w:r w:rsidR="008A68E2" w:rsidRPr="005847A9">
        <w:rPr>
          <w:rFonts w:ascii="Arial" w:hAnsi="Arial" w:cs="Arial"/>
          <w:sz w:val="24"/>
          <w:szCs w:val="24"/>
        </w:rPr>
        <w:t xml:space="preserve"> could include elements such as ensuring the safety and stability of the patient and managing barriers to treatment such as </w:t>
      </w:r>
      <w:r w:rsidR="00EC4403" w:rsidRPr="005847A9">
        <w:rPr>
          <w:rFonts w:ascii="Arial" w:hAnsi="Arial" w:cs="Arial"/>
          <w:sz w:val="24"/>
          <w:szCs w:val="24"/>
        </w:rPr>
        <w:t>dissociation</w:t>
      </w:r>
      <w:r w:rsidR="008A68E2" w:rsidRPr="005847A9">
        <w:rPr>
          <w:rFonts w:ascii="Arial" w:hAnsi="Arial" w:cs="Arial"/>
          <w:sz w:val="24"/>
          <w:szCs w:val="24"/>
        </w:rPr>
        <w:t xml:space="preserve">, emotional dysregulation or interpersonal difficulties. Conversely, for individuals with PTSD, accessing trauma-focused interventions such as </w:t>
      </w:r>
      <w:r w:rsidR="005C0A62" w:rsidRPr="005847A9">
        <w:rPr>
          <w:rFonts w:ascii="Arial" w:hAnsi="Arial" w:cs="Arial"/>
          <w:sz w:val="24"/>
          <w:szCs w:val="24"/>
        </w:rPr>
        <w:t>EMDR</w:t>
      </w:r>
      <w:r w:rsidR="008A68E2" w:rsidRPr="005847A9">
        <w:rPr>
          <w:rFonts w:ascii="Arial" w:hAnsi="Arial" w:cs="Arial"/>
          <w:sz w:val="24"/>
          <w:szCs w:val="24"/>
        </w:rPr>
        <w:t xml:space="preserve"> is recommended</w:t>
      </w:r>
      <w:r w:rsidR="008B5F56" w:rsidRPr="005847A9">
        <w:rPr>
          <w:rFonts w:ascii="Arial" w:hAnsi="Arial" w:cs="Arial"/>
          <w:sz w:val="24"/>
          <w:szCs w:val="24"/>
        </w:rPr>
        <w:t xml:space="preserve"> (NICE, 2018)</w:t>
      </w:r>
      <w:r w:rsidR="008A68E2" w:rsidRPr="005847A9">
        <w:rPr>
          <w:rFonts w:ascii="Arial" w:hAnsi="Arial" w:cs="Arial"/>
          <w:sz w:val="24"/>
          <w:szCs w:val="24"/>
        </w:rPr>
        <w:t xml:space="preserve">. </w:t>
      </w:r>
      <w:r w:rsidR="0011402D" w:rsidRPr="005847A9">
        <w:rPr>
          <w:rFonts w:ascii="Arial" w:hAnsi="Arial" w:cs="Arial"/>
          <w:sz w:val="24"/>
          <w:szCs w:val="24"/>
        </w:rPr>
        <w:t>Existing evidence has demonstrated that CBT treatment for PTSD in refugees and asylum seekers was effective compared to waitlist and treatment as usual (Turrini et al., 2019). Moreover, stabilisation work as a standalone treatment has been found to be equally effective to EMDR treatment (Ter Heide</w:t>
      </w:r>
      <w:r w:rsidR="00B45E7C" w:rsidRPr="005847A9">
        <w:rPr>
          <w:rFonts w:ascii="Arial" w:hAnsi="Arial" w:cs="Arial"/>
          <w:sz w:val="24"/>
          <w:szCs w:val="24"/>
        </w:rPr>
        <w:t xml:space="preserve"> et al.</w:t>
      </w:r>
      <w:r w:rsidR="0011402D" w:rsidRPr="005847A9">
        <w:rPr>
          <w:rFonts w:ascii="Arial" w:hAnsi="Arial" w:cs="Arial"/>
          <w:sz w:val="24"/>
          <w:szCs w:val="24"/>
        </w:rPr>
        <w:t xml:space="preserve">, ‎2016). </w:t>
      </w:r>
      <w:r w:rsidR="005C0A62" w:rsidRPr="005847A9">
        <w:rPr>
          <w:rFonts w:ascii="Arial" w:hAnsi="Arial" w:cs="Arial"/>
          <w:sz w:val="24"/>
          <w:szCs w:val="24"/>
        </w:rPr>
        <w:t xml:space="preserve">Services supporting this population must therefore consider </w:t>
      </w:r>
      <w:r w:rsidR="005C0A62" w:rsidRPr="005847A9">
        <w:rPr>
          <w:rFonts w:ascii="Arial" w:hAnsi="Arial" w:cs="Arial"/>
          <w:sz w:val="24"/>
          <w:szCs w:val="24"/>
        </w:rPr>
        <w:lastRenderedPageBreak/>
        <w:t xml:space="preserve">whether to offer stabilisation work to refugee and asylum seekers experiencing PTSD and CPTSD, with a limited body of evidence to guide clinical decision-making. </w:t>
      </w:r>
    </w:p>
    <w:p w14:paraId="6847928B" w14:textId="23B977D9" w:rsidR="00531137" w:rsidRPr="005847A9" w:rsidRDefault="00531137" w:rsidP="005847A9">
      <w:pPr>
        <w:spacing w:line="360" w:lineRule="auto"/>
        <w:ind w:firstLine="720"/>
        <w:rPr>
          <w:rFonts w:ascii="Arial" w:hAnsi="Arial" w:cs="Arial"/>
          <w:sz w:val="24"/>
          <w:szCs w:val="24"/>
        </w:rPr>
      </w:pPr>
      <w:r w:rsidRPr="005847A9">
        <w:rPr>
          <w:rFonts w:ascii="Arial" w:hAnsi="Arial" w:cs="Arial"/>
          <w:sz w:val="24"/>
          <w:szCs w:val="24"/>
        </w:rPr>
        <w:t>Despite a long term commitment to inclusivity in mental health services, people from BAME communities with mental health problems, including refugees and asylum seekers are still less likely to access therapy; less likely to have good outcomes and more likely to report negative experiences in therapy, compared to white majority service users (Mercer et al. 2018, Crawford et al.</w:t>
      </w:r>
      <w:r w:rsidR="00E32FDB" w:rsidRPr="005847A9">
        <w:rPr>
          <w:rFonts w:ascii="Arial" w:hAnsi="Arial" w:cs="Arial"/>
          <w:sz w:val="24"/>
          <w:szCs w:val="24"/>
        </w:rPr>
        <w:t>,</w:t>
      </w:r>
      <w:r w:rsidRPr="005847A9">
        <w:rPr>
          <w:rFonts w:ascii="Arial" w:hAnsi="Arial" w:cs="Arial"/>
          <w:sz w:val="24"/>
          <w:szCs w:val="24"/>
        </w:rPr>
        <w:t xml:space="preserve"> 2016).  People from BAME communities are less likely to use IAPT services; less likely to complete treatment, less likely to reliably improve and less likely to achieve a full recovery (B</w:t>
      </w:r>
      <w:r w:rsidR="000A67CC" w:rsidRPr="005847A9">
        <w:rPr>
          <w:rFonts w:ascii="Arial" w:hAnsi="Arial" w:cs="Arial"/>
          <w:sz w:val="24"/>
          <w:szCs w:val="24"/>
        </w:rPr>
        <w:t>eck et al</w:t>
      </w:r>
      <w:r w:rsidRPr="005847A9">
        <w:rPr>
          <w:rFonts w:ascii="Arial" w:hAnsi="Arial" w:cs="Arial"/>
          <w:sz w:val="24"/>
          <w:szCs w:val="24"/>
        </w:rPr>
        <w:t xml:space="preserve">, 2019). </w:t>
      </w:r>
      <w:r w:rsidR="003C6561" w:rsidRPr="005847A9">
        <w:rPr>
          <w:rFonts w:ascii="Arial" w:hAnsi="Arial" w:cs="Arial"/>
          <w:sz w:val="24"/>
          <w:szCs w:val="24"/>
        </w:rPr>
        <w:t>Cultural barriers included</w:t>
      </w:r>
      <w:r w:rsidRPr="005847A9">
        <w:rPr>
          <w:rFonts w:ascii="Arial" w:hAnsi="Arial" w:cs="Arial"/>
          <w:sz w:val="24"/>
          <w:szCs w:val="24"/>
        </w:rPr>
        <w:t xml:space="preserve"> </w:t>
      </w:r>
      <w:r w:rsidR="003C6561" w:rsidRPr="005847A9">
        <w:rPr>
          <w:rFonts w:ascii="Arial" w:hAnsi="Arial" w:cs="Arial"/>
          <w:sz w:val="24"/>
          <w:szCs w:val="24"/>
        </w:rPr>
        <w:t>concerns that services will not understand culturally-specific problems or caution about being stigmatised with</w:t>
      </w:r>
      <w:r w:rsidR="00AA5C56" w:rsidRPr="005847A9">
        <w:rPr>
          <w:rFonts w:ascii="Arial" w:hAnsi="Arial" w:cs="Arial"/>
          <w:sz w:val="24"/>
          <w:szCs w:val="24"/>
        </w:rPr>
        <w:t>in</w:t>
      </w:r>
      <w:r w:rsidR="003C6561" w:rsidRPr="005847A9">
        <w:rPr>
          <w:rFonts w:ascii="Arial" w:hAnsi="Arial" w:cs="Arial"/>
          <w:sz w:val="24"/>
          <w:szCs w:val="24"/>
        </w:rPr>
        <w:t xml:space="preserve"> the local community by engaging with mental health services, as well as lack of access to interpreters (</w:t>
      </w:r>
      <w:r w:rsidR="000A67CC" w:rsidRPr="005847A9">
        <w:rPr>
          <w:rFonts w:ascii="Arial" w:hAnsi="Arial" w:cs="Arial"/>
          <w:sz w:val="24"/>
          <w:szCs w:val="24"/>
        </w:rPr>
        <w:t>Beck et al</w:t>
      </w:r>
      <w:r w:rsidR="00E32FDB" w:rsidRPr="005847A9">
        <w:rPr>
          <w:rFonts w:ascii="Arial" w:hAnsi="Arial" w:cs="Arial"/>
          <w:sz w:val="24"/>
          <w:szCs w:val="24"/>
        </w:rPr>
        <w:t>.</w:t>
      </w:r>
      <w:r w:rsidR="003C6561" w:rsidRPr="005847A9">
        <w:rPr>
          <w:rFonts w:ascii="Arial" w:hAnsi="Arial" w:cs="Arial"/>
          <w:sz w:val="24"/>
          <w:szCs w:val="24"/>
        </w:rPr>
        <w:t>, 2019).</w:t>
      </w:r>
      <w:r w:rsidR="00EC4403" w:rsidRPr="005847A9">
        <w:rPr>
          <w:rFonts w:ascii="Arial" w:hAnsi="Arial" w:cs="Arial"/>
          <w:sz w:val="24"/>
          <w:szCs w:val="24"/>
        </w:rPr>
        <w:t xml:space="preserve"> Asylum seekers and refugees also report high levels of social isolation</w:t>
      </w:r>
      <w:r w:rsidR="00197418" w:rsidRPr="005847A9">
        <w:rPr>
          <w:rFonts w:ascii="Arial" w:hAnsi="Arial" w:cs="Arial"/>
          <w:sz w:val="24"/>
          <w:szCs w:val="24"/>
        </w:rPr>
        <w:t xml:space="preserve"> (Schweitzer et al</w:t>
      </w:r>
      <w:r w:rsidR="00E32FDB" w:rsidRPr="005847A9">
        <w:rPr>
          <w:rFonts w:ascii="Arial" w:hAnsi="Arial" w:cs="Arial"/>
          <w:sz w:val="24"/>
          <w:szCs w:val="24"/>
        </w:rPr>
        <w:t>.,</w:t>
      </w:r>
      <w:r w:rsidR="00197418" w:rsidRPr="005847A9">
        <w:rPr>
          <w:rFonts w:ascii="Arial" w:hAnsi="Arial" w:cs="Arial"/>
          <w:sz w:val="24"/>
          <w:szCs w:val="24"/>
        </w:rPr>
        <w:t xml:space="preserve"> 2006)</w:t>
      </w:r>
      <w:r w:rsidR="00EC4403" w:rsidRPr="005847A9">
        <w:rPr>
          <w:rFonts w:ascii="Arial" w:hAnsi="Arial" w:cs="Arial"/>
          <w:sz w:val="24"/>
          <w:szCs w:val="24"/>
        </w:rPr>
        <w:t>; poverty</w:t>
      </w:r>
      <w:r w:rsidR="00197418" w:rsidRPr="005847A9">
        <w:rPr>
          <w:rFonts w:ascii="Arial" w:hAnsi="Arial" w:cs="Arial"/>
          <w:sz w:val="24"/>
          <w:szCs w:val="24"/>
        </w:rPr>
        <w:t xml:space="preserve"> (Laban et al</w:t>
      </w:r>
      <w:r w:rsidR="00E32FDB" w:rsidRPr="005847A9">
        <w:rPr>
          <w:rFonts w:ascii="Arial" w:hAnsi="Arial" w:cs="Arial"/>
          <w:sz w:val="24"/>
          <w:szCs w:val="24"/>
        </w:rPr>
        <w:t xml:space="preserve">., </w:t>
      </w:r>
      <w:r w:rsidR="00197418" w:rsidRPr="005847A9">
        <w:rPr>
          <w:rFonts w:ascii="Arial" w:hAnsi="Arial" w:cs="Arial"/>
          <w:sz w:val="24"/>
          <w:szCs w:val="24"/>
        </w:rPr>
        <w:t>2005)</w:t>
      </w:r>
      <w:r w:rsidR="00EC4403" w:rsidRPr="005847A9">
        <w:rPr>
          <w:rFonts w:ascii="Arial" w:hAnsi="Arial" w:cs="Arial"/>
          <w:sz w:val="24"/>
          <w:szCs w:val="24"/>
        </w:rPr>
        <w:t>; concurrent physical pain and high levels of anxiety</w:t>
      </w:r>
      <w:r w:rsidR="002238E5" w:rsidRPr="005847A9">
        <w:rPr>
          <w:rFonts w:ascii="Arial" w:hAnsi="Arial" w:cs="Arial"/>
          <w:sz w:val="24"/>
          <w:szCs w:val="24"/>
        </w:rPr>
        <w:t xml:space="preserve"> (Robertson et al</w:t>
      </w:r>
      <w:r w:rsidR="00E32FDB" w:rsidRPr="005847A9">
        <w:rPr>
          <w:rFonts w:ascii="Arial" w:hAnsi="Arial" w:cs="Arial"/>
          <w:sz w:val="24"/>
          <w:szCs w:val="24"/>
        </w:rPr>
        <w:t>.,</w:t>
      </w:r>
      <w:r w:rsidR="002238E5" w:rsidRPr="005847A9">
        <w:rPr>
          <w:rFonts w:ascii="Arial" w:hAnsi="Arial" w:cs="Arial"/>
          <w:sz w:val="24"/>
          <w:szCs w:val="24"/>
        </w:rPr>
        <w:t xml:space="preserve"> 2013)</w:t>
      </w:r>
      <w:r w:rsidR="00EC4403" w:rsidRPr="005847A9">
        <w:rPr>
          <w:rFonts w:ascii="Arial" w:hAnsi="Arial" w:cs="Arial"/>
          <w:sz w:val="24"/>
          <w:szCs w:val="24"/>
        </w:rPr>
        <w:t xml:space="preserve"> </w:t>
      </w:r>
      <w:r w:rsidR="002238E5" w:rsidRPr="005847A9">
        <w:rPr>
          <w:rFonts w:ascii="Arial" w:hAnsi="Arial" w:cs="Arial"/>
          <w:sz w:val="24"/>
          <w:szCs w:val="24"/>
        </w:rPr>
        <w:t xml:space="preserve">often </w:t>
      </w:r>
      <w:r w:rsidR="00EC4403" w:rsidRPr="005847A9">
        <w:rPr>
          <w:rFonts w:ascii="Arial" w:hAnsi="Arial" w:cs="Arial"/>
          <w:sz w:val="24"/>
          <w:szCs w:val="24"/>
        </w:rPr>
        <w:t>linked to processing their asylum applications</w:t>
      </w:r>
      <w:r w:rsidR="00C02014" w:rsidRPr="005847A9">
        <w:rPr>
          <w:rFonts w:ascii="Arial" w:hAnsi="Arial" w:cs="Arial"/>
          <w:sz w:val="24"/>
          <w:szCs w:val="24"/>
        </w:rPr>
        <w:t xml:space="preserve"> (Morgan, Melluish &amp; Welham 2017</w:t>
      </w:r>
      <w:r w:rsidR="00197418" w:rsidRPr="005847A9">
        <w:rPr>
          <w:rFonts w:ascii="Arial" w:hAnsi="Arial" w:cs="Arial"/>
          <w:sz w:val="24"/>
          <w:szCs w:val="24"/>
        </w:rPr>
        <w:t>, Laban et al</w:t>
      </w:r>
      <w:r w:rsidR="00E32FDB" w:rsidRPr="005847A9">
        <w:rPr>
          <w:rFonts w:ascii="Arial" w:hAnsi="Arial" w:cs="Arial"/>
          <w:sz w:val="24"/>
          <w:szCs w:val="24"/>
        </w:rPr>
        <w:t>.,</w:t>
      </w:r>
      <w:r w:rsidR="00197418" w:rsidRPr="005847A9">
        <w:rPr>
          <w:rFonts w:ascii="Arial" w:hAnsi="Arial" w:cs="Arial"/>
          <w:sz w:val="24"/>
          <w:szCs w:val="24"/>
        </w:rPr>
        <w:t xml:space="preserve"> 2004</w:t>
      </w:r>
      <w:r w:rsidR="00621050" w:rsidRPr="005847A9">
        <w:rPr>
          <w:rFonts w:ascii="Arial" w:hAnsi="Arial" w:cs="Arial"/>
          <w:sz w:val="24"/>
          <w:szCs w:val="24"/>
        </w:rPr>
        <w:t>, Laban et al</w:t>
      </w:r>
      <w:r w:rsidR="00E32FDB" w:rsidRPr="005847A9">
        <w:rPr>
          <w:rFonts w:ascii="Arial" w:hAnsi="Arial" w:cs="Arial"/>
          <w:sz w:val="24"/>
          <w:szCs w:val="24"/>
        </w:rPr>
        <w:t>.,</w:t>
      </w:r>
      <w:r w:rsidR="00621050" w:rsidRPr="005847A9">
        <w:rPr>
          <w:rFonts w:ascii="Arial" w:hAnsi="Arial" w:cs="Arial"/>
          <w:sz w:val="24"/>
          <w:szCs w:val="24"/>
        </w:rPr>
        <w:t xml:space="preserve"> 2005</w:t>
      </w:r>
      <w:r w:rsidR="00C02014" w:rsidRPr="005847A9">
        <w:rPr>
          <w:rFonts w:ascii="Arial" w:hAnsi="Arial" w:cs="Arial"/>
          <w:sz w:val="24"/>
          <w:szCs w:val="24"/>
        </w:rPr>
        <w:t>)</w:t>
      </w:r>
      <w:r w:rsidR="00EC4403" w:rsidRPr="005847A9">
        <w:rPr>
          <w:rFonts w:ascii="Arial" w:hAnsi="Arial" w:cs="Arial"/>
          <w:sz w:val="24"/>
          <w:szCs w:val="24"/>
        </w:rPr>
        <w:t>.  Areas of unmet need are substantial and the current Covid-19 pandemic has further exacerbated existing disparity in access to services</w:t>
      </w:r>
      <w:r w:rsidR="00DB10EB" w:rsidRPr="005847A9">
        <w:rPr>
          <w:rFonts w:ascii="Arial" w:hAnsi="Arial" w:cs="Arial"/>
          <w:sz w:val="24"/>
          <w:szCs w:val="24"/>
        </w:rPr>
        <w:t xml:space="preserve"> (Public Health England, 2020)</w:t>
      </w:r>
      <w:r w:rsidR="00EC4403" w:rsidRPr="005847A9">
        <w:rPr>
          <w:rFonts w:ascii="Arial" w:hAnsi="Arial" w:cs="Arial"/>
          <w:sz w:val="24"/>
          <w:szCs w:val="24"/>
        </w:rPr>
        <w:t xml:space="preserve">.  </w:t>
      </w:r>
      <w:r w:rsidRPr="005847A9">
        <w:rPr>
          <w:rFonts w:ascii="Arial" w:hAnsi="Arial" w:cs="Arial"/>
          <w:sz w:val="24"/>
          <w:szCs w:val="24"/>
        </w:rPr>
        <w:t xml:space="preserve">In the absence of </w:t>
      </w:r>
      <w:r w:rsidR="008C42BC" w:rsidRPr="005847A9">
        <w:rPr>
          <w:rFonts w:ascii="Arial" w:hAnsi="Arial" w:cs="Arial"/>
          <w:sz w:val="24"/>
          <w:szCs w:val="24"/>
        </w:rPr>
        <w:t xml:space="preserve">specific </w:t>
      </w:r>
      <w:r w:rsidRPr="005847A9">
        <w:rPr>
          <w:rFonts w:ascii="Arial" w:hAnsi="Arial" w:cs="Arial"/>
          <w:sz w:val="24"/>
          <w:szCs w:val="24"/>
        </w:rPr>
        <w:t>mental health commissioning guidance there is a risk that refugees and asylum seekers presenting with PTSD</w:t>
      </w:r>
      <w:r w:rsidR="00F60173" w:rsidRPr="005847A9">
        <w:rPr>
          <w:rFonts w:ascii="Arial" w:hAnsi="Arial" w:cs="Arial"/>
          <w:sz w:val="24"/>
          <w:szCs w:val="24"/>
        </w:rPr>
        <w:t xml:space="preserve"> or CPTSD</w:t>
      </w:r>
      <w:r w:rsidRPr="005847A9">
        <w:rPr>
          <w:rFonts w:ascii="Arial" w:hAnsi="Arial" w:cs="Arial"/>
          <w:sz w:val="24"/>
          <w:szCs w:val="24"/>
        </w:rPr>
        <w:t xml:space="preserve"> fall in the gap between IAPT and secondary mental health services.  Refugees and asylum seekers often </w:t>
      </w:r>
      <w:r w:rsidR="005F27B4" w:rsidRPr="005847A9">
        <w:rPr>
          <w:rFonts w:ascii="Arial" w:hAnsi="Arial" w:cs="Arial"/>
          <w:sz w:val="24"/>
          <w:szCs w:val="24"/>
        </w:rPr>
        <w:t>have needs which cannot be met by</w:t>
      </w:r>
      <w:r w:rsidRPr="005847A9">
        <w:rPr>
          <w:rFonts w:ascii="Arial" w:hAnsi="Arial" w:cs="Arial"/>
          <w:sz w:val="24"/>
          <w:szCs w:val="24"/>
        </w:rPr>
        <w:t xml:space="preserve"> IAPT services while </w:t>
      </w:r>
      <w:r w:rsidR="005F27B4" w:rsidRPr="005847A9">
        <w:rPr>
          <w:rFonts w:ascii="Arial" w:hAnsi="Arial" w:cs="Arial"/>
          <w:sz w:val="24"/>
          <w:szCs w:val="24"/>
        </w:rPr>
        <w:t>their mental health needs do not meet the required thresholds</w:t>
      </w:r>
      <w:r w:rsidRPr="005847A9">
        <w:rPr>
          <w:rFonts w:ascii="Arial" w:hAnsi="Arial" w:cs="Arial"/>
          <w:sz w:val="24"/>
          <w:szCs w:val="24"/>
        </w:rPr>
        <w:t xml:space="preserve"> for secondary mental health services. </w:t>
      </w:r>
    </w:p>
    <w:p w14:paraId="1EF12134" w14:textId="6CC017A0" w:rsidR="00531137" w:rsidRPr="005847A9" w:rsidRDefault="003C6561" w:rsidP="005847A9">
      <w:pPr>
        <w:spacing w:line="360" w:lineRule="auto"/>
        <w:ind w:firstLine="720"/>
        <w:rPr>
          <w:rFonts w:ascii="Arial" w:hAnsi="Arial" w:cs="Arial"/>
          <w:sz w:val="24"/>
          <w:szCs w:val="24"/>
        </w:rPr>
      </w:pPr>
      <w:r w:rsidRPr="005847A9">
        <w:rPr>
          <w:rFonts w:ascii="Arial" w:hAnsi="Arial" w:cs="Arial"/>
          <w:sz w:val="24"/>
          <w:szCs w:val="24"/>
        </w:rPr>
        <w:t xml:space="preserve">One potential solution to the multiple barriers to good mental health support for refugees and asylum seekers presenting with PTSD and CPTSD is to include stabilisation treatment for all individuals before moving onto individual trauma-focused work, irrespective of diagnosis of CPTSD or PTSD. This has the benefits of the standard elements of stabilisation work, building trust and engagement while providing support around practical needs via liaison with local community organisations. It further allows for socialisation to using UK mental health services and to a CBT approach to mental health, and increases familiarity and confidence with working through interpreters. It should be noted that other authors have argued </w:t>
      </w:r>
      <w:r w:rsidR="00F60173" w:rsidRPr="005847A9">
        <w:rPr>
          <w:rFonts w:ascii="Arial" w:hAnsi="Arial" w:cs="Arial"/>
          <w:sz w:val="24"/>
          <w:szCs w:val="24"/>
        </w:rPr>
        <w:lastRenderedPageBreak/>
        <w:t xml:space="preserve">for </w:t>
      </w:r>
      <w:r w:rsidRPr="005847A9">
        <w:rPr>
          <w:rFonts w:ascii="Arial" w:hAnsi="Arial" w:cs="Arial"/>
          <w:sz w:val="24"/>
          <w:szCs w:val="24"/>
        </w:rPr>
        <w:t>offering individual trauma work as a first-line intervention for this population (</w:t>
      </w:r>
      <w:r w:rsidR="00E9292D" w:rsidRPr="005847A9">
        <w:rPr>
          <w:rFonts w:ascii="Arial" w:hAnsi="Arial" w:cs="Arial"/>
          <w:sz w:val="24"/>
          <w:szCs w:val="24"/>
        </w:rPr>
        <w:t>T</w:t>
      </w:r>
      <w:r w:rsidRPr="005847A9">
        <w:rPr>
          <w:rFonts w:ascii="Arial" w:hAnsi="Arial" w:cs="Arial"/>
          <w:sz w:val="24"/>
          <w:szCs w:val="24"/>
        </w:rPr>
        <w:t>er Heide, Mooren &amp; Kleber</w:t>
      </w:r>
      <w:r w:rsidR="00FB4D7F" w:rsidRPr="005847A9">
        <w:rPr>
          <w:rFonts w:ascii="Arial" w:hAnsi="Arial" w:cs="Arial"/>
          <w:sz w:val="24"/>
          <w:szCs w:val="24"/>
        </w:rPr>
        <w:t>.,</w:t>
      </w:r>
      <w:r w:rsidRPr="005847A9">
        <w:rPr>
          <w:rFonts w:ascii="Arial" w:hAnsi="Arial" w:cs="Arial"/>
          <w:sz w:val="24"/>
          <w:szCs w:val="24"/>
        </w:rPr>
        <w:t xml:space="preserve"> 2016), so careful and thorough evaluation of different treatment models is needed. </w:t>
      </w:r>
      <w:r w:rsidR="00531137" w:rsidRPr="005847A9">
        <w:rPr>
          <w:rFonts w:ascii="Arial" w:hAnsi="Arial" w:cs="Arial"/>
          <w:sz w:val="24"/>
          <w:szCs w:val="24"/>
        </w:rPr>
        <w:t xml:space="preserve">This study evaluates one </w:t>
      </w:r>
      <w:r w:rsidRPr="005847A9">
        <w:rPr>
          <w:rFonts w:ascii="Arial" w:hAnsi="Arial" w:cs="Arial"/>
          <w:sz w:val="24"/>
          <w:szCs w:val="24"/>
        </w:rPr>
        <w:t>model of PTSD treatment</w:t>
      </w:r>
      <w:r w:rsidR="00531137" w:rsidRPr="005847A9">
        <w:rPr>
          <w:rFonts w:ascii="Arial" w:hAnsi="Arial" w:cs="Arial"/>
          <w:sz w:val="24"/>
          <w:szCs w:val="24"/>
        </w:rPr>
        <w:t>, delivering stabilisation work via IAPT as a specialist group provision for refugees and asylums seekers</w:t>
      </w:r>
      <w:r w:rsidR="00041622" w:rsidRPr="005847A9">
        <w:rPr>
          <w:rFonts w:ascii="Arial" w:hAnsi="Arial" w:cs="Arial"/>
          <w:sz w:val="24"/>
          <w:szCs w:val="24"/>
        </w:rPr>
        <w:t xml:space="preserve">, before encouraging individual, formulation-driven PTSD treatments. </w:t>
      </w:r>
    </w:p>
    <w:p w14:paraId="6FD8E9D0" w14:textId="08784B24" w:rsidR="00531137" w:rsidRPr="005847A9" w:rsidRDefault="00531137" w:rsidP="005847A9">
      <w:pPr>
        <w:spacing w:line="360" w:lineRule="auto"/>
        <w:ind w:firstLine="720"/>
        <w:rPr>
          <w:rFonts w:ascii="Arial" w:hAnsi="Arial" w:cs="Arial"/>
          <w:sz w:val="24"/>
          <w:szCs w:val="24"/>
        </w:rPr>
      </w:pPr>
      <w:r w:rsidRPr="005847A9">
        <w:rPr>
          <w:rFonts w:ascii="Arial" w:hAnsi="Arial" w:cs="Arial"/>
          <w:sz w:val="24"/>
          <w:szCs w:val="24"/>
        </w:rPr>
        <w:t>Group interventions are commonly offered as a first-line intervention within IAPT services</w:t>
      </w:r>
      <w:r w:rsidR="0011402D" w:rsidRPr="005847A9">
        <w:rPr>
          <w:rFonts w:ascii="Arial" w:hAnsi="Arial" w:cs="Arial"/>
          <w:sz w:val="24"/>
          <w:szCs w:val="24"/>
        </w:rPr>
        <w:t xml:space="preserve"> in order to increase access to mental health services,</w:t>
      </w:r>
      <w:r w:rsidRPr="005847A9">
        <w:rPr>
          <w:rFonts w:ascii="Arial" w:hAnsi="Arial" w:cs="Arial"/>
          <w:sz w:val="24"/>
          <w:szCs w:val="24"/>
        </w:rPr>
        <w:t xml:space="preserve"> and individual therapy is offered to those who require further treatment.  A recent systematic review and meta-analysis of studies of psychological interventions for post-traumatic stress disorder with refugees and asylum seekers (Thompson, Vidgen &amp; Roberts, 2018) found only one group-based intervention which met the inclusion criteria. While this study (Otto et al</w:t>
      </w:r>
      <w:r w:rsidR="00FB50B2" w:rsidRPr="005847A9">
        <w:rPr>
          <w:rFonts w:ascii="Arial" w:hAnsi="Arial" w:cs="Arial"/>
          <w:sz w:val="24"/>
          <w:szCs w:val="24"/>
        </w:rPr>
        <w:t>.</w:t>
      </w:r>
      <w:r w:rsidRPr="005847A9">
        <w:rPr>
          <w:rFonts w:ascii="Arial" w:hAnsi="Arial" w:cs="Arial"/>
          <w:sz w:val="24"/>
          <w:szCs w:val="24"/>
        </w:rPr>
        <w:t>, 2003) reported a large positive effect size for combined treatment (trauma-focused CBT group intervention and Sertraline) it was based on a small sample size (n=10). The meta-analysis points to a dearth of evidence supporting the use of group trauma treatment for refugees and asylum seekers.</w:t>
      </w:r>
    </w:p>
    <w:p w14:paraId="6F8EC1A0" w14:textId="2DF14658" w:rsidR="00531137" w:rsidRPr="005847A9" w:rsidRDefault="00531137" w:rsidP="005847A9">
      <w:pPr>
        <w:spacing w:line="360" w:lineRule="auto"/>
        <w:ind w:firstLine="720"/>
        <w:rPr>
          <w:rFonts w:ascii="Arial" w:hAnsi="Arial" w:cs="Arial"/>
          <w:sz w:val="24"/>
          <w:szCs w:val="24"/>
        </w:rPr>
      </w:pPr>
      <w:bookmarkStart w:id="2" w:name="_Hlk63434233"/>
      <w:r w:rsidRPr="005847A9">
        <w:rPr>
          <w:rFonts w:ascii="Arial" w:hAnsi="Arial" w:cs="Arial"/>
          <w:sz w:val="24"/>
          <w:szCs w:val="24"/>
        </w:rPr>
        <w:t xml:space="preserve">The use of routine outcome measures is fundamental to the ongoing evaluation of the effectiveness of all IAPT services. </w:t>
      </w:r>
      <w:r w:rsidR="0011402D" w:rsidRPr="005847A9">
        <w:rPr>
          <w:rFonts w:ascii="Arial" w:hAnsi="Arial" w:cs="Arial"/>
          <w:sz w:val="24"/>
          <w:szCs w:val="24"/>
        </w:rPr>
        <w:t>W</w:t>
      </w:r>
      <w:r w:rsidRPr="005847A9">
        <w:rPr>
          <w:rFonts w:ascii="Arial" w:hAnsi="Arial" w:cs="Arial"/>
          <w:sz w:val="24"/>
          <w:szCs w:val="24"/>
        </w:rPr>
        <w:t xml:space="preserve">hile standardised measures (e.g. Patient Health Questionnaires or PHQ-9 and Generalised Anxiety Disorder assessment or GAD-7) have been translated and tested for reliability and validity within </w:t>
      </w:r>
      <w:r w:rsidR="005F0042" w:rsidRPr="005847A9">
        <w:rPr>
          <w:rFonts w:ascii="Arial" w:hAnsi="Arial" w:cs="Arial"/>
          <w:sz w:val="24"/>
          <w:szCs w:val="24"/>
        </w:rPr>
        <w:t>various cultures</w:t>
      </w:r>
      <w:r w:rsidR="00F60C59" w:rsidRPr="005847A9">
        <w:rPr>
          <w:rFonts w:ascii="Arial" w:hAnsi="Arial" w:cs="Arial"/>
          <w:sz w:val="24"/>
          <w:szCs w:val="24"/>
        </w:rPr>
        <w:t xml:space="preserve"> (</w:t>
      </w:r>
      <w:r w:rsidR="005F0042" w:rsidRPr="005847A9">
        <w:rPr>
          <w:rFonts w:ascii="Arial" w:hAnsi="Arial" w:cs="Arial"/>
          <w:sz w:val="24"/>
          <w:szCs w:val="24"/>
        </w:rPr>
        <w:t xml:space="preserve">PHQ-9: </w:t>
      </w:r>
      <w:r w:rsidR="00F60C59" w:rsidRPr="005847A9">
        <w:rPr>
          <w:rFonts w:ascii="Arial" w:hAnsi="Arial" w:cs="Arial"/>
          <w:sz w:val="24"/>
          <w:szCs w:val="24"/>
        </w:rPr>
        <w:t xml:space="preserve">Löwe et al., 2004; Reich et al., 2018; </w:t>
      </w:r>
      <w:r w:rsidR="005F0042" w:rsidRPr="005847A9">
        <w:rPr>
          <w:rFonts w:ascii="Arial" w:hAnsi="Arial" w:cs="Arial"/>
          <w:sz w:val="24"/>
          <w:szCs w:val="24"/>
        </w:rPr>
        <w:t xml:space="preserve">GAD-7: </w:t>
      </w:r>
      <w:r w:rsidR="00F60C59" w:rsidRPr="005847A9">
        <w:rPr>
          <w:rFonts w:ascii="Arial" w:hAnsi="Arial" w:cs="Arial"/>
          <w:sz w:val="24"/>
          <w:szCs w:val="24"/>
        </w:rPr>
        <w:t>Konikan et al., 2013; García-Campayo et al., 2010)</w:t>
      </w:r>
      <w:r w:rsidRPr="005847A9">
        <w:rPr>
          <w:rFonts w:ascii="Arial" w:hAnsi="Arial" w:cs="Arial"/>
          <w:sz w:val="24"/>
          <w:szCs w:val="24"/>
        </w:rPr>
        <w:t>, this has not been done for all the B</w:t>
      </w:r>
      <w:r w:rsidR="0011402D" w:rsidRPr="005847A9">
        <w:rPr>
          <w:rFonts w:ascii="Arial" w:hAnsi="Arial" w:cs="Arial"/>
          <w:sz w:val="24"/>
          <w:szCs w:val="24"/>
        </w:rPr>
        <w:t xml:space="preserve">lack, </w:t>
      </w:r>
      <w:r w:rsidRPr="005847A9">
        <w:rPr>
          <w:rFonts w:ascii="Arial" w:hAnsi="Arial" w:cs="Arial"/>
          <w:sz w:val="24"/>
          <w:szCs w:val="24"/>
        </w:rPr>
        <w:t>A</w:t>
      </w:r>
      <w:r w:rsidR="0011402D" w:rsidRPr="005847A9">
        <w:rPr>
          <w:rFonts w:ascii="Arial" w:hAnsi="Arial" w:cs="Arial"/>
          <w:sz w:val="24"/>
          <w:szCs w:val="24"/>
        </w:rPr>
        <w:t xml:space="preserve">sian and </w:t>
      </w:r>
      <w:r w:rsidRPr="005847A9">
        <w:rPr>
          <w:rFonts w:ascii="Arial" w:hAnsi="Arial" w:cs="Arial"/>
          <w:sz w:val="24"/>
          <w:szCs w:val="24"/>
        </w:rPr>
        <w:t>M</w:t>
      </w:r>
      <w:r w:rsidR="0011402D" w:rsidRPr="005847A9">
        <w:rPr>
          <w:rFonts w:ascii="Arial" w:hAnsi="Arial" w:cs="Arial"/>
          <w:sz w:val="24"/>
          <w:szCs w:val="24"/>
        </w:rPr>
        <w:t xml:space="preserve">inority </w:t>
      </w:r>
      <w:r w:rsidRPr="005847A9">
        <w:rPr>
          <w:rFonts w:ascii="Arial" w:hAnsi="Arial" w:cs="Arial"/>
          <w:sz w:val="24"/>
          <w:szCs w:val="24"/>
        </w:rPr>
        <w:t>E</w:t>
      </w:r>
      <w:r w:rsidR="0011402D" w:rsidRPr="005847A9">
        <w:rPr>
          <w:rFonts w:ascii="Arial" w:hAnsi="Arial" w:cs="Arial"/>
          <w:sz w:val="24"/>
          <w:szCs w:val="24"/>
        </w:rPr>
        <w:t>thnic</w:t>
      </w:r>
      <w:r w:rsidRPr="005847A9">
        <w:rPr>
          <w:rFonts w:ascii="Arial" w:hAnsi="Arial" w:cs="Arial"/>
          <w:sz w:val="24"/>
          <w:szCs w:val="24"/>
        </w:rPr>
        <w:t xml:space="preserve"> communities who use IAPT services.  Even if translations exist</w:t>
      </w:r>
      <w:r w:rsidR="00117751" w:rsidRPr="005847A9">
        <w:rPr>
          <w:rFonts w:ascii="Arial" w:hAnsi="Arial" w:cs="Arial"/>
          <w:sz w:val="24"/>
          <w:szCs w:val="24"/>
        </w:rPr>
        <w:t>,</w:t>
      </w:r>
      <w:r w:rsidR="00F60C59" w:rsidRPr="005847A9">
        <w:rPr>
          <w:rFonts w:ascii="Arial" w:hAnsi="Arial" w:cs="Arial"/>
          <w:sz w:val="24"/>
          <w:szCs w:val="24"/>
        </w:rPr>
        <w:t xml:space="preserve"> </w:t>
      </w:r>
      <w:r w:rsidRPr="005847A9">
        <w:rPr>
          <w:rFonts w:ascii="Arial" w:hAnsi="Arial" w:cs="Arial"/>
          <w:sz w:val="24"/>
          <w:szCs w:val="24"/>
        </w:rPr>
        <w:t>service users do not always have literacy in their first language in order to access translations and require an interpreter</w:t>
      </w:r>
      <w:r w:rsidR="00117751" w:rsidRPr="005847A9">
        <w:rPr>
          <w:rFonts w:ascii="Arial" w:hAnsi="Arial" w:cs="Arial"/>
          <w:sz w:val="24"/>
          <w:szCs w:val="24"/>
        </w:rPr>
        <w:t xml:space="preserve"> (Deisenhammer et al., 2012)</w:t>
      </w:r>
      <w:r w:rsidRPr="005847A9">
        <w:rPr>
          <w:rFonts w:ascii="Arial" w:hAnsi="Arial" w:cs="Arial"/>
          <w:sz w:val="24"/>
          <w:szCs w:val="24"/>
        </w:rPr>
        <w:t xml:space="preserve">.  While there are often benefits to working with interpreters in terms of cultural co-working the interpreting process often adds time to treatment sessions. </w:t>
      </w:r>
    </w:p>
    <w:bookmarkEnd w:id="2"/>
    <w:p w14:paraId="43398636" w14:textId="65032DFC" w:rsidR="0018304D" w:rsidRPr="005847A9" w:rsidRDefault="00531137" w:rsidP="005847A9">
      <w:pPr>
        <w:spacing w:line="360" w:lineRule="auto"/>
        <w:ind w:firstLine="720"/>
        <w:rPr>
          <w:rFonts w:ascii="Arial" w:hAnsi="Arial" w:cs="Arial"/>
          <w:sz w:val="24"/>
          <w:szCs w:val="24"/>
        </w:rPr>
      </w:pPr>
      <w:r w:rsidRPr="005847A9">
        <w:rPr>
          <w:rFonts w:ascii="Arial" w:hAnsi="Arial" w:cs="Arial"/>
          <w:sz w:val="24"/>
          <w:szCs w:val="24"/>
        </w:rPr>
        <w:t xml:space="preserve">This study therefore aimed to evaluate the feasibility of a bespoke, group-based, manualised stabilisation course, delivered within an IAPT service, as a specialist provision for refugees and asylum seekers with PTSD. Delivering a group-based intervention offers a potential efficiency in terms of clinical time and use of interpreters, valuable in the context of the strain on mental health services, and </w:t>
      </w:r>
      <w:r w:rsidRPr="005847A9">
        <w:rPr>
          <w:rFonts w:ascii="Arial" w:hAnsi="Arial" w:cs="Arial"/>
          <w:sz w:val="24"/>
          <w:szCs w:val="24"/>
        </w:rPr>
        <w:lastRenderedPageBreak/>
        <w:t xml:space="preserve">fundamentally accessible to refugees and asylum seekers.  The clinical team were also keen to explore steps taken in delivering a more culturally responsive intervention, for example in exploring different cultural understandings of PTSD symptoms, facilitating trusting relationships with professionals and facilitating social interventions (Grey &amp; Young, 2008), all of which were core components of the course. </w:t>
      </w:r>
    </w:p>
    <w:p w14:paraId="555E8793" w14:textId="46080AFE" w:rsidR="00442675" w:rsidRPr="005847A9" w:rsidRDefault="008C42BC" w:rsidP="005847A9">
      <w:pPr>
        <w:spacing w:line="360" w:lineRule="auto"/>
        <w:ind w:firstLine="720"/>
        <w:rPr>
          <w:rFonts w:ascii="Arial" w:hAnsi="Arial" w:cs="Arial"/>
          <w:sz w:val="24"/>
          <w:szCs w:val="24"/>
        </w:rPr>
      </w:pPr>
      <w:r w:rsidRPr="005847A9">
        <w:rPr>
          <w:rFonts w:ascii="Arial" w:hAnsi="Arial" w:cs="Arial"/>
          <w:sz w:val="24"/>
          <w:szCs w:val="24"/>
        </w:rPr>
        <w:t>This study</w:t>
      </w:r>
      <w:r w:rsidR="00AA50A1" w:rsidRPr="005847A9">
        <w:rPr>
          <w:rFonts w:ascii="Arial" w:hAnsi="Arial" w:cs="Arial"/>
          <w:sz w:val="24"/>
          <w:szCs w:val="24"/>
        </w:rPr>
        <w:t xml:space="preserve"> </w:t>
      </w:r>
      <w:r w:rsidR="000A4DB7" w:rsidRPr="005847A9">
        <w:rPr>
          <w:rFonts w:ascii="Arial" w:hAnsi="Arial" w:cs="Arial"/>
          <w:sz w:val="24"/>
          <w:szCs w:val="24"/>
        </w:rPr>
        <w:t>investigate</w:t>
      </w:r>
      <w:r w:rsidR="00CD1064" w:rsidRPr="005847A9">
        <w:rPr>
          <w:rFonts w:ascii="Arial" w:hAnsi="Arial" w:cs="Arial"/>
          <w:sz w:val="24"/>
          <w:szCs w:val="24"/>
        </w:rPr>
        <w:t>d</w:t>
      </w:r>
      <w:r w:rsidR="00AA50A1" w:rsidRPr="005847A9">
        <w:rPr>
          <w:rFonts w:ascii="Arial" w:hAnsi="Arial" w:cs="Arial"/>
          <w:sz w:val="24"/>
          <w:szCs w:val="24"/>
        </w:rPr>
        <w:t>:</w:t>
      </w:r>
    </w:p>
    <w:p w14:paraId="32F346CE" w14:textId="08C9D255" w:rsidR="00442675" w:rsidRPr="005847A9" w:rsidRDefault="00AA50A1" w:rsidP="005847A9">
      <w:pPr>
        <w:spacing w:line="360" w:lineRule="auto"/>
        <w:rPr>
          <w:rFonts w:ascii="Arial" w:hAnsi="Arial" w:cs="Arial"/>
          <w:sz w:val="24"/>
          <w:szCs w:val="24"/>
        </w:rPr>
      </w:pPr>
      <w:r w:rsidRPr="005847A9">
        <w:rPr>
          <w:rFonts w:ascii="Arial" w:hAnsi="Arial" w:cs="Arial"/>
          <w:sz w:val="24"/>
          <w:szCs w:val="24"/>
        </w:rPr>
        <w:t xml:space="preserve">1 – </w:t>
      </w:r>
      <w:r w:rsidR="007F3CE4" w:rsidRPr="005847A9">
        <w:rPr>
          <w:rFonts w:ascii="Arial" w:hAnsi="Arial" w:cs="Arial"/>
          <w:sz w:val="24"/>
          <w:szCs w:val="24"/>
        </w:rPr>
        <w:t xml:space="preserve"> Does a group-based stabilisation intervention for refugees and asylum seekers with PTSD reduce anxiety, depression and PTSD symptoms? </w:t>
      </w:r>
    </w:p>
    <w:p w14:paraId="4F4E216C" w14:textId="496B099F" w:rsidR="006C1E0C" w:rsidRPr="005847A9" w:rsidRDefault="006C1E0C" w:rsidP="005847A9">
      <w:pPr>
        <w:spacing w:line="360" w:lineRule="auto"/>
        <w:rPr>
          <w:rFonts w:ascii="Arial" w:hAnsi="Arial" w:cs="Arial"/>
          <w:sz w:val="24"/>
          <w:szCs w:val="24"/>
        </w:rPr>
      </w:pPr>
      <w:r w:rsidRPr="005847A9">
        <w:rPr>
          <w:rFonts w:ascii="Arial" w:hAnsi="Arial" w:cs="Arial"/>
          <w:sz w:val="24"/>
          <w:szCs w:val="24"/>
        </w:rPr>
        <w:t>2 - Is it feasible to administer routine outcome measures in a group-based intervention for refugees and asylum seekers with PTSD?</w:t>
      </w:r>
    </w:p>
    <w:p w14:paraId="7B2CFB40" w14:textId="77777777" w:rsidR="00612C05" w:rsidRPr="005847A9" w:rsidRDefault="00612C05" w:rsidP="005847A9">
      <w:pPr>
        <w:spacing w:line="360" w:lineRule="auto"/>
        <w:jc w:val="center"/>
        <w:rPr>
          <w:rFonts w:ascii="Arial" w:hAnsi="Arial" w:cs="Arial"/>
          <w:sz w:val="24"/>
          <w:szCs w:val="24"/>
        </w:rPr>
      </w:pPr>
    </w:p>
    <w:p w14:paraId="703A2B4D" w14:textId="3DE7A836" w:rsidR="00AA0035" w:rsidRPr="005847A9" w:rsidRDefault="00AA0035" w:rsidP="005847A9">
      <w:pPr>
        <w:spacing w:line="360" w:lineRule="auto"/>
        <w:jc w:val="center"/>
        <w:rPr>
          <w:rFonts w:ascii="Arial" w:hAnsi="Arial" w:cs="Arial"/>
          <w:sz w:val="24"/>
          <w:szCs w:val="24"/>
        </w:rPr>
      </w:pPr>
      <w:r w:rsidRPr="005847A9">
        <w:rPr>
          <w:rFonts w:ascii="Arial" w:hAnsi="Arial" w:cs="Arial"/>
          <w:sz w:val="24"/>
          <w:szCs w:val="24"/>
        </w:rPr>
        <w:t>Methods</w:t>
      </w:r>
    </w:p>
    <w:p w14:paraId="5CEFEEB4" w14:textId="4464521E" w:rsidR="00AA0035" w:rsidRPr="005847A9" w:rsidRDefault="00AA0035" w:rsidP="005847A9">
      <w:pPr>
        <w:spacing w:line="360" w:lineRule="auto"/>
        <w:rPr>
          <w:rFonts w:ascii="Arial" w:hAnsi="Arial" w:cs="Arial"/>
          <w:sz w:val="24"/>
          <w:szCs w:val="24"/>
        </w:rPr>
      </w:pPr>
      <w:r w:rsidRPr="005847A9">
        <w:rPr>
          <w:rFonts w:ascii="Arial" w:hAnsi="Arial" w:cs="Arial"/>
          <w:sz w:val="24"/>
          <w:szCs w:val="24"/>
        </w:rPr>
        <w:t>Study design</w:t>
      </w:r>
    </w:p>
    <w:p w14:paraId="39F3C500" w14:textId="588388F3" w:rsidR="00397EAB" w:rsidRPr="005847A9" w:rsidRDefault="00E23094" w:rsidP="005847A9">
      <w:pPr>
        <w:spacing w:line="360" w:lineRule="auto"/>
        <w:ind w:firstLine="720"/>
        <w:rPr>
          <w:rFonts w:ascii="Arial" w:hAnsi="Arial" w:cs="Arial"/>
          <w:sz w:val="24"/>
          <w:szCs w:val="24"/>
        </w:rPr>
      </w:pPr>
      <w:r w:rsidRPr="005847A9">
        <w:rPr>
          <w:rFonts w:ascii="Arial" w:hAnsi="Arial" w:cs="Arial"/>
          <w:sz w:val="24"/>
          <w:szCs w:val="24"/>
        </w:rPr>
        <w:t xml:space="preserve">This study investigated the feasibility of </w:t>
      </w:r>
      <w:r w:rsidR="004934CC" w:rsidRPr="005847A9">
        <w:rPr>
          <w:rFonts w:ascii="Arial" w:hAnsi="Arial" w:cs="Arial"/>
          <w:sz w:val="24"/>
          <w:szCs w:val="24"/>
        </w:rPr>
        <w:t xml:space="preserve">a </w:t>
      </w:r>
      <w:r w:rsidR="00DB2A80" w:rsidRPr="005847A9">
        <w:rPr>
          <w:rFonts w:ascii="Arial" w:hAnsi="Arial" w:cs="Arial"/>
          <w:sz w:val="24"/>
          <w:szCs w:val="24"/>
        </w:rPr>
        <w:t>group-based</w:t>
      </w:r>
      <w:r w:rsidR="004934CC" w:rsidRPr="005847A9">
        <w:rPr>
          <w:rFonts w:ascii="Arial" w:hAnsi="Arial" w:cs="Arial"/>
          <w:sz w:val="24"/>
          <w:szCs w:val="24"/>
        </w:rPr>
        <w:t xml:space="preserve"> trauma stabilisation intervention delivered within an NHS </w:t>
      </w:r>
      <w:r w:rsidR="00DB2A80" w:rsidRPr="005847A9">
        <w:rPr>
          <w:rFonts w:ascii="Arial" w:hAnsi="Arial" w:cs="Arial"/>
          <w:sz w:val="24"/>
          <w:szCs w:val="24"/>
        </w:rPr>
        <w:t xml:space="preserve">IAPT </w:t>
      </w:r>
      <w:r w:rsidR="004934CC" w:rsidRPr="005847A9">
        <w:rPr>
          <w:rFonts w:ascii="Arial" w:hAnsi="Arial" w:cs="Arial"/>
          <w:sz w:val="24"/>
          <w:szCs w:val="24"/>
        </w:rPr>
        <w:t>mental health service</w:t>
      </w:r>
      <w:r w:rsidR="00760EF3" w:rsidRPr="005847A9">
        <w:rPr>
          <w:rFonts w:ascii="Arial" w:hAnsi="Arial" w:cs="Arial"/>
          <w:sz w:val="24"/>
          <w:szCs w:val="24"/>
        </w:rPr>
        <w:t>,</w:t>
      </w:r>
      <w:r w:rsidR="004934CC" w:rsidRPr="005847A9">
        <w:rPr>
          <w:rFonts w:ascii="Arial" w:hAnsi="Arial" w:cs="Arial"/>
          <w:sz w:val="24"/>
          <w:szCs w:val="24"/>
        </w:rPr>
        <w:t xml:space="preserve"> for refugees and asylum seekers in the UK. </w:t>
      </w:r>
      <w:r w:rsidR="002270B2" w:rsidRPr="005847A9">
        <w:rPr>
          <w:rFonts w:ascii="Arial" w:hAnsi="Arial" w:cs="Arial"/>
          <w:sz w:val="24"/>
          <w:szCs w:val="24"/>
        </w:rPr>
        <w:t xml:space="preserve">We aimed to investigate how reliably outcome measures could be completed when </w:t>
      </w:r>
      <w:r w:rsidR="0058316E" w:rsidRPr="005847A9">
        <w:rPr>
          <w:rFonts w:ascii="Arial" w:hAnsi="Arial" w:cs="Arial"/>
          <w:sz w:val="24"/>
          <w:szCs w:val="24"/>
        </w:rPr>
        <w:t>non-English speakers, from many different countries</w:t>
      </w:r>
      <w:r w:rsidR="002270B2" w:rsidRPr="005847A9">
        <w:rPr>
          <w:rFonts w:ascii="Arial" w:hAnsi="Arial" w:cs="Arial"/>
          <w:sz w:val="24"/>
          <w:szCs w:val="24"/>
        </w:rPr>
        <w:t xml:space="preserve"> participated in a group intervention</w:t>
      </w:r>
      <w:r w:rsidR="00DB2A80" w:rsidRPr="005847A9">
        <w:rPr>
          <w:rFonts w:ascii="Arial" w:hAnsi="Arial" w:cs="Arial"/>
          <w:sz w:val="24"/>
          <w:szCs w:val="24"/>
        </w:rPr>
        <w:t>.</w:t>
      </w:r>
      <w:r w:rsidR="002270B2" w:rsidRPr="005847A9">
        <w:rPr>
          <w:rFonts w:ascii="Arial" w:hAnsi="Arial" w:cs="Arial"/>
          <w:sz w:val="24"/>
          <w:szCs w:val="24"/>
        </w:rPr>
        <w:t xml:space="preserve"> </w:t>
      </w:r>
      <w:r w:rsidR="003539CF" w:rsidRPr="005847A9">
        <w:rPr>
          <w:rFonts w:ascii="Arial" w:hAnsi="Arial" w:cs="Arial"/>
          <w:sz w:val="24"/>
          <w:szCs w:val="24"/>
        </w:rPr>
        <w:t>R</w:t>
      </w:r>
      <w:r w:rsidR="000A4DB7" w:rsidRPr="005847A9">
        <w:rPr>
          <w:rFonts w:ascii="Arial" w:hAnsi="Arial" w:cs="Arial"/>
          <w:sz w:val="24"/>
          <w:szCs w:val="24"/>
        </w:rPr>
        <w:t>outine IAPT outcome and</w:t>
      </w:r>
      <w:r w:rsidR="003539CF" w:rsidRPr="005847A9">
        <w:rPr>
          <w:rFonts w:ascii="Arial" w:hAnsi="Arial" w:cs="Arial"/>
          <w:sz w:val="24"/>
          <w:szCs w:val="24"/>
        </w:rPr>
        <w:t xml:space="preserve"> additional</w:t>
      </w:r>
      <w:r w:rsidR="000A4DB7" w:rsidRPr="005847A9">
        <w:rPr>
          <w:rFonts w:ascii="Arial" w:hAnsi="Arial" w:cs="Arial"/>
          <w:sz w:val="24"/>
          <w:szCs w:val="24"/>
        </w:rPr>
        <w:t xml:space="preserve"> idiosyncratic measures</w:t>
      </w:r>
      <w:r w:rsidR="003539CF" w:rsidRPr="005847A9">
        <w:rPr>
          <w:rFonts w:ascii="Arial" w:hAnsi="Arial" w:cs="Arial"/>
          <w:sz w:val="24"/>
          <w:szCs w:val="24"/>
        </w:rPr>
        <w:t xml:space="preserve"> were used</w:t>
      </w:r>
      <w:r w:rsidR="000A4DB7" w:rsidRPr="005847A9">
        <w:rPr>
          <w:rFonts w:ascii="Arial" w:hAnsi="Arial" w:cs="Arial"/>
          <w:sz w:val="24"/>
          <w:szCs w:val="24"/>
        </w:rPr>
        <w:t xml:space="preserve"> to assess mental health outcomes pre- and post- treatment.</w:t>
      </w:r>
    </w:p>
    <w:p w14:paraId="0DDDBB02" w14:textId="77777777" w:rsidR="00DB2A80" w:rsidRPr="005847A9" w:rsidRDefault="00DB2A80" w:rsidP="005847A9">
      <w:pPr>
        <w:spacing w:line="360" w:lineRule="auto"/>
        <w:rPr>
          <w:rFonts w:ascii="Arial" w:hAnsi="Arial" w:cs="Arial"/>
          <w:sz w:val="24"/>
          <w:szCs w:val="24"/>
        </w:rPr>
      </w:pPr>
    </w:p>
    <w:p w14:paraId="57AF1AF2" w14:textId="210340D4" w:rsidR="00AA0035" w:rsidRPr="005847A9" w:rsidRDefault="00AD0F21" w:rsidP="005847A9">
      <w:pPr>
        <w:spacing w:line="360" w:lineRule="auto"/>
        <w:rPr>
          <w:rFonts w:ascii="Arial" w:hAnsi="Arial" w:cs="Arial"/>
          <w:sz w:val="24"/>
          <w:szCs w:val="24"/>
        </w:rPr>
      </w:pPr>
      <w:r w:rsidRPr="005847A9">
        <w:rPr>
          <w:rFonts w:ascii="Arial" w:hAnsi="Arial" w:cs="Arial"/>
          <w:sz w:val="24"/>
          <w:szCs w:val="24"/>
        </w:rPr>
        <w:t>Procedure</w:t>
      </w:r>
    </w:p>
    <w:p w14:paraId="6219998B" w14:textId="0D0E3734" w:rsidR="00BF46CA" w:rsidRPr="005847A9" w:rsidRDefault="00760EF3" w:rsidP="005847A9">
      <w:pPr>
        <w:spacing w:line="360" w:lineRule="auto"/>
        <w:ind w:firstLine="720"/>
        <w:rPr>
          <w:rFonts w:ascii="Arial" w:hAnsi="Arial" w:cs="Arial"/>
          <w:sz w:val="24"/>
          <w:szCs w:val="24"/>
        </w:rPr>
      </w:pPr>
      <w:r w:rsidRPr="005847A9">
        <w:rPr>
          <w:rFonts w:ascii="Arial" w:hAnsi="Arial" w:cs="Arial"/>
          <w:sz w:val="24"/>
          <w:szCs w:val="24"/>
        </w:rPr>
        <w:t>This study reports</w:t>
      </w:r>
      <w:r w:rsidR="00774400" w:rsidRPr="005847A9">
        <w:rPr>
          <w:rFonts w:ascii="Arial" w:hAnsi="Arial" w:cs="Arial"/>
          <w:sz w:val="24"/>
          <w:szCs w:val="24"/>
        </w:rPr>
        <w:t xml:space="preserve"> on a</w:t>
      </w:r>
      <w:r w:rsidRPr="005847A9">
        <w:rPr>
          <w:rFonts w:ascii="Arial" w:hAnsi="Arial" w:cs="Arial"/>
          <w:sz w:val="24"/>
          <w:szCs w:val="24"/>
        </w:rPr>
        <w:t xml:space="preserve"> routine service evaluation</w:t>
      </w:r>
      <w:r w:rsidR="00774400" w:rsidRPr="005847A9">
        <w:rPr>
          <w:rFonts w:ascii="Arial" w:hAnsi="Arial" w:cs="Arial"/>
          <w:sz w:val="24"/>
          <w:szCs w:val="24"/>
        </w:rPr>
        <w:t xml:space="preserve"> and so the p</w:t>
      </w:r>
      <w:r w:rsidRPr="005847A9">
        <w:rPr>
          <w:rFonts w:ascii="Arial" w:hAnsi="Arial" w:cs="Arial"/>
          <w:sz w:val="24"/>
          <w:szCs w:val="24"/>
        </w:rPr>
        <w:t xml:space="preserve">rocedures outlined are standard for all referrals.  </w:t>
      </w:r>
      <w:r w:rsidR="00BD5383" w:rsidRPr="005847A9">
        <w:rPr>
          <w:rFonts w:ascii="Arial" w:hAnsi="Arial" w:cs="Arial"/>
          <w:sz w:val="24"/>
          <w:szCs w:val="24"/>
        </w:rPr>
        <w:t>Following initial assessment by IAPT</w:t>
      </w:r>
      <w:r w:rsidR="000A4DB7" w:rsidRPr="005847A9">
        <w:rPr>
          <w:rFonts w:ascii="Arial" w:hAnsi="Arial" w:cs="Arial"/>
          <w:sz w:val="24"/>
          <w:szCs w:val="24"/>
        </w:rPr>
        <w:t xml:space="preserve"> clinicians</w:t>
      </w:r>
      <w:r w:rsidR="00BD5383" w:rsidRPr="005847A9">
        <w:rPr>
          <w:rFonts w:ascii="Arial" w:hAnsi="Arial" w:cs="Arial"/>
          <w:sz w:val="24"/>
          <w:szCs w:val="24"/>
        </w:rPr>
        <w:t xml:space="preserve">, patients </w:t>
      </w:r>
      <w:r w:rsidR="0058316E" w:rsidRPr="005847A9">
        <w:rPr>
          <w:rFonts w:ascii="Arial" w:hAnsi="Arial" w:cs="Arial"/>
          <w:sz w:val="24"/>
          <w:szCs w:val="24"/>
        </w:rPr>
        <w:t>we</w:t>
      </w:r>
      <w:r w:rsidR="00BD5383" w:rsidRPr="005847A9">
        <w:rPr>
          <w:rFonts w:ascii="Arial" w:hAnsi="Arial" w:cs="Arial"/>
          <w:sz w:val="24"/>
          <w:szCs w:val="24"/>
        </w:rPr>
        <w:t>re screened for suitability</w:t>
      </w:r>
      <w:r w:rsidRPr="005847A9">
        <w:rPr>
          <w:rFonts w:ascii="Arial" w:hAnsi="Arial" w:cs="Arial"/>
          <w:sz w:val="24"/>
          <w:szCs w:val="24"/>
        </w:rPr>
        <w:t xml:space="preserve"> for trea</w:t>
      </w:r>
      <w:r w:rsidR="005F58AE" w:rsidRPr="005847A9">
        <w:rPr>
          <w:rFonts w:ascii="Arial" w:hAnsi="Arial" w:cs="Arial"/>
          <w:sz w:val="24"/>
          <w:szCs w:val="24"/>
        </w:rPr>
        <w:t>t</w:t>
      </w:r>
      <w:r w:rsidRPr="005847A9">
        <w:rPr>
          <w:rFonts w:ascii="Arial" w:hAnsi="Arial" w:cs="Arial"/>
          <w:sz w:val="24"/>
          <w:szCs w:val="24"/>
        </w:rPr>
        <w:t>ment</w:t>
      </w:r>
      <w:r w:rsidR="00BD5383" w:rsidRPr="005847A9">
        <w:rPr>
          <w:rFonts w:ascii="Arial" w:hAnsi="Arial" w:cs="Arial"/>
          <w:sz w:val="24"/>
          <w:szCs w:val="24"/>
        </w:rPr>
        <w:t xml:space="preserve"> based on factors including: consent to group treatment; risk</w:t>
      </w:r>
      <w:r w:rsidR="000A4DB7" w:rsidRPr="005847A9">
        <w:rPr>
          <w:rFonts w:ascii="Arial" w:hAnsi="Arial" w:cs="Arial"/>
          <w:sz w:val="24"/>
          <w:szCs w:val="24"/>
        </w:rPr>
        <w:t xml:space="preserve"> behaviours </w:t>
      </w:r>
      <w:r w:rsidR="00EA39E2" w:rsidRPr="005847A9">
        <w:rPr>
          <w:rFonts w:ascii="Arial" w:hAnsi="Arial" w:cs="Arial"/>
          <w:sz w:val="24"/>
          <w:szCs w:val="24"/>
        </w:rPr>
        <w:t xml:space="preserve">and availability to attend </w:t>
      </w:r>
      <w:r w:rsidR="00BD5383" w:rsidRPr="005847A9">
        <w:rPr>
          <w:rFonts w:ascii="Arial" w:hAnsi="Arial" w:cs="Arial"/>
          <w:sz w:val="24"/>
          <w:szCs w:val="24"/>
        </w:rPr>
        <w:t>sessions</w:t>
      </w:r>
      <w:r w:rsidR="00EA39E2" w:rsidRPr="005847A9">
        <w:rPr>
          <w:rFonts w:ascii="Arial" w:hAnsi="Arial" w:cs="Arial"/>
          <w:sz w:val="24"/>
          <w:szCs w:val="24"/>
        </w:rPr>
        <w:t xml:space="preserve">. </w:t>
      </w:r>
      <w:r w:rsidR="00B92488" w:rsidRPr="005847A9">
        <w:rPr>
          <w:rFonts w:ascii="Arial" w:hAnsi="Arial" w:cs="Arial"/>
          <w:sz w:val="24"/>
          <w:szCs w:val="24"/>
        </w:rPr>
        <w:t>In order to increase informed consent, t</w:t>
      </w:r>
      <w:r w:rsidR="0058316E" w:rsidRPr="005847A9">
        <w:rPr>
          <w:rFonts w:ascii="Arial" w:hAnsi="Arial" w:cs="Arial"/>
          <w:sz w:val="24"/>
          <w:szCs w:val="24"/>
        </w:rPr>
        <w:t>he treatment pathway wa</w:t>
      </w:r>
      <w:r w:rsidR="00B92488" w:rsidRPr="005847A9">
        <w:rPr>
          <w:rFonts w:ascii="Arial" w:hAnsi="Arial" w:cs="Arial"/>
          <w:sz w:val="24"/>
          <w:szCs w:val="24"/>
        </w:rPr>
        <w:t>s outlined during this</w:t>
      </w:r>
      <w:r w:rsidR="003539CF" w:rsidRPr="005847A9">
        <w:rPr>
          <w:rFonts w:ascii="Arial" w:hAnsi="Arial" w:cs="Arial"/>
          <w:sz w:val="24"/>
          <w:szCs w:val="24"/>
        </w:rPr>
        <w:t xml:space="preserve"> assessment and patients</w:t>
      </w:r>
      <w:r w:rsidR="0058316E" w:rsidRPr="005847A9">
        <w:rPr>
          <w:rFonts w:ascii="Arial" w:hAnsi="Arial" w:cs="Arial"/>
          <w:sz w:val="24"/>
          <w:szCs w:val="24"/>
        </w:rPr>
        <w:t xml:space="preserve"> we</w:t>
      </w:r>
      <w:r w:rsidR="00B92488" w:rsidRPr="005847A9">
        <w:rPr>
          <w:rFonts w:ascii="Arial" w:hAnsi="Arial" w:cs="Arial"/>
          <w:sz w:val="24"/>
          <w:szCs w:val="24"/>
        </w:rPr>
        <w:t>re shown a short film, translated into the most common</w:t>
      </w:r>
      <w:r w:rsidR="00DD1D1C" w:rsidRPr="005847A9">
        <w:rPr>
          <w:rFonts w:ascii="Arial" w:hAnsi="Arial" w:cs="Arial"/>
          <w:sz w:val="24"/>
          <w:szCs w:val="24"/>
        </w:rPr>
        <w:t>ly used</w:t>
      </w:r>
      <w:r w:rsidR="00B92488" w:rsidRPr="005847A9">
        <w:rPr>
          <w:rFonts w:ascii="Arial" w:hAnsi="Arial" w:cs="Arial"/>
          <w:sz w:val="24"/>
          <w:szCs w:val="24"/>
        </w:rPr>
        <w:t xml:space="preserve"> languages</w:t>
      </w:r>
      <w:r w:rsidR="008E566A" w:rsidRPr="005847A9">
        <w:rPr>
          <w:rFonts w:ascii="Arial" w:hAnsi="Arial" w:cs="Arial"/>
          <w:sz w:val="24"/>
          <w:szCs w:val="24"/>
        </w:rPr>
        <w:t xml:space="preserve"> among patients of the</w:t>
      </w:r>
      <w:r w:rsidR="00DD1D1C" w:rsidRPr="005847A9">
        <w:rPr>
          <w:rFonts w:ascii="Arial" w:hAnsi="Arial" w:cs="Arial"/>
          <w:sz w:val="24"/>
          <w:szCs w:val="24"/>
        </w:rPr>
        <w:t xml:space="preserve"> service</w:t>
      </w:r>
      <w:r w:rsidR="00B92488" w:rsidRPr="005847A9">
        <w:rPr>
          <w:rFonts w:ascii="Arial" w:hAnsi="Arial" w:cs="Arial"/>
          <w:sz w:val="24"/>
          <w:szCs w:val="24"/>
        </w:rPr>
        <w:t xml:space="preserve"> </w:t>
      </w:r>
      <w:r w:rsidR="00B63B1F" w:rsidRPr="005847A9">
        <w:rPr>
          <w:rFonts w:ascii="Arial" w:hAnsi="Arial" w:cs="Arial"/>
          <w:sz w:val="24"/>
          <w:szCs w:val="24"/>
        </w:rPr>
        <w:t>which explain</w:t>
      </w:r>
      <w:r w:rsidR="00E624AC" w:rsidRPr="005847A9">
        <w:rPr>
          <w:rFonts w:ascii="Arial" w:hAnsi="Arial" w:cs="Arial"/>
          <w:sz w:val="24"/>
          <w:szCs w:val="24"/>
        </w:rPr>
        <w:t>ed</w:t>
      </w:r>
      <w:r w:rsidR="00B92488" w:rsidRPr="005847A9">
        <w:rPr>
          <w:rFonts w:ascii="Arial" w:hAnsi="Arial" w:cs="Arial"/>
          <w:sz w:val="24"/>
          <w:szCs w:val="24"/>
        </w:rPr>
        <w:t xml:space="preserve"> what </w:t>
      </w:r>
      <w:r w:rsidR="00B92488" w:rsidRPr="005847A9">
        <w:rPr>
          <w:rFonts w:ascii="Arial" w:hAnsi="Arial" w:cs="Arial"/>
          <w:sz w:val="24"/>
          <w:szCs w:val="24"/>
        </w:rPr>
        <w:lastRenderedPageBreak/>
        <w:t xml:space="preserve">the course </w:t>
      </w:r>
      <w:r w:rsidR="003539CF" w:rsidRPr="005847A9">
        <w:rPr>
          <w:rFonts w:ascii="Arial" w:hAnsi="Arial" w:cs="Arial"/>
          <w:sz w:val="24"/>
          <w:szCs w:val="24"/>
        </w:rPr>
        <w:t>and subsequent 1:1 therapy would</w:t>
      </w:r>
      <w:r w:rsidR="00B92488" w:rsidRPr="005847A9">
        <w:rPr>
          <w:rFonts w:ascii="Arial" w:hAnsi="Arial" w:cs="Arial"/>
          <w:sz w:val="24"/>
          <w:szCs w:val="24"/>
        </w:rPr>
        <w:t xml:space="preserve"> look like</w:t>
      </w:r>
      <w:r w:rsidR="00B63B1F" w:rsidRPr="005847A9">
        <w:rPr>
          <w:rFonts w:ascii="Arial" w:hAnsi="Arial" w:cs="Arial"/>
          <w:sz w:val="24"/>
          <w:szCs w:val="24"/>
        </w:rPr>
        <w:t xml:space="preserve">.  </w:t>
      </w:r>
      <w:r w:rsidR="00DD1D1C" w:rsidRPr="005847A9">
        <w:rPr>
          <w:rFonts w:ascii="Arial" w:hAnsi="Arial" w:cs="Arial"/>
          <w:sz w:val="24"/>
          <w:szCs w:val="24"/>
        </w:rPr>
        <w:t>Participants</w:t>
      </w:r>
      <w:r w:rsidR="008E566A" w:rsidRPr="005847A9">
        <w:rPr>
          <w:rFonts w:ascii="Arial" w:hAnsi="Arial" w:cs="Arial"/>
          <w:sz w:val="24"/>
          <w:szCs w:val="24"/>
        </w:rPr>
        <w:t xml:space="preserve"> we</w:t>
      </w:r>
      <w:r w:rsidR="00B63B1F" w:rsidRPr="005847A9">
        <w:rPr>
          <w:rFonts w:ascii="Arial" w:hAnsi="Arial" w:cs="Arial"/>
          <w:sz w:val="24"/>
          <w:szCs w:val="24"/>
        </w:rPr>
        <w:t>re</w:t>
      </w:r>
      <w:r w:rsidR="008E566A" w:rsidRPr="005847A9">
        <w:rPr>
          <w:rFonts w:ascii="Arial" w:hAnsi="Arial" w:cs="Arial"/>
          <w:sz w:val="24"/>
          <w:szCs w:val="24"/>
        </w:rPr>
        <w:t xml:space="preserve"> informed that they would</w:t>
      </w:r>
      <w:r w:rsidR="00BF46CA" w:rsidRPr="005847A9">
        <w:rPr>
          <w:rFonts w:ascii="Arial" w:hAnsi="Arial" w:cs="Arial"/>
          <w:sz w:val="24"/>
          <w:szCs w:val="24"/>
        </w:rPr>
        <w:t xml:space="preserve"> not be able to talk about their traumatic experience in this initial group</w:t>
      </w:r>
      <w:r w:rsidR="008E566A" w:rsidRPr="005847A9">
        <w:rPr>
          <w:rFonts w:ascii="Arial" w:hAnsi="Arial" w:cs="Arial"/>
          <w:sz w:val="24"/>
          <w:szCs w:val="24"/>
        </w:rPr>
        <w:t xml:space="preserve"> setting</w:t>
      </w:r>
      <w:r w:rsidR="00DD1D1C" w:rsidRPr="005847A9">
        <w:rPr>
          <w:rFonts w:ascii="Arial" w:hAnsi="Arial" w:cs="Arial"/>
          <w:sz w:val="24"/>
          <w:szCs w:val="24"/>
        </w:rPr>
        <w:t>,</w:t>
      </w:r>
      <w:r w:rsidR="00BF46CA" w:rsidRPr="005847A9">
        <w:rPr>
          <w:rFonts w:ascii="Arial" w:hAnsi="Arial" w:cs="Arial"/>
          <w:sz w:val="24"/>
          <w:szCs w:val="24"/>
        </w:rPr>
        <w:t xml:space="preserve"> but rather </w:t>
      </w:r>
      <w:r w:rsidR="008E566A" w:rsidRPr="005847A9">
        <w:rPr>
          <w:rFonts w:ascii="Arial" w:hAnsi="Arial" w:cs="Arial"/>
          <w:sz w:val="24"/>
          <w:szCs w:val="24"/>
        </w:rPr>
        <w:t>would</w:t>
      </w:r>
      <w:r w:rsidR="00DD1D1C" w:rsidRPr="005847A9">
        <w:rPr>
          <w:rFonts w:ascii="Arial" w:hAnsi="Arial" w:cs="Arial"/>
          <w:sz w:val="24"/>
          <w:szCs w:val="24"/>
        </w:rPr>
        <w:t xml:space="preserve"> </w:t>
      </w:r>
      <w:r w:rsidR="00BF46CA" w:rsidRPr="005847A9">
        <w:rPr>
          <w:rFonts w:ascii="Arial" w:hAnsi="Arial" w:cs="Arial"/>
          <w:sz w:val="24"/>
          <w:szCs w:val="24"/>
        </w:rPr>
        <w:t xml:space="preserve">have the opportunity </w:t>
      </w:r>
      <w:r w:rsidR="00B63B1F" w:rsidRPr="005847A9">
        <w:rPr>
          <w:rFonts w:ascii="Arial" w:hAnsi="Arial" w:cs="Arial"/>
          <w:sz w:val="24"/>
          <w:szCs w:val="24"/>
        </w:rPr>
        <w:t xml:space="preserve">to </w:t>
      </w:r>
      <w:r w:rsidR="00DD1D1C" w:rsidRPr="005847A9">
        <w:rPr>
          <w:rFonts w:ascii="Arial" w:hAnsi="Arial" w:cs="Arial"/>
          <w:sz w:val="24"/>
          <w:szCs w:val="24"/>
        </w:rPr>
        <w:t xml:space="preserve">better </w:t>
      </w:r>
      <w:r w:rsidR="00976D1E" w:rsidRPr="005847A9">
        <w:rPr>
          <w:rFonts w:ascii="Arial" w:hAnsi="Arial" w:cs="Arial"/>
          <w:sz w:val="24"/>
          <w:szCs w:val="24"/>
        </w:rPr>
        <w:t>understand the impact</w:t>
      </w:r>
      <w:r w:rsidR="00B63B1F" w:rsidRPr="005847A9">
        <w:rPr>
          <w:rFonts w:ascii="Arial" w:hAnsi="Arial" w:cs="Arial"/>
          <w:sz w:val="24"/>
          <w:szCs w:val="24"/>
        </w:rPr>
        <w:t xml:space="preserve"> of trauma and learn skills to cope</w:t>
      </w:r>
      <w:r w:rsidR="00BF46CA" w:rsidRPr="005847A9">
        <w:rPr>
          <w:rFonts w:ascii="Arial" w:hAnsi="Arial" w:cs="Arial"/>
          <w:sz w:val="24"/>
          <w:szCs w:val="24"/>
        </w:rPr>
        <w:t>.</w:t>
      </w:r>
      <w:r w:rsidR="00B92488" w:rsidRPr="005847A9">
        <w:rPr>
          <w:rFonts w:ascii="Arial" w:hAnsi="Arial" w:cs="Arial"/>
          <w:sz w:val="24"/>
          <w:szCs w:val="24"/>
        </w:rPr>
        <w:t xml:space="preserve">  </w:t>
      </w:r>
    </w:p>
    <w:p w14:paraId="30148940" w14:textId="5F4568ED" w:rsidR="00BF46CA" w:rsidRPr="005847A9" w:rsidRDefault="00BF46CA" w:rsidP="005847A9">
      <w:pPr>
        <w:spacing w:line="360" w:lineRule="auto"/>
        <w:ind w:firstLine="720"/>
        <w:rPr>
          <w:rFonts w:ascii="Arial" w:hAnsi="Arial" w:cs="Arial"/>
          <w:sz w:val="24"/>
          <w:szCs w:val="24"/>
        </w:rPr>
      </w:pPr>
      <w:r w:rsidRPr="005847A9">
        <w:rPr>
          <w:rFonts w:ascii="Arial" w:hAnsi="Arial" w:cs="Arial"/>
          <w:sz w:val="24"/>
          <w:szCs w:val="24"/>
        </w:rPr>
        <w:t>PTSD can lead to an impairment in cognitive function</w:t>
      </w:r>
      <w:r w:rsidR="00E624AC" w:rsidRPr="005847A9">
        <w:rPr>
          <w:rFonts w:ascii="Arial" w:hAnsi="Arial" w:cs="Arial"/>
          <w:sz w:val="24"/>
          <w:szCs w:val="24"/>
        </w:rPr>
        <w:t>,</w:t>
      </w:r>
      <w:r w:rsidRPr="005847A9">
        <w:rPr>
          <w:rFonts w:ascii="Arial" w:hAnsi="Arial" w:cs="Arial"/>
          <w:sz w:val="24"/>
          <w:szCs w:val="24"/>
        </w:rPr>
        <w:t xml:space="preserve"> for example in concentration, memory and recall (e.g. Herlihy</w:t>
      </w:r>
      <w:r w:rsidR="00DD1D1C" w:rsidRPr="005847A9">
        <w:rPr>
          <w:rFonts w:ascii="Arial" w:hAnsi="Arial" w:cs="Arial"/>
          <w:sz w:val="24"/>
          <w:szCs w:val="24"/>
        </w:rPr>
        <w:t>, 2007</w:t>
      </w:r>
      <w:r w:rsidRPr="005847A9">
        <w:rPr>
          <w:rFonts w:ascii="Arial" w:hAnsi="Arial" w:cs="Arial"/>
          <w:sz w:val="24"/>
          <w:szCs w:val="24"/>
        </w:rPr>
        <w:t>) a</w:t>
      </w:r>
      <w:r w:rsidR="008E566A" w:rsidRPr="005847A9">
        <w:rPr>
          <w:rFonts w:ascii="Arial" w:hAnsi="Arial" w:cs="Arial"/>
          <w:sz w:val="24"/>
          <w:szCs w:val="24"/>
        </w:rPr>
        <w:t xml:space="preserve">nd for this reason sessions </w:t>
      </w:r>
      <w:r w:rsidR="00E624AC" w:rsidRPr="005847A9">
        <w:rPr>
          <w:rFonts w:ascii="Arial" w:hAnsi="Arial" w:cs="Arial"/>
          <w:sz w:val="24"/>
          <w:szCs w:val="24"/>
        </w:rPr>
        <w:t>had</w:t>
      </w:r>
      <w:r w:rsidRPr="005847A9">
        <w:rPr>
          <w:rFonts w:ascii="Arial" w:hAnsi="Arial" w:cs="Arial"/>
          <w:sz w:val="24"/>
          <w:szCs w:val="24"/>
        </w:rPr>
        <w:t xml:space="preserve"> frequent breaks; include</w:t>
      </w:r>
      <w:r w:rsidR="008E566A" w:rsidRPr="005847A9">
        <w:rPr>
          <w:rFonts w:ascii="Arial" w:hAnsi="Arial" w:cs="Arial"/>
          <w:sz w:val="24"/>
          <w:szCs w:val="24"/>
        </w:rPr>
        <w:t>d</w:t>
      </w:r>
      <w:r w:rsidRPr="005847A9">
        <w:rPr>
          <w:rFonts w:ascii="Arial" w:hAnsi="Arial" w:cs="Arial"/>
          <w:sz w:val="24"/>
          <w:szCs w:val="24"/>
        </w:rPr>
        <w:t xml:space="preserve"> tasks which offer</w:t>
      </w:r>
      <w:r w:rsidR="008E566A" w:rsidRPr="005847A9">
        <w:rPr>
          <w:rFonts w:ascii="Arial" w:hAnsi="Arial" w:cs="Arial"/>
          <w:sz w:val="24"/>
          <w:szCs w:val="24"/>
        </w:rPr>
        <w:t>ed but did require</w:t>
      </w:r>
      <w:r w:rsidRPr="005847A9">
        <w:rPr>
          <w:rFonts w:ascii="Arial" w:hAnsi="Arial" w:cs="Arial"/>
          <w:sz w:val="24"/>
          <w:szCs w:val="24"/>
        </w:rPr>
        <w:t xml:space="preserve"> interaction (e.g. </w:t>
      </w:r>
      <w:r w:rsidR="00ED3E37" w:rsidRPr="005847A9">
        <w:rPr>
          <w:rFonts w:ascii="Arial" w:hAnsi="Arial" w:cs="Arial"/>
          <w:sz w:val="24"/>
          <w:szCs w:val="24"/>
        </w:rPr>
        <w:t xml:space="preserve">discussing </w:t>
      </w:r>
      <w:r w:rsidRPr="005847A9">
        <w:rPr>
          <w:rFonts w:ascii="Arial" w:hAnsi="Arial" w:cs="Arial"/>
          <w:sz w:val="24"/>
          <w:szCs w:val="24"/>
        </w:rPr>
        <w:t>how nightmares are understood in different cultures) and</w:t>
      </w:r>
      <w:r w:rsidR="008E566A" w:rsidRPr="005847A9">
        <w:rPr>
          <w:rFonts w:ascii="Arial" w:hAnsi="Arial" w:cs="Arial"/>
          <w:sz w:val="24"/>
          <w:szCs w:val="24"/>
        </w:rPr>
        <w:t xml:space="preserve"> sessions</w:t>
      </w:r>
      <w:r w:rsidRPr="005847A9">
        <w:rPr>
          <w:rFonts w:ascii="Arial" w:hAnsi="Arial" w:cs="Arial"/>
          <w:sz w:val="24"/>
          <w:szCs w:val="24"/>
        </w:rPr>
        <w:t xml:space="preserve"> include</w:t>
      </w:r>
      <w:r w:rsidR="008E566A" w:rsidRPr="005847A9">
        <w:rPr>
          <w:rFonts w:ascii="Arial" w:hAnsi="Arial" w:cs="Arial"/>
          <w:sz w:val="24"/>
          <w:szCs w:val="24"/>
        </w:rPr>
        <w:t>d</w:t>
      </w:r>
      <w:r w:rsidRPr="005847A9">
        <w:rPr>
          <w:rFonts w:ascii="Arial" w:hAnsi="Arial" w:cs="Arial"/>
          <w:sz w:val="24"/>
          <w:szCs w:val="24"/>
        </w:rPr>
        <w:t xml:space="preserve"> frequent summary and repetition</w:t>
      </w:r>
      <w:r w:rsidR="00DD1D1C" w:rsidRPr="005847A9">
        <w:rPr>
          <w:rFonts w:ascii="Arial" w:hAnsi="Arial" w:cs="Arial"/>
          <w:sz w:val="24"/>
          <w:szCs w:val="24"/>
        </w:rPr>
        <w:t>.  As m</w:t>
      </w:r>
      <w:r w:rsidR="00774400" w:rsidRPr="005847A9">
        <w:rPr>
          <w:rFonts w:ascii="Arial" w:hAnsi="Arial" w:cs="Arial"/>
          <w:sz w:val="24"/>
          <w:szCs w:val="24"/>
        </w:rPr>
        <w:t>ost participants</w:t>
      </w:r>
      <w:r w:rsidR="00ED3E37" w:rsidRPr="005847A9">
        <w:rPr>
          <w:rFonts w:ascii="Arial" w:hAnsi="Arial" w:cs="Arial"/>
          <w:sz w:val="24"/>
          <w:szCs w:val="24"/>
        </w:rPr>
        <w:t xml:space="preserve"> d</w:t>
      </w:r>
      <w:r w:rsidR="00E624AC" w:rsidRPr="005847A9">
        <w:rPr>
          <w:rFonts w:ascii="Arial" w:hAnsi="Arial" w:cs="Arial"/>
          <w:sz w:val="24"/>
          <w:szCs w:val="24"/>
        </w:rPr>
        <w:t>id</w:t>
      </w:r>
      <w:r w:rsidR="00ED3E37" w:rsidRPr="005847A9">
        <w:rPr>
          <w:rFonts w:ascii="Arial" w:hAnsi="Arial" w:cs="Arial"/>
          <w:sz w:val="24"/>
          <w:szCs w:val="24"/>
        </w:rPr>
        <w:t xml:space="preserve"> not</w:t>
      </w:r>
      <w:r w:rsidR="005F58AE" w:rsidRPr="005847A9">
        <w:rPr>
          <w:rFonts w:ascii="Arial" w:hAnsi="Arial" w:cs="Arial"/>
          <w:sz w:val="24"/>
          <w:szCs w:val="24"/>
        </w:rPr>
        <w:t xml:space="preserve"> have literacy</w:t>
      </w:r>
      <w:r w:rsidR="00774400" w:rsidRPr="005847A9">
        <w:rPr>
          <w:rFonts w:ascii="Arial" w:hAnsi="Arial" w:cs="Arial"/>
          <w:sz w:val="24"/>
          <w:szCs w:val="24"/>
        </w:rPr>
        <w:t xml:space="preserve"> in English or</w:t>
      </w:r>
      <w:r w:rsidR="005F58AE" w:rsidRPr="005847A9">
        <w:rPr>
          <w:rFonts w:ascii="Arial" w:hAnsi="Arial" w:cs="Arial"/>
          <w:sz w:val="24"/>
          <w:szCs w:val="24"/>
        </w:rPr>
        <w:t xml:space="preserve"> in their first</w:t>
      </w:r>
      <w:r w:rsidR="00DD1D1C" w:rsidRPr="005847A9">
        <w:rPr>
          <w:rFonts w:ascii="Arial" w:hAnsi="Arial" w:cs="Arial"/>
          <w:sz w:val="24"/>
          <w:szCs w:val="24"/>
        </w:rPr>
        <w:t xml:space="preserve"> language</w:t>
      </w:r>
      <w:r w:rsidR="008E566A" w:rsidRPr="005847A9">
        <w:rPr>
          <w:rFonts w:ascii="Arial" w:hAnsi="Arial" w:cs="Arial"/>
          <w:sz w:val="24"/>
          <w:szCs w:val="24"/>
        </w:rPr>
        <w:t>, the course material included</w:t>
      </w:r>
      <w:r w:rsidRPr="005847A9">
        <w:rPr>
          <w:rFonts w:ascii="Arial" w:hAnsi="Arial" w:cs="Arial"/>
          <w:sz w:val="24"/>
          <w:szCs w:val="24"/>
        </w:rPr>
        <w:t xml:space="preserve"> pictures and simple</w:t>
      </w:r>
      <w:r w:rsidR="00ED3E37" w:rsidRPr="005847A9">
        <w:rPr>
          <w:rFonts w:ascii="Arial" w:hAnsi="Arial" w:cs="Arial"/>
          <w:sz w:val="24"/>
          <w:szCs w:val="24"/>
        </w:rPr>
        <w:t xml:space="preserve"> diagrams which help</w:t>
      </w:r>
      <w:r w:rsidR="008E566A" w:rsidRPr="005847A9">
        <w:rPr>
          <w:rFonts w:ascii="Arial" w:hAnsi="Arial" w:cs="Arial"/>
          <w:sz w:val="24"/>
          <w:szCs w:val="24"/>
        </w:rPr>
        <w:t>ed</w:t>
      </w:r>
      <w:r w:rsidR="00ED3E37" w:rsidRPr="005847A9">
        <w:rPr>
          <w:rFonts w:ascii="Arial" w:hAnsi="Arial" w:cs="Arial"/>
          <w:sz w:val="24"/>
          <w:szCs w:val="24"/>
        </w:rPr>
        <w:t xml:space="preserve"> reinforce material</w:t>
      </w:r>
      <w:r w:rsidR="008E566A" w:rsidRPr="005847A9">
        <w:rPr>
          <w:rFonts w:ascii="Arial" w:hAnsi="Arial" w:cs="Arial"/>
          <w:sz w:val="24"/>
          <w:szCs w:val="24"/>
        </w:rPr>
        <w:t>. Participants we</w:t>
      </w:r>
      <w:r w:rsidR="005F58AE" w:rsidRPr="005847A9">
        <w:rPr>
          <w:rFonts w:ascii="Arial" w:hAnsi="Arial" w:cs="Arial"/>
          <w:sz w:val="24"/>
          <w:szCs w:val="24"/>
        </w:rPr>
        <w:t xml:space="preserve">re invited to </w:t>
      </w:r>
      <w:r w:rsidRPr="005847A9">
        <w:rPr>
          <w:rFonts w:ascii="Arial" w:hAnsi="Arial" w:cs="Arial"/>
          <w:sz w:val="24"/>
          <w:szCs w:val="24"/>
        </w:rPr>
        <w:t>move around or use a break-out room with the assistant psychologist if required due to physical pain or emotional distress.</w:t>
      </w:r>
      <w:r w:rsidR="00ED3E37" w:rsidRPr="005847A9">
        <w:rPr>
          <w:rFonts w:ascii="Arial" w:hAnsi="Arial" w:cs="Arial"/>
          <w:sz w:val="24"/>
          <w:szCs w:val="24"/>
        </w:rPr>
        <w:t xml:space="preserve"> </w:t>
      </w:r>
    </w:p>
    <w:p w14:paraId="0142D82F" w14:textId="4D2A961C" w:rsidR="00F44AC9" w:rsidRPr="005847A9" w:rsidRDefault="00EA39E2" w:rsidP="005847A9">
      <w:pPr>
        <w:spacing w:line="360" w:lineRule="auto"/>
        <w:ind w:firstLine="720"/>
        <w:rPr>
          <w:rFonts w:ascii="Arial" w:hAnsi="Arial" w:cs="Arial"/>
          <w:sz w:val="24"/>
          <w:szCs w:val="24"/>
        </w:rPr>
      </w:pPr>
      <w:r w:rsidRPr="005847A9">
        <w:rPr>
          <w:rFonts w:ascii="Arial" w:hAnsi="Arial" w:cs="Arial"/>
          <w:sz w:val="24"/>
          <w:szCs w:val="24"/>
        </w:rPr>
        <w:t xml:space="preserve">Each group had 8-10 participants and a maximum of four interpreters. </w:t>
      </w:r>
      <w:r w:rsidR="00F43D10" w:rsidRPr="005847A9">
        <w:rPr>
          <w:rFonts w:ascii="Arial" w:hAnsi="Arial" w:cs="Arial"/>
          <w:sz w:val="24"/>
          <w:szCs w:val="24"/>
        </w:rPr>
        <w:t xml:space="preserve">With </w:t>
      </w:r>
      <w:r w:rsidR="005F58AE" w:rsidRPr="005847A9">
        <w:rPr>
          <w:rFonts w:ascii="Arial" w:hAnsi="Arial" w:cs="Arial"/>
          <w:sz w:val="24"/>
          <w:szCs w:val="24"/>
        </w:rPr>
        <w:t>few exceptions</w:t>
      </w:r>
      <w:r w:rsidR="00BE26FD" w:rsidRPr="005847A9">
        <w:rPr>
          <w:rFonts w:ascii="Arial" w:hAnsi="Arial" w:cs="Arial"/>
          <w:sz w:val="24"/>
          <w:szCs w:val="24"/>
        </w:rPr>
        <w:t xml:space="preserve"> i</w:t>
      </w:r>
      <w:r w:rsidRPr="005847A9">
        <w:rPr>
          <w:rFonts w:ascii="Arial" w:hAnsi="Arial" w:cs="Arial"/>
          <w:sz w:val="24"/>
          <w:szCs w:val="24"/>
        </w:rPr>
        <w:t>nter</w:t>
      </w:r>
      <w:r w:rsidR="00BE26FD" w:rsidRPr="005847A9">
        <w:rPr>
          <w:rFonts w:ascii="Arial" w:hAnsi="Arial" w:cs="Arial"/>
          <w:sz w:val="24"/>
          <w:szCs w:val="24"/>
        </w:rPr>
        <w:t>preters were the same across</w:t>
      </w:r>
      <w:r w:rsidRPr="005847A9">
        <w:rPr>
          <w:rFonts w:ascii="Arial" w:hAnsi="Arial" w:cs="Arial"/>
          <w:sz w:val="24"/>
          <w:szCs w:val="24"/>
        </w:rPr>
        <w:t xml:space="preserve"> </w:t>
      </w:r>
      <w:r w:rsidR="00BE26FD" w:rsidRPr="005847A9">
        <w:rPr>
          <w:rFonts w:ascii="Arial" w:hAnsi="Arial" w:cs="Arial"/>
          <w:sz w:val="24"/>
          <w:szCs w:val="24"/>
        </w:rPr>
        <w:t xml:space="preserve">the courses </w:t>
      </w:r>
      <w:r w:rsidRPr="005847A9">
        <w:rPr>
          <w:rFonts w:ascii="Arial" w:hAnsi="Arial" w:cs="Arial"/>
          <w:sz w:val="24"/>
          <w:szCs w:val="24"/>
        </w:rPr>
        <w:t>and had experience of delivering this material</w:t>
      </w:r>
      <w:r w:rsidR="00BE26FD" w:rsidRPr="005847A9">
        <w:rPr>
          <w:rFonts w:ascii="Arial" w:hAnsi="Arial" w:cs="Arial"/>
          <w:sz w:val="24"/>
          <w:szCs w:val="24"/>
        </w:rPr>
        <w:t xml:space="preserve"> and </w:t>
      </w:r>
      <w:r w:rsidR="00F43D10" w:rsidRPr="005847A9">
        <w:rPr>
          <w:rFonts w:ascii="Arial" w:hAnsi="Arial" w:cs="Arial"/>
          <w:sz w:val="24"/>
          <w:szCs w:val="24"/>
        </w:rPr>
        <w:t xml:space="preserve">preparation </w:t>
      </w:r>
      <w:r w:rsidR="00BE26FD" w:rsidRPr="005847A9">
        <w:rPr>
          <w:rFonts w:ascii="Arial" w:hAnsi="Arial" w:cs="Arial"/>
          <w:sz w:val="24"/>
          <w:szCs w:val="24"/>
        </w:rPr>
        <w:t xml:space="preserve">in </w:t>
      </w:r>
      <w:r w:rsidR="00F43D10" w:rsidRPr="005847A9">
        <w:rPr>
          <w:rFonts w:ascii="Arial" w:hAnsi="Arial" w:cs="Arial"/>
          <w:sz w:val="24"/>
          <w:szCs w:val="24"/>
        </w:rPr>
        <w:t>how to work within this</w:t>
      </w:r>
      <w:r w:rsidR="00BE26FD" w:rsidRPr="005847A9">
        <w:rPr>
          <w:rFonts w:ascii="Arial" w:hAnsi="Arial" w:cs="Arial"/>
          <w:sz w:val="24"/>
          <w:szCs w:val="24"/>
        </w:rPr>
        <w:t xml:space="preserve"> group setting</w:t>
      </w:r>
      <w:r w:rsidRPr="005847A9">
        <w:rPr>
          <w:rFonts w:ascii="Arial" w:hAnsi="Arial" w:cs="Arial"/>
          <w:sz w:val="24"/>
          <w:szCs w:val="24"/>
        </w:rPr>
        <w:t>.</w:t>
      </w:r>
      <w:r w:rsidR="008E566A" w:rsidRPr="005847A9">
        <w:rPr>
          <w:rFonts w:ascii="Arial" w:hAnsi="Arial" w:cs="Arial"/>
          <w:sz w:val="24"/>
          <w:szCs w:val="24"/>
        </w:rPr>
        <w:t xml:space="preserve"> Prepa</w:t>
      </w:r>
      <w:r w:rsidR="003539CF" w:rsidRPr="005847A9">
        <w:rPr>
          <w:rFonts w:ascii="Arial" w:hAnsi="Arial" w:cs="Arial"/>
          <w:sz w:val="24"/>
          <w:szCs w:val="24"/>
        </w:rPr>
        <w:t>ration</w:t>
      </w:r>
      <w:r w:rsidR="00976D1E" w:rsidRPr="005847A9">
        <w:rPr>
          <w:rFonts w:ascii="Arial" w:hAnsi="Arial" w:cs="Arial"/>
          <w:sz w:val="24"/>
          <w:szCs w:val="24"/>
        </w:rPr>
        <w:t xml:space="preserve"> for interpreters</w:t>
      </w:r>
      <w:r w:rsidR="003539CF" w:rsidRPr="005847A9">
        <w:rPr>
          <w:rFonts w:ascii="Arial" w:hAnsi="Arial" w:cs="Arial"/>
          <w:sz w:val="24"/>
          <w:szCs w:val="24"/>
        </w:rPr>
        <w:t xml:space="preserve"> included guidance</w:t>
      </w:r>
      <w:r w:rsidR="00AC51F2" w:rsidRPr="005847A9">
        <w:rPr>
          <w:rFonts w:ascii="Arial" w:hAnsi="Arial" w:cs="Arial"/>
          <w:sz w:val="24"/>
          <w:szCs w:val="24"/>
        </w:rPr>
        <w:t xml:space="preserve"> on</w:t>
      </w:r>
      <w:r w:rsidR="003539CF" w:rsidRPr="005847A9">
        <w:rPr>
          <w:rFonts w:ascii="Arial" w:hAnsi="Arial" w:cs="Arial"/>
          <w:sz w:val="24"/>
          <w:szCs w:val="24"/>
        </w:rPr>
        <w:t xml:space="preserve"> a suitable interpreting process</w:t>
      </w:r>
      <w:r w:rsidR="008E566A" w:rsidRPr="005847A9">
        <w:rPr>
          <w:rFonts w:ascii="Arial" w:hAnsi="Arial" w:cs="Arial"/>
          <w:sz w:val="24"/>
          <w:szCs w:val="24"/>
        </w:rPr>
        <w:t xml:space="preserve"> </w:t>
      </w:r>
      <w:r w:rsidR="00E624AC" w:rsidRPr="005847A9">
        <w:rPr>
          <w:rFonts w:ascii="Arial" w:hAnsi="Arial" w:cs="Arial"/>
          <w:sz w:val="24"/>
          <w:szCs w:val="24"/>
        </w:rPr>
        <w:t>i.e.</w:t>
      </w:r>
      <w:r w:rsidR="007B3231" w:rsidRPr="005847A9">
        <w:rPr>
          <w:rFonts w:ascii="Arial" w:hAnsi="Arial" w:cs="Arial"/>
          <w:sz w:val="24"/>
          <w:szCs w:val="24"/>
        </w:rPr>
        <w:t xml:space="preserve"> the facilitator talking in manageable chunks followed by interpretation, rather than simultaneous interpreting which can be distracting</w:t>
      </w:r>
      <w:r w:rsidR="00ED3E37" w:rsidRPr="005847A9">
        <w:rPr>
          <w:rFonts w:ascii="Arial" w:hAnsi="Arial" w:cs="Arial"/>
          <w:sz w:val="24"/>
          <w:szCs w:val="24"/>
        </w:rPr>
        <w:t xml:space="preserve"> for others</w:t>
      </w:r>
      <w:r w:rsidR="008E566A" w:rsidRPr="005847A9">
        <w:rPr>
          <w:rFonts w:ascii="Arial" w:hAnsi="Arial" w:cs="Arial"/>
          <w:sz w:val="24"/>
          <w:szCs w:val="24"/>
        </w:rPr>
        <w:t>. Interpreters we</w:t>
      </w:r>
      <w:r w:rsidR="007B3231" w:rsidRPr="005847A9">
        <w:rPr>
          <w:rFonts w:ascii="Arial" w:hAnsi="Arial" w:cs="Arial"/>
          <w:sz w:val="24"/>
          <w:szCs w:val="24"/>
        </w:rPr>
        <w:t>re asked to interpret every contribution made and to avoid any private conversation with participants.  Session content was discussed with interpreters at the start of each session and feedback sought throughout the course in debrief se</w:t>
      </w:r>
      <w:r w:rsidR="00ED3E37" w:rsidRPr="005847A9">
        <w:rPr>
          <w:rFonts w:ascii="Arial" w:hAnsi="Arial" w:cs="Arial"/>
          <w:sz w:val="24"/>
          <w:szCs w:val="24"/>
        </w:rPr>
        <w:t>ssions around</w:t>
      </w:r>
      <w:r w:rsidR="007B3231" w:rsidRPr="005847A9">
        <w:rPr>
          <w:rFonts w:ascii="Arial" w:hAnsi="Arial" w:cs="Arial"/>
          <w:sz w:val="24"/>
          <w:szCs w:val="24"/>
        </w:rPr>
        <w:t xml:space="preserve"> how </w:t>
      </w:r>
      <w:r w:rsidR="008E566A" w:rsidRPr="005847A9">
        <w:rPr>
          <w:rFonts w:ascii="Arial" w:hAnsi="Arial" w:cs="Arial"/>
          <w:sz w:val="24"/>
          <w:szCs w:val="24"/>
        </w:rPr>
        <w:t>participants we</w:t>
      </w:r>
      <w:r w:rsidR="007B3231" w:rsidRPr="005847A9">
        <w:rPr>
          <w:rFonts w:ascii="Arial" w:hAnsi="Arial" w:cs="Arial"/>
          <w:sz w:val="24"/>
          <w:szCs w:val="24"/>
        </w:rPr>
        <w:t>re engaging in the group and with the material</w:t>
      </w:r>
      <w:r w:rsidR="008E566A" w:rsidRPr="005847A9">
        <w:rPr>
          <w:rFonts w:ascii="Arial" w:hAnsi="Arial" w:cs="Arial"/>
          <w:sz w:val="24"/>
          <w:szCs w:val="24"/>
        </w:rPr>
        <w:t xml:space="preserve"> and any observations they had</w:t>
      </w:r>
      <w:r w:rsidR="007B3231" w:rsidRPr="005847A9">
        <w:rPr>
          <w:rFonts w:ascii="Arial" w:hAnsi="Arial" w:cs="Arial"/>
          <w:sz w:val="24"/>
          <w:szCs w:val="24"/>
        </w:rPr>
        <w:t>.</w:t>
      </w:r>
    </w:p>
    <w:p w14:paraId="528CC9EE" w14:textId="75CD8523" w:rsidR="00F44AC9" w:rsidRPr="005847A9" w:rsidRDefault="008E566A" w:rsidP="005847A9">
      <w:pPr>
        <w:spacing w:line="360" w:lineRule="auto"/>
        <w:ind w:firstLine="720"/>
        <w:rPr>
          <w:rFonts w:ascii="Arial" w:hAnsi="Arial" w:cs="Arial"/>
          <w:sz w:val="24"/>
          <w:szCs w:val="24"/>
        </w:rPr>
      </w:pPr>
      <w:r w:rsidRPr="005847A9">
        <w:rPr>
          <w:rFonts w:ascii="Arial" w:hAnsi="Arial" w:cs="Arial"/>
          <w:sz w:val="24"/>
          <w:szCs w:val="24"/>
        </w:rPr>
        <w:t>The courses we</w:t>
      </w:r>
      <w:r w:rsidR="00F44AC9" w:rsidRPr="005847A9">
        <w:rPr>
          <w:rFonts w:ascii="Arial" w:hAnsi="Arial" w:cs="Arial"/>
          <w:sz w:val="24"/>
          <w:szCs w:val="24"/>
        </w:rPr>
        <w:t>re delivered by a clinical psychologist and co-facilitated by an assistant psychologist.</w:t>
      </w:r>
      <w:r w:rsidRPr="005847A9">
        <w:rPr>
          <w:rFonts w:ascii="Arial" w:hAnsi="Arial" w:cs="Arial"/>
          <w:sz w:val="24"/>
          <w:szCs w:val="24"/>
        </w:rPr>
        <w:t xml:space="preserve"> It wa</w:t>
      </w:r>
      <w:r w:rsidR="00C93AEE" w:rsidRPr="005847A9">
        <w:rPr>
          <w:rFonts w:ascii="Arial" w:hAnsi="Arial" w:cs="Arial"/>
          <w:sz w:val="24"/>
          <w:szCs w:val="24"/>
        </w:rPr>
        <w:t>s im</w:t>
      </w:r>
      <w:r w:rsidRPr="005847A9">
        <w:rPr>
          <w:rFonts w:ascii="Arial" w:hAnsi="Arial" w:cs="Arial"/>
          <w:sz w:val="24"/>
          <w:szCs w:val="24"/>
        </w:rPr>
        <w:t>portant that the facilitator</w:t>
      </w:r>
      <w:r w:rsidR="00976D1E" w:rsidRPr="005847A9">
        <w:rPr>
          <w:rFonts w:ascii="Arial" w:hAnsi="Arial" w:cs="Arial"/>
          <w:sz w:val="24"/>
          <w:szCs w:val="24"/>
        </w:rPr>
        <w:t>s</w:t>
      </w:r>
      <w:r w:rsidRPr="005847A9">
        <w:rPr>
          <w:rFonts w:ascii="Arial" w:hAnsi="Arial" w:cs="Arial"/>
          <w:sz w:val="24"/>
          <w:szCs w:val="24"/>
        </w:rPr>
        <w:t xml:space="preserve"> had</w:t>
      </w:r>
      <w:r w:rsidR="00C93AEE" w:rsidRPr="005847A9">
        <w:rPr>
          <w:rFonts w:ascii="Arial" w:hAnsi="Arial" w:cs="Arial"/>
          <w:sz w:val="24"/>
          <w:szCs w:val="24"/>
        </w:rPr>
        <w:t xml:space="preserve"> </w:t>
      </w:r>
      <w:r w:rsidR="00B92488" w:rsidRPr="005847A9">
        <w:rPr>
          <w:rFonts w:ascii="Arial" w:hAnsi="Arial" w:cs="Arial"/>
          <w:sz w:val="24"/>
          <w:szCs w:val="24"/>
        </w:rPr>
        <w:t xml:space="preserve">specialist </w:t>
      </w:r>
      <w:r w:rsidR="00C93AEE" w:rsidRPr="005847A9">
        <w:rPr>
          <w:rFonts w:ascii="Arial" w:hAnsi="Arial" w:cs="Arial"/>
          <w:sz w:val="24"/>
          <w:szCs w:val="24"/>
        </w:rPr>
        <w:t xml:space="preserve">clinical skills and experience in </w:t>
      </w:r>
      <w:r w:rsidR="00B92488" w:rsidRPr="005847A9">
        <w:rPr>
          <w:rFonts w:ascii="Arial" w:hAnsi="Arial" w:cs="Arial"/>
          <w:sz w:val="24"/>
          <w:szCs w:val="24"/>
        </w:rPr>
        <w:t>order</w:t>
      </w:r>
      <w:r w:rsidR="00C93AEE" w:rsidRPr="005847A9">
        <w:rPr>
          <w:rFonts w:ascii="Arial" w:hAnsi="Arial" w:cs="Arial"/>
          <w:sz w:val="24"/>
          <w:szCs w:val="24"/>
        </w:rPr>
        <w:t xml:space="preserve"> to</w:t>
      </w:r>
      <w:r w:rsidR="00B3315B" w:rsidRPr="005847A9">
        <w:rPr>
          <w:rFonts w:ascii="Arial" w:hAnsi="Arial" w:cs="Arial"/>
          <w:sz w:val="24"/>
          <w:szCs w:val="24"/>
        </w:rPr>
        <w:t xml:space="preserve"> work </w:t>
      </w:r>
      <w:r w:rsidR="00C93AEE" w:rsidRPr="005847A9">
        <w:rPr>
          <w:rFonts w:ascii="Arial" w:hAnsi="Arial" w:cs="Arial"/>
          <w:sz w:val="24"/>
          <w:szCs w:val="24"/>
        </w:rPr>
        <w:t xml:space="preserve">with several interpreters in a group; signpost </w:t>
      </w:r>
      <w:r w:rsidR="00B92488" w:rsidRPr="005847A9">
        <w:rPr>
          <w:rFonts w:ascii="Arial" w:hAnsi="Arial" w:cs="Arial"/>
          <w:sz w:val="24"/>
          <w:szCs w:val="24"/>
        </w:rPr>
        <w:t>to partner agencies for support and</w:t>
      </w:r>
      <w:r w:rsidR="00C93AEE" w:rsidRPr="005847A9">
        <w:rPr>
          <w:rFonts w:ascii="Arial" w:hAnsi="Arial" w:cs="Arial"/>
          <w:sz w:val="24"/>
          <w:szCs w:val="24"/>
        </w:rPr>
        <w:t xml:space="preserve"> have confidence in assessing and managing often high levels of distress</w:t>
      </w:r>
      <w:r w:rsidR="00B3315B" w:rsidRPr="005847A9">
        <w:rPr>
          <w:rFonts w:ascii="Arial" w:hAnsi="Arial" w:cs="Arial"/>
          <w:sz w:val="24"/>
          <w:szCs w:val="24"/>
        </w:rPr>
        <w:t xml:space="preserve">, </w:t>
      </w:r>
      <w:r w:rsidR="00C93AEE" w:rsidRPr="005847A9">
        <w:rPr>
          <w:rFonts w:ascii="Arial" w:hAnsi="Arial" w:cs="Arial"/>
          <w:sz w:val="24"/>
          <w:szCs w:val="24"/>
        </w:rPr>
        <w:t>dissociation and risk</w:t>
      </w:r>
      <w:r w:rsidR="00B92488" w:rsidRPr="005847A9">
        <w:rPr>
          <w:rFonts w:ascii="Arial" w:hAnsi="Arial" w:cs="Arial"/>
          <w:sz w:val="24"/>
          <w:szCs w:val="24"/>
        </w:rPr>
        <w:t xml:space="preserve">.  </w:t>
      </w:r>
      <w:r w:rsidR="003154FC" w:rsidRPr="005847A9">
        <w:rPr>
          <w:rFonts w:ascii="Arial" w:hAnsi="Arial" w:cs="Arial"/>
          <w:sz w:val="24"/>
          <w:szCs w:val="24"/>
        </w:rPr>
        <w:t>While this may appear</w:t>
      </w:r>
      <w:r w:rsidR="00BF46CA" w:rsidRPr="005847A9">
        <w:rPr>
          <w:rFonts w:ascii="Arial" w:hAnsi="Arial" w:cs="Arial"/>
          <w:sz w:val="24"/>
          <w:szCs w:val="24"/>
        </w:rPr>
        <w:t xml:space="preserve"> r</w:t>
      </w:r>
      <w:r w:rsidR="00B92488" w:rsidRPr="005847A9">
        <w:rPr>
          <w:rFonts w:ascii="Arial" w:hAnsi="Arial" w:cs="Arial"/>
          <w:sz w:val="24"/>
          <w:szCs w:val="24"/>
        </w:rPr>
        <w:t>esou</w:t>
      </w:r>
      <w:r w:rsidR="0042733F" w:rsidRPr="005847A9">
        <w:rPr>
          <w:rFonts w:ascii="Arial" w:hAnsi="Arial" w:cs="Arial"/>
          <w:sz w:val="24"/>
          <w:szCs w:val="24"/>
        </w:rPr>
        <w:t>r</w:t>
      </w:r>
      <w:r w:rsidR="00B92488" w:rsidRPr="005847A9">
        <w:rPr>
          <w:rFonts w:ascii="Arial" w:hAnsi="Arial" w:cs="Arial"/>
          <w:sz w:val="24"/>
          <w:szCs w:val="24"/>
        </w:rPr>
        <w:t>ce heavy</w:t>
      </w:r>
      <w:r w:rsidR="00BF46CA" w:rsidRPr="005847A9">
        <w:rPr>
          <w:rFonts w:ascii="Arial" w:hAnsi="Arial" w:cs="Arial"/>
          <w:sz w:val="24"/>
          <w:szCs w:val="24"/>
        </w:rPr>
        <w:t xml:space="preserve"> in comparison to groups within IAPT often facilitated by low intensity therapists, there is</w:t>
      </w:r>
      <w:r w:rsidR="003154FC" w:rsidRPr="005847A9">
        <w:rPr>
          <w:rFonts w:ascii="Arial" w:hAnsi="Arial" w:cs="Arial"/>
          <w:sz w:val="24"/>
          <w:szCs w:val="24"/>
        </w:rPr>
        <w:t xml:space="preserve"> a need for clinical skill</w:t>
      </w:r>
      <w:r w:rsidR="00BF46CA" w:rsidRPr="005847A9">
        <w:rPr>
          <w:rFonts w:ascii="Arial" w:hAnsi="Arial" w:cs="Arial"/>
          <w:sz w:val="24"/>
          <w:szCs w:val="24"/>
        </w:rPr>
        <w:t xml:space="preserve"> and expe</w:t>
      </w:r>
      <w:r w:rsidRPr="005847A9">
        <w:rPr>
          <w:rFonts w:ascii="Arial" w:hAnsi="Arial" w:cs="Arial"/>
          <w:sz w:val="24"/>
          <w:szCs w:val="24"/>
        </w:rPr>
        <w:t>rtise</w:t>
      </w:r>
      <w:r w:rsidR="00BF46CA" w:rsidRPr="005847A9">
        <w:rPr>
          <w:rFonts w:ascii="Arial" w:hAnsi="Arial" w:cs="Arial"/>
          <w:sz w:val="24"/>
          <w:szCs w:val="24"/>
        </w:rPr>
        <w:t xml:space="preserve"> in facilitating a group of this kind</w:t>
      </w:r>
      <w:r w:rsidRPr="005847A9">
        <w:rPr>
          <w:rFonts w:ascii="Arial" w:hAnsi="Arial" w:cs="Arial"/>
          <w:sz w:val="24"/>
          <w:szCs w:val="24"/>
        </w:rPr>
        <w:t xml:space="preserve">.  This </w:t>
      </w:r>
      <w:r w:rsidRPr="005847A9">
        <w:rPr>
          <w:rFonts w:ascii="Arial" w:hAnsi="Arial" w:cs="Arial"/>
          <w:sz w:val="24"/>
          <w:szCs w:val="24"/>
        </w:rPr>
        <w:lastRenderedPageBreak/>
        <w:t>requirement was</w:t>
      </w:r>
      <w:r w:rsidR="00B3315B" w:rsidRPr="005847A9">
        <w:rPr>
          <w:rFonts w:ascii="Arial" w:hAnsi="Arial" w:cs="Arial"/>
          <w:sz w:val="24"/>
          <w:szCs w:val="24"/>
        </w:rPr>
        <w:t xml:space="preserve"> also</w:t>
      </w:r>
      <w:r w:rsidR="00BF46CA" w:rsidRPr="005847A9">
        <w:rPr>
          <w:rFonts w:ascii="Arial" w:hAnsi="Arial" w:cs="Arial"/>
          <w:sz w:val="24"/>
          <w:szCs w:val="24"/>
        </w:rPr>
        <w:t xml:space="preserve"> an efficiency in offering group treatment rather than 1:1 sessions. </w:t>
      </w:r>
    </w:p>
    <w:p w14:paraId="1EB3116E" w14:textId="68798F2A" w:rsidR="009E6A01" w:rsidRPr="005847A9" w:rsidRDefault="009E6A01" w:rsidP="005847A9">
      <w:pPr>
        <w:spacing w:line="360" w:lineRule="auto"/>
        <w:ind w:firstLine="720"/>
        <w:rPr>
          <w:rFonts w:ascii="Arial" w:hAnsi="Arial" w:cs="Arial"/>
          <w:sz w:val="24"/>
          <w:szCs w:val="24"/>
        </w:rPr>
      </w:pPr>
      <w:r w:rsidRPr="005847A9">
        <w:rPr>
          <w:rFonts w:ascii="Arial" w:hAnsi="Arial" w:cs="Arial"/>
          <w:sz w:val="24"/>
          <w:szCs w:val="24"/>
        </w:rPr>
        <w:t>On completion of the course, patients were offered 1:1 trauma work and approximately two thirds of participants opt</w:t>
      </w:r>
      <w:r w:rsidR="008E566A" w:rsidRPr="005847A9">
        <w:rPr>
          <w:rFonts w:ascii="Arial" w:hAnsi="Arial" w:cs="Arial"/>
          <w:sz w:val="24"/>
          <w:szCs w:val="24"/>
        </w:rPr>
        <w:t>ed</w:t>
      </w:r>
      <w:r w:rsidRPr="005847A9">
        <w:rPr>
          <w:rFonts w:ascii="Arial" w:hAnsi="Arial" w:cs="Arial"/>
          <w:sz w:val="24"/>
          <w:szCs w:val="24"/>
        </w:rPr>
        <w:t xml:space="preserve"> to be put forward for this trauma-facing therapy (such as TF-CBT, EMDR or NET).  From our observations those who continue</w:t>
      </w:r>
      <w:r w:rsidR="008E566A" w:rsidRPr="005847A9">
        <w:rPr>
          <w:rFonts w:ascii="Arial" w:hAnsi="Arial" w:cs="Arial"/>
          <w:sz w:val="24"/>
          <w:szCs w:val="24"/>
        </w:rPr>
        <w:t>d with treatment we</w:t>
      </w:r>
      <w:r w:rsidRPr="005847A9">
        <w:rPr>
          <w:rFonts w:ascii="Arial" w:hAnsi="Arial" w:cs="Arial"/>
          <w:sz w:val="24"/>
          <w:szCs w:val="24"/>
        </w:rPr>
        <w:t>re able to engage in 1:1 therapy with greater understanding of the rationale for therapy and for processing work; familiar</w:t>
      </w:r>
      <w:r w:rsidR="008E566A" w:rsidRPr="005847A9">
        <w:rPr>
          <w:rFonts w:ascii="Arial" w:hAnsi="Arial" w:cs="Arial"/>
          <w:sz w:val="24"/>
          <w:szCs w:val="24"/>
        </w:rPr>
        <w:t>ity with stabilisation skills and we</w:t>
      </w:r>
      <w:r w:rsidRPr="005847A9">
        <w:rPr>
          <w:rFonts w:ascii="Arial" w:hAnsi="Arial" w:cs="Arial"/>
          <w:sz w:val="24"/>
          <w:szCs w:val="24"/>
        </w:rPr>
        <w:t>re more comfortable using interpreters and trusting therapists.  Participants also gain</w:t>
      </w:r>
      <w:r w:rsidR="008E566A" w:rsidRPr="005847A9">
        <w:rPr>
          <w:rFonts w:ascii="Arial" w:hAnsi="Arial" w:cs="Arial"/>
          <w:sz w:val="24"/>
          <w:szCs w:val="24"/>
        </w:rPr>
        <w:t>ed</w:t>
      </w:r>
      <w:r w:rsidRPr="005847A9">
        <w:rPr>
          <w:rFonts w:ascii="Arial" w:hAnsi="Arial" w:cs="Arial"/>
          <w:sz w:val="24"/>
          <w:szCs w:val="24"/>
        </w:rPr>
        <w:t xml:space="preserve"> a clearer sense of where to find help with some of their other difficulties e.g. around immigration or physica</w:t>
      </w:r>
      <w:r w:rsidR="008E566A" w:rsidRPr="005847A9">
        <w:rPr>
          <w:rFonts w:ascii="Arial" w:hAnsi="Arial" w:cs="Arial"/>
          <w:sz w:val="24"/>
          <w:szCs w:val="24"/>
        </w:rPr>
        <w:t>l health problems.  This ensured</w:t>
      </w:r>
      <w:r w:rsidRPr="005847A9">
        <w:rPr>
          <w:rFonts w:ascii="Arial" w:hAnsi="Arial" w:cs="Arial"/>
          <w:sz w:val="24"/>
          <w:szCs w:val="24"/>
        </w:rPr>
        <w:t xml:space="preserve"> that those</w:t>
      </w:r>
      <w:r w:rsidR="00976D1E" w:rsidRPr="005847A9">
        <w:rPr>
          <w:rFonts w:ascii="Arial" w:hAnsi="Arial" w:cs="Arial"/>
          <w:sz w:val="24"/>
          <w:szCs w:val="24"/>
        </w:rPr>
        <w:t xml:space="preserve"> people who put themselves forward for</w:t>
      </w:r>
      <w:r w:rsidR="008E566A" w:rsidRPr="005847A9">
        <w:rPr>
          <w:rFonts w:ascii="Arial" w:hAnsi="Arial" w:cs="Arial"/>
          <w:sz w:val="24"/>
          <w:szCs w:val="24"/>
        </w:rPr>
        <w:t xml:space="preserve"> 1:1 therapy we</w:t>
      </w:r>
      <w:r w:rsidRPr="005847A9">
        <w:rPr>
          <w:rFonts w:ascii="Arial" w:hAnsi="Arial" w:cs="Arial"/>
          <w:sz w:val="24"/>
          <w:szCs w:val="24"/>
        </w:rPr>
        <w:t>re m</w:t>
      </w:r>
      <w:r w:rsidR="008E566A" w:rsidRPr="005847A9">
        <w:rPr>
          <w:rFonts w:ascii="Arial" w:hAnsi="Arial" w:cs="Arial"/>
          <w:sz w:val="24"/>
          <w:szCs w:val="24"/>
        </w:rPr>
        <w:t>aking an informed decision and we</w:t>
      </w:r>
      <w:r w:rsidRPr="005847A9">
        <w:rPr>
          <w:rFonts w:ascii="Arial" w:hAnsi="Arial" w:cs="Arial"/>
          <w:sz w:val="24"/>
          <w:szCs w:val="24"/>
        </w:rPr>
        <w:t>re well prepared to start trauma-facing work.</w:t>
      </w:r>
    </w:p>
    <w:p w14:paraId="33A681CE" w14:textId="39951471" w:rsidR="00C549DF" w:rsidRPr="005847A9" w:rsidRDefault="00E624AC" w:rsidP="005847A9">
      <w:pPr>
        <w:spacing w:line="360" w:lineRule="auto"/>
        <w:ind w:firstLine="720"/>
        <w:rPr>
          <w:rFonts w:ascii="Arial" w:hAnsi="Arial" w:cs="Arial"/>
          <w:sz w:val="24"/>
          <w:szCs w:val="24"/>
        </w:rPr>
      </w:pPr>
      <w:r w:rsidRPr="005847A9">
        <w:rPr>
          <w:rFonts w:ascii="Arial" w:hAnsi="Arial" w:cs="Arial"/>
          <w:sz w:val="24"/>
          <w:szCs w:val="24"/>
        </w:rPr>
        <w:t xml:space="preserve">Data reported are taken from groups delivered between April 2017 and January 2020. </w:t>
      </w:r>
      <w:r w:rsidR="00C549DF" w:rsidRPr="005847A9">
        <w:rPr>
          <w:rFonts w:ascii="Arial" w:hAnsi="Arial" w:cs="Arial"/>
          <w:sz w:val="24"/>
          <w:szCs w:val="24"/>
        </w:rPr>
        <w:t>Ethical approval was not required as data collected was part of</w:t>
      </w:r>
      <w:r w:rsidR="00976D1E" w:rsidRPr="005847A9">
        <w:rPr>
          <w:rFonts w:ascii="Arial" w:hAnsi="Arial" w:cs="Arial"/>
          <w:sz w:val="24"/>
          <w:szCs w:val="24"/>
        </w:rPr>
        <w:t xml:space="preserve"> a research project but constituted</w:t>
      </w:r>
      <w:r w:rsidR="00C549DF" w:rsidRPr="005847A9">
        <w:rPr>
          <w:rFonts w:ascii="Arial" w:hAnsi="Arial" w:cs="Arial"/>
          <w:sz w:val="24"/>
          <w:szCs w:val="24"/>
        </w:rPr>
        <w:t xml:space="preserve"> routine outcome measurement</w:t>
      </w:r>
      <w:r w:rsidR="00976D1E" w:rsidRPr="005847A9">
        <w:rPr>
          <w:rFonts w:ascii="Arial" w:hAnsi="Arial" w:cs="Arial"/>
          <w:sz w:val="24"/>
          <w:szCs w:val="24"/>
        </w:rPr>
        <w:t xml:space="preserve"> which fed into a service evaluation</w:t>
      </w:r>
      <w:r w:rsidR="00543F31" w:rsidRPr="005847A9">
        <w:rPr>
          <w:rFonts w:ascii="Arial" w:hAnsi="Arial" w:cs="Arial"/>
          <w:sz w:val="24"/>
          <w:szCs w:val="24"/>
        </w:rPr>
        <w:t>.</w:t>
      </w:r>
    </w:p>
    <w:p w14:paraId="6060DE1C" w14:textId="2F86C1CA" w:rsidR="00AD0F21" w:rsidRPr="005847A9" w:rsidRDefault="009229C4" w:rsidP="005847A9">
      <w:pPr>
        <w:spacing w:line="360" w:lineRule="auto"/>
        <w:rPr>
          <w:rFonts w:ascii="Arial" w:hAnsi="Arial" w:cs="Arial"/>
          <w:sz w:val="24"/>
          <w:szCs w:val="24"/>
        </w:rPr>
      </w:pPr>
      <w:r w:rsidRPr="005847A9">
        <w:rPr>
          <w:rFonts w:ascii="Arial" w:hAnsi="Arial" w:cs="Arial"/>
          <w:sz w:val="24"/>
          <w:szCs w:val="24"/>
        </w:rPr>
        <w:t xml:space="preserve"> </w:t>
      </w:r>
      <w:r w:rsidR="00AD0F21" w:rsidRPr="005847A9">
        <w:rPr>
          <w:rFonts w:ascii="Arial" w:hAnsi="Arial" w:cs="Arial"/>
          <w:sz w:val="24"/>
          <w:szCs w:val="24"/>
        </w:rPr>
        <w:t>Participants</w:t>
      </w:r>
    </w:p>
    <w:p w14:paraId="49DF86CB" w14:textId="105E4112" w:rsidR="009E77E7" w:rsidRPr="005847A9" w:rsidRDefault="005F58AE" w:rsidP="005847A9">
      <w:pPr>
        <w:spacing w:line="360" w:lineRule="auto"/>
        <w:ind w:firstLine="720"/>
        <w:rPr>
          <w:rFonts w:ascii="Arial" w:hAnsi="Arial" w:cs="Arial"/>
          <w:sz w:val="24"/>
          <w:szCs w:val="24"/>
        </w:rPr>
      </w:pPr>
      <w:r w:rsidRPr="005847A9">
        <w:rPr>
          <w:rFonts w:ascii="Arial" w:hAnsi="Arial" w:cs="Arial"/>
          <w:sz w:val="24"/>
          <w:szCs w:val="24"/>
        </w:rPr>
        <w:t>The service works solely with refugees and asylum seekers, many of whom a</w:t>
      </w:r>
      <w:r w:rsidR="00136003" w:rsidRPr="005847A9">
        <w:rPr>
          <w:rFonts w:ascii="Arial" w:hAnsi="Arial" w:cs="Arial"/>
          <w:sz w:val="24"/>
          <w:szCs w:val="24"/>
        </w:rPr>
        <w:t>re victims of trafficking</w:t>
      </w:r>
      <w:r w:rsidR="00774400" w:rsidRPr="005847A9">
        <w:rPr>
          <w:rFonts w:ascii="Arial" w:hAnsi="Arial" w:cs="Arial"/>
          <w:sz w:val="24"/>
          <w:szCs w:val="24"/>
        </w:rPr>
        <w:t>, therefore all</w:t>
      </w:r>
      <w:r w:rsidRPr="005847A9">
        <w:rPr>
          <w:rFonts w:ascii="Arial" w:hAnsi="Arial" w:cs="Arial"/>
          <w:sz w:val="24"/>
          <w:szCs w:val="24"/>
        </w:rPr>
        <w:t xml:space="preserve"> participants were either a refugee or asylum seeker </w:t>
      </w:r>
      <w:r w:rsidR="00061F5B" w:rsidRPr="005847A9">
        <w:rPr>
          <w:rFonts w:ascii="Arial" w:hAnsi="Arial" w:cs="Arial"/>
          <w:sz w:val="24"/>
          <w:szCs w:val="24"/>
        </w:rPr>
        <w:t>referred to IAPT for psychological support for PTSD</w:t>
      </w:r>
      <w:r w:rsidR="00F44AC9" w:rsidRPr="005847A9">
        <w:rPr>
          <w:rFonts w:ascii="Arial" w:hAnsi="Arial" w:cs="Arial"/>
          <w:sz w:val="24"/>
          <w:szCs w:val="24"/>
        </w:rPr>
        <w:t>.</w:t>
      </w:r>
      <w:r w:rsidR="009E77E7" w:rsidRPr="005847A9">
        <w:rPr>
          <w:rFonts w:ascii="Arial" w:hAnsi="Arial" w:cs="Arial"/>
          <w:sz w:val="24"/>
          <w:szCs w:val="24"/>
        </w:rPr>
        <w:t xml:space="preserve"> </w:t>
      </w:r>
      <w:bookmarkStart w:id="3" w:name="_Hlk63434193"/>
      <w:r w:rsidR="009E77E7" w:rsidRPr="005847A9">
        <w:rPr>
          <w:rFonts w:ascii="Arial" w:hAnsi="Arial" w:cs="Arial"/>
          <w:sz w:val="24"/>
          <w:szCs w:val="24"/>
        </w:rPr>
        <w:t>A refugee is defined as someone who is ‘unable or unwilling to return to their country of origin owing to a well-founded fear of being persecuted for reasons of race, religion, nationality, membership of a particular social group or political opinion’ (UNHCR</w:t>
      </w:r>
      <w:r w:rsidR="001A2645" w:rsidRPr="005847A9">
        <w:rPr>
          <w:rFonts w:ascii="Arial" w:hAnsi="Arial" w:cs="Arial"/>
          <w:sz w:val="24"/>
          <w:szCs w:val="24"/>
        </w:rPr>
        <w:t>, 1951</w:t>
      </w:r>
      <w:r w:rsidR="009E77E7" w:rsidRPr="005847A9">
        <w:rPr>
          <w:rFonts w:ascii="Arial" w:hAnsi="Arial" w:cs="Arial"/>
          <w:sz w:val="24"/>
          <w:szCs w:val="24"/>
        </w:rPr>
        <w:t>).  A refugee has been given the right to remain in the UK and has recourse to all public services.  An asylum seeker is defined as someone whose application for refugee status has not yet been de</w:t>
      </w:r>
      <w:r w:rsidR="00B248EA" w:rsidRPr="005847A9">
        <w:rPr>
          <w:rFonts w:ascii="Arial" w:hAnsi="Arial" w:cs="Arial"/>
          <w:sz w:val="24"/>
          <w:szCs w:val="24"/>
        </w:rPr>
        <w:t xml:space="preserve">cided (UNHCR, 2021) </w:t>
      </w:r>
      <w:r w:rsidR="009E77E7" w:rsidRPr="005847A9">
        <w:rPr>
          <w:rFonts w:ascii="Arial" w:hAnsi="Arial" w:cs="Arial"/>
          <w:sz w:val="24"/>
          <w:szCs w:val="24"/>
        </w:rPr>
        <w:t xml:space="preserve">  Asylum seekers should have equal access to all health services and some provision for accommodation and financial support from the Home Office.</w:t>
      </w:r>
      <w:bookmarkEnd w:id="3"/>
      <w:r w:rsidR="002047CF" w:rsidRPr="005847A9">
        <w:rPr>
          <w:rFonts w:ascii="Arial" w:hAnsi="Arial" w:cs="Arial"/>
          <w:sz w:val="24"/>
          <w:szCs w:val="24"/>
        </w:rPr>
        <w:t xml:space="preserve"> A formal psychiatric diagnosis of PTSD or CPTSD was beyond the remit of the clinical service where the research took place, however all participants completed questionnaire measures of PTSD indicating high levels of trauma symptoms in the participants.</w:t>
      </w:r>
    </w:p>
    <w:p w14:paraId="06D2C788" w14:textId="3FAE0D27" w:rsidR="00ED3E37" w:rsidRPr="005847A9" w:rsidRDefault="00F44AC9" w:rsidP="005847A9">
      <w:pPr>
        <w:spacing w:line="360" w:lineRule="auto"/>
        <w:ind w:firstLine="720"/>
        <w:rPr>
          <w:rFonts w:ascii="Arial" w:hAnsi="Arial" w:cs="Arial"/>
          <w:sz w:val="24"/>
          <w:szCs w:val="24"/>
        </w:rPr>
      </w:pPr>
      <w:r w:rsidRPr="005847A9">
        <w:rPr>
          <w:rFonts w:ascii="Arial" w:hAnsi="Arial" w:cs="Arial"/>
          <w:sz w:val="24"/>
          <w:szCs w:val="24"/>
        </w:rPr>
        <w:lastRenderedPageBreak/>
        <w:t xml:space="preserve"> </w:t>
      </w:r>
      <w:r w:rsidR="00B92488" w:rsidRPr="005847A9">
        <w:rPr>
          <w:rFonts w:ascii="Arial" w:hAnsi="Arial" w:cs="Arial"/>
          <w:sz w:val="24"/>
          <w:szCs w:val="24"/>
        </w:rPr>
        <w:t>N</w:t>
      </w:r>
      <w:r w:rsidRPr="005847A9">
        <w:rPr>
          <w:rFonts w:ascii="Arial" w:hAnsi="Arial" w:cs="Arial"/>
          <w:sz w:val="24"/>
          <w:szCs w:val="24"/>
        </w:rPr>
        <w:t xml:space="preserve">one presented with </w:t>
      </w:r>
      <w:r w:rsidR="00B92488" w:rsidRPr="005847A9">
        <w:rPr>
          <w:rFonts w:ascii="Arial" w:hAnsi="Arial" w:cs="Arial"/>
          <w:sz w:val="24"/>
          <w:szCs w:val="24"/>
        </w:rPr>
        <w:t xml:space="preserve">clear </w:t>
      </w:r>
      <w:r w:rsidRPr="005847A9">
        <w:rPr>
          <w:rFonts w:ascii="Arial" w:hAnsi="Arial" w:cs="Arial"/>
          <w:sz w:val="24"/>
          <w:szCs w:val="24"/>
        </w:rPr>
        <w:t>criteria required for support from secondary mental health services</w:t>
      </w:r>
      <w:r w:rsidR="00B92488" w:rsidRPr="005847A9">
        <w:rPr>
          <w:rFonts w:ascii="Arial" w:hAnsi="Arial" w:cs="Arial"/>
          <w:sz w:val="24"/>
          <w:szCs w:val="24"/>
        </w:rPr>
        <w:t xml:space="preserve">, </w:t>
      </w:r>
      <w:r w:rsidR="00ED3E37" w:rsidRPr="005847A9">
        <w:rPr>
          <w:rFonts w:ascii="Arial" w:hAnsi="Arial" w:cs="Arial"/>
          <w:sz w:val="24"/>
          <w:szCs w:val="24"/>
        </w:rPr>
        <w:t xml:space="preserve">however </w:t>
      </w:r>
      <w:r w:rsidR="00896F08" w:rsidRPr="005847A9">
        <w:rPr>
          <w:rFonts w:ascii="Arial" w:hAnsi="Arial" w:cs="Arial"/>
          <w:sz w:val="24"/>
          <w:szCs w:val="24"/>
        </w:rPr>
        <w:t>due to PTSD presentation</w:t>
      </w:r>
      <w:r w:rsidR="00D87BDA" w:rsidRPr="005847A9">
        <w:rPr>
          <w:rFonts w:ascii="Arial" w:hAnsi="Arial" w:cs="Arial"/>
          <w:sz w:val="24"/>
          <w:szCs w:val="24"/>
        </w:rPr>
        <w:t xml:space="preserve"> and vulnerabilities linked to seeking asylum</w:t>
      </w:r>
      <w:r w:rsidR="00896F08" w:rsidRPr="005847A9">
        <w:rPr>
          <w:rFonts w:ascii="Arial" w:hAnsi="Arial" w:cs="Arial"/>
          <w:sz w:val="24"/>
          <w:szCs w:val="24"/>
        </w:rPr>
        <w:t xml:space="preserve"> </w:t>
      </w:r>
      <w:r w:rsidR="00D87BDA" w:rsidRPr="005847A9">
        <w:rPr>
          <w:rFonts w:ascii="Arial" w:hAnsi="Arial" w:cs="Arial"/>
          <w:sz w:val="24"/>
          <w:szCs w:val="24"/>
        </w:rPr>
        <w:t>participants</w:t>
      </w:r>
      <w:r w:rsidR="00136003" w:rsidRPr="005847A9">
        <w:rPr>
          <w:rFonts w:ascii="Arial" w:hAnsi="Arial" w:cs="Arial"/>
          <w:sz w:val="24"/>
          <w:szCs w:val="24"/>
        </w:rPr>
        <w:t xml:space="preserve"> were referred to this</w:t>
      </w:r>
      <w:r w:rsidRPr="005847A9">
        <w:rPr>
          <w:rFonts w:ascii="Arial" w:hAnsi="Arial" w:cs="Arial"/>
          <w:sz w:val="24"/>
          <w:szCs w:val="24"/>
        </w:rPr>
        <w:t xml:space="preserve"> specialist trauma service, which works in partnership with the</w:t>
      </w:r>
      <w:r w:rsidR="0000617C" w:rsidRPr="005847A9">
        <w:rPr>
          <w:rFonts w:ascii="Arial" w:hAnsi="Arial" w:cs="Arial"/>
          <w:sz w:val="24"/>
          <w:szCs w:val="24"/>
        </w:rPr>
        <w:t xml:space="preserve"> local</w:t>
      </w:r>
      <w:r w:rsidRPr="005847A9">
        <w:rPr>
          <w:rFonts w:ascii="Arial" w:hAnsi="Arial" w:cs="Arial"/>
          <w:sz w:val="24"/>
          <w:szCs w:val="24"/>
        </w:rPr>
        <w:t xml:space="preserve"> IAPT provider</w:t>
      </w:r>
      <w:r w:rsidR="000E7932" w:rsidRPr="005847A9">
        <w:rPr>
          <w:rFonts w:ascii="Arial" w:hAnsi="Arial" w:cs="Arial"/>
          <w:sz w:val="24"/>
          <w:szCs w:val="24"/>
        </w:rPr>
        <w:t>.</w:t>
      </w:r>
    </w:p>
    <w:p w14:paraId="49D9F40A" w14:textId="133B60F8" w:rsidR="0000617C" w:rsidRPr="005847A9" w:rsidRDefault="004934CC" w:rsidP="005847A9">
      <w:pPr>
        <w:spacing w:line="360" w:lineRule="auto"/>
        <w:ind w:firstLine="720"/>
        <w:rPr>
          <w:rFonts w:ascii="Arial" w:hAnsi="Arial" w:cs="Arial"/>
          <w:sz w:val="24"/>
          <w:szCs w:val="24"/>
        </w:rPr>
      </w:pPr>
      <w:r w:rsidRPr="005847A9">
        <w:rPr>
          <w:rFonts w:ascii="Arial" w:hAnsi="Arial" w:cs="Arial"/>
          <w:sz w:val="24"/>
          <w:szCs w:val="24"/>
        </w:rPr>
        <w:t xml:space="preserve">All patients who </w:t>
      </w:r>
      <w:r w:rsidR="002270B2" w:rsidRPr="005847A9">
        <w:rPr>
          <w:rFonts w:ascii="Arial" w:hAnsi="Arial" w:cs="Arial"/>
          <w:sz w:val="24"/>
          <w:szCs w:val="24"/>
        </w:rPr>
        <w:t>agreed to</w:t>
      </w:r>
      <w:r w:rsidRPr="005847A9">
        <w:rPr>
          <w:rFonts w:ascii="Arial" w:hAnsi="Arial" w:cs="Arial"/>
          <w:sz w:val="24"/>
          <w:szCs w:val="24"/>
        </w:rPr>
        <w:t xml:space="preserve"> take part in the Moving On After Trauma </w:t>
      </w:r>
      <w:r w:rsidR="007B217C" w:rsidRPr="005847A9">
        <w:rPr>
          <w:rFonts w:ascii="Arial" w:hAnsi="Arial" w:cs="Arial"/>
          <w:sz w:val="24"/>
          <w:szCs w:val="24"/>
        </w:rPr>
        <w:t xml:space="preserve">(MOAT) </w:t>
      </w:r>
      <w:r w:rsidR="00081349" w:rsidRPr="005847A9">
        <w:rPr>
          <w:rFonts w:ascii="Arial" w:hAnsi="Arial" w:cs="Arial"/>
          <w:sz w:val="24"/>
          <w:szCs w:val="24"/>
        </w:rPr>
        <w:t>course</w:t>
      </w:r>
      <w:r w:rsidR="00976D1E" w:rsidRPr="005847A9">
        <w:rPr>
          <w:rFonts w:ascii="Arial" w:hAnsi="Arial" w:cs="Arial"/>
          <w:sz w:val="24"/>
          <w:szCs w:val="24"/>
        </w:rPr>
        <w:t xml:space="preserve"> were included</w:t>
      </w:r>
      <w:r w:rsidR="00B87028" w:rsidRPr="005847A9">
        <w:rPr>
          <w:rFonts w:ascii="Arial" w:hAnsi="Arial" w:cs="Arial"/>
          <w:sz w:val="24"/>
          <w:szCs w:val="24"/>
        </w:rPr>
        <w:t xml:space="preserve"> (</w:t>
      </w:r>
      <w:r w:rsidR="00A5726A" w:rsidRPr="005847A9">
        <w:rPr>
          <w:rFonts w:ascii="Arial" w:hAnsi="Arial" w:cs="Arial"/>
          <w:sz w:val="24"/>
          <w:szCs w:val="24"/>
        </w:rPr>
        <w:t>N</w:t>
      </w:r>
      <w:r w:rsidR="00B87028" w:rsidRPr="005847A9">
        <w:rPr>
          <w:rFonts w:ascii="Arial" w:hAnsi="Arial" w:cs="Arial"/>
          <w:sz w:val="24"/>
          <w:szCs w:val="24"/>
        </w:rPr>
        <w:t>=82).</w:t>
      </w:r>
      <w:r w:rsidR="007B217C" w:rsidRPr="005847A9">
        <w:rPr>
          <w:rFonts w:ascii="Arial" w:hAnsi="Arial" w:cs="Arial"/>
          <w:sz w:val="24"/>
          <w:szCs w:val="24"/>
        </w:rPr>
        <w:t xml:space="preserve"> </w:t>
      </w:r>
      <w:r w:rsidR="00060D41" w:rsidRPr="005847A9">
        <w:rPr>
          <w:rFonts w:ascii="Arial" w:hAnsi="Arial" w:cs="Arial"/>
          <w:sz w:val="24"/>
          <w:szCs w:val="24"/>
        </w:rPr>
        <w:t xml:space="preserve">Seventy-one percent of these (n=58) </w:t>
      </w:r>
      <w:r w:rsidR="007B217C" w:rsidRPr="005847A9">
        <w:rPr>
          <w:rFonts w:ascii="Arial" w:hAnsi="Arial" w:cs="Arial"/>
          <w:sz w:val="24"/>
          <w:szCs w:val="24"/>
        </w:rPr>
        <w:t xml:space="preserve">attended at least five out of the eight </w:t>
      </w:r>
      <w:r w:rsidR="00081349" w:rsidRPr="005847A9">
        <w:rPr>
          <w:rFonts w:ascii="Arial" w:hAnsi="Arial" w:cs="Arial"/>
          <w:sz w:val="24"/>
          <w:szCs w:val="24"/>
        </w:rPr>
        <w:t>course</w:t>
      </w:r>
      <w:r w:rsidR="007B217C" w:rsidRPr="005847A9">
        <w:rPr>
          <w:rFonts w:ascii="Arial" w:hAnsi="Arial" w:cs="Arial"/>
          <w:sz w:val="24"/>
          <w:szCs w:val="24"/>
        </w:rPr>
        <w:t xml:space="preserve"> sessions, but all participants who had completed pre- and post- outcome measures were entered into the analysis. </w:t>
      </w:r>
      <w:r w:rsidR="00997C9F" w:rsidRPr="005847A9">
        <w:rPr>
          <w:rFonts w:ascii="Arial" w:hAnsi="Arial" w:cs="Arial"/>
          <w:sz w:val="24"/>
          <w:szCs w:val="24"/>
        </w:rPr>
        <w:t xml:space="preserve"> </w:t>
      </w:r>
    </w:p>
    <w:p w14:paraId="0CFE4F86" w14:textId="316E9FD2" w:rsidR="00997C9F" w:rsidRPr="005847A9" w:rsidRDefault="00B87028" w:rsidP="005847A9">
      <w:pPr>
        <w:spacing w:line="360" w:lineRule="auto"/>
        <w:ind w:firstLine="720"/>
        <w:rPr>
          <w:rFonts w:ascii="Arial" w:hAnsi="Arial" w:cs="Arial"/>
          <w:sz w:val="24"/>
          <w:szCs w:val="24"/>
        </w:rPr>
      </w:pPr>
      <w:r w:rsidRPr="005847A9">
        <w:rPr>
          <w:rFonts w:ascii="Arial" w:hAnsi="Arial" w:cs="Arial"/>
          <w:sz w:val="24"/>
          <w:szCs w:val="24"/>
        </w:rPr>
        <w:t>The average age of participants was 30 years (Range=16-65, SD=11), and 66%</w:t>
      </w:r>
      <w:r w:rsidR="00B5290B" w:rsidRPr="005847A9">
        <w:rPr>
          <w:rFonts w:ascii="Arial" w:hAnsi="Arial" w:cs="Arial"/>
          <w:sz w:val="24"/>
          <w:szCs w:val="24"/>
        </w:rPr>
        <w:t xml:space="preserve"> (n= 54)</w:t>
      </w:r>
      <w:r w:rsidRPr="005847A9">
        <w:rPr>
          <w:rFonts w:ascii="Arial" w:hAnsi="Arial" w:cs="Arial"/>
          <w:sz w:val="24"/>
          <w:szCs w:val="24"/>
        </w:rPr>
        <w:t xml:space="preserve"> were male. Participants came from 22 different </w:t>
      </w:r>
      <w:r w:rsidR="008A505E" w:rsidRPr="005847A9">
        <w:rPr>
          <w:rFonts w:ascii="Arial" w:hAnsi="Arial" w:cs="Arial"/>
          <w:sz w:val="24"/>
          <w:szCs w:val="24"/>
        </w:rPr>
        <w:t>countries: see</w:t>
      </w:r>
      <w:r w:rsidR="009C5686" w:rsidRPr="005847A9">
        <w:rPr>
          <w:rFonts w:ascii="Arial" w:hAnsi="Arial" w:cs="Arial"/>
          <w:sz w:val="24"/>
          <w:szCs w:val="24"/>
        </w:rPr>
        <w:t xml:space="preserve"> table one for a summary of participant nationalities</w:t>
      </w:r>
      <w:r w:rsidRPr="005847A9">
        <w:rPr>
          <w:rFonts w:ascii="Arial" w:hAnsi="Arial" w:cs="Arial"/>
          <w:sz w:val="24"/>
          <w:szCs w:val="24"/>
        </w:rPr>
        <w:t>. Participants spoke 14 different languages</w:t>
      </w:r>
      <w:r w:rsidR="009C5686" w:rsidRPr="005847A9">
        <w:rPr>
          <w:rFonts w:ascii="Arial" w:hAnsi="Arial" w:cs="Arial"/>
          <w:sz w:val="24"/>
          <w:szCs w:val="24"/>
        </w:rPr>
        <w:t xml:space="preserve"> including</w:t>
      </w:r>
      <w:r w:rsidRPr="005847A9">
        <w:rPr>
          <w:rFonts w:ascii="Arial" w:hAnsi="Arial" w:cs="Arial"/>
          <w:sz w:val="24"/>
          <w:szCs w:val="24"/>
        </w:rPr>
        <w:t xml:space="preserve"> English, Pashto</w:t>
      </w:r>
      <w:r w:rsidR="009C5686" w:rsidRPr="005847A9">
        <w:rPr>
          <w:rFonts w:ascii="Arial" w:hAnsi="Arial" w:cs="Arial"/>
          <w:sz w:val="24"/>
          <w:szCs w:val="24"/>
        </w:rPr>
        <w:t>,</w:t>
      </w:r>
      <w:r w:rsidRPr="005847A9">
        <w:rPr>
          <w:rFonts w:ascii="Arial" w:hAnsi="Arial" w:cs="Arial"/>
          <w:sz w:val="24"/>
          <w:szCs w:val="24"/>
        </w:rPr>
        <w:t xml:space="preserve"> Arabic</w:t>
      </w:r>
      <w:r w:rsidR="009C5686" w:rsidRPr="005847A9">
        <w:rPr>
          <w:rFonts w:ascii="Arial" w:hAnsi="Arial" w:cs="Arial"/>
          <w:sz w:val="24"/>
          <w:szCs w:val="24"/>
        </w:rPr>
        <w:t>,</w:t>
      </w:r>
      <w:r w:rsidRPr="005847A9">
        <w:rPr>
          <w:rFonts w:ascii="Arial" w:hAnsi="Arial" w:cs="Arial"/>
          <w:sz w:val="24"/>
          <w:szCs w:val="24"/>
        </w:rPr>
        <w:t xml:space="preserve"> Kurdish</w:t>
      </w:r>
      <w:r w:rsidR="009C5686" w:rsidRPr="005847A9">
        <w:rPr>
          <w:rFonts w:ascii="Arial" w:hAnsi="Arial" w:cs="Arial"/>
          <w:sz w:val="24"/>
          <w:szCs w:val="24"/>
        </w:rPr>
        <w:t xml:space="preserve"> and</w:t>
      </w:r>
      <w:r w:rsidRPr="005847A9">
        <w:rPr>
          <w:rFonts w:ascii="Arial" w:hAnsi="Arial" w:cs="Arial"/>
          <w:sz w:val="24"/>
          <w:szCs w:val="24"/>
        </w:rPr>
        <w:t xml:space="preserve"> Albanian. Sixty-one percent of participants</w:t>
      </w:r>
      <w:r w:rsidR="00B5290B" w:rsidRPr="005847A9">
        <w:rPr>
          <w:rFonts w:ascii="Arial" w:hAnsi="Arial" w:cs="Arial"/>
          <w:sz w:val="24"/>
          <w:szCs w:val="24"/>
        </w:rPr>
        <w:t xml:space="preserve"> (n=50</w:t>
      </w:r>
      <w:r w:rsidR="008A505E" w:rsidRPr="005847A9">
        <w:rPr>
          <w:rFonts w:ascii="Arial" w:hAnsi="Arial" w:cs="Arial"/>
          <w:sz w:val="24"/>
          <w:szCs w:val="24"/>
        </w:rPr>
        <w:t xml:space="preserve">) </w:t>
      </w:r>
      <w:r w:rsidR="00136003" w:rsidRPr="005847A9">
        <w:rPr>
          <w:rFonts w:ascii="Arial" w:hAnsi="Arial" w:cs="Arial"/>
          <w:sz w:val="24"/>
          <w:szCs w:val="24"/>
        </w:rPr>
        <w:t>accessed treatment via</w:t>
      </w:r>
      <w:r w:rsidRPr="005847A9">
        <w:rPr>
          <w:rFonts w:ascii="Arial" w:hAnsi="Arial" w:cs="Arial"/>
          <w:sz w:val="24"/>
          <w:szCs w:val="24"/>
        </w:rPr>
        <w:t xml:space="preserve"> an interpreter. </w:t>
      </w:r>
    </w:p>
    <w:p w14:paraId="1691A854" w14:textId="7FC67CC3" w:rsidR="00F15741" w:rsidRPr="005847A9" w:rsidRDefault="009C5686" w:rsidP="005847A9">
      <w:pPr>
        <w:spacing w:line="360" w:lineRule="auto"/>
        <w:rPr>
          <w:rFonts w:ascii="Arial" w:hAnsi="Arial" w:cs="Arial"/>
          <w:sz w:val="24"/>
          <w:szCs w:val="24"/>
        </w:rPr>
      </w:pPr>
      <w:r w:rsidRPr="005847A9">
        <w:rPr>
          <w:rFonts w:ascii="Arial" w:hAnsi="Arial" w:cs="Arial"/>
          <w:sz w:val="24"/>
          <w:szCs w:val="24"/>
        </w:rPr>
        <w:t>Table 1. Participants’ country of origin</w:t>
      </w:r>
    </w:p>
    <w:tbl>
      <w:tblPr>
        <w:tblStyle w:val="TableGrid"/>
        <w:tblW w:w="4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1251"/>
        <w:gridCol w:w="975"/>
      </w:tblGrid>
      <w:tr w:rsidR="000D438C" w:rsidRPr="005847A9" w14:paraId="156493E7" w14:textId="77777777" w:rsidTr="009C5686">
        <w:trPr>
          <w:trHeight w:val="452"/>
        </w:trPr>
        <w:tc>
          <w:tcPr>
            <w:tcW w:w="2293" w:type="dxa"/>
            <w:tcBorders>
              <w:top w:val="single" w:sz="4" w:space="0" w:color="auto"/>
              <w:bottom w:val="single" w:sz="4" w:space="0" w:color="auto"/>
            </w:tcBorders>
          </w:tcPr>
          <w:p w14:paraId="5CD94B97" w14:textId="77777777" w:rsidR="000D438C" w:rsidRPr="005847A9" w:rsidRDefault="000D438C" w:rsidP="005847A9">
            <w:pPr>
              <w:spacing w:line="360" w:lineRule="auto"/>
              <w:rPr>
                <w:rFonts w:ascii="Arial" w:hAnsi="Arial" w:cs="Arial"/>
              </w:rPr>
            </w:pPr>
          </w:p>
        </w:tc>
        <w:tc>
          <w:tcPr>
            <w:tcW w:w="1251" w:type="dxa"/>
            <w:tcBorders>
              <w:top w:val="single" w:sz="4" w:space="0" w:color="auto"/>
              <w:bottom w:val="single" w:sz="4" w:space="0" w:color="auto"/>
            </w:tcBorders>
            <w:noWrap/>
          </w:tcPr>
          <w:p w14:paraId="1735C05E" w14:textId="77777777" w:rsidR="000D438C" w:rsidRPr="005847A9" w:rsidRDefault="000D438C" w:rsidP="005847A9">
            <w:pPr>
              <w:spacing w:line="360" w:lineRule="auto"/>
              <w:rPr>
                <w:rFonts w:ascii="Arial" w:hAnsi="Arial" w:cs="Arial"/>
              </w:rPr>
            </w:pPr>
            <w:r w:rsidRPr="005847A9">
              <w:rPr>
                <w:rFonts w:ascii="Arial" w:hAnsi="Arial" w:cs="Arial"/>
              </w:rPr>
              <w:t xml:space="preserve">N </w:t>
            </w:r>
          </w:p>
        </w:tc>
        <w:tc>
          <w:tcPr>
            <w:tcW w:w="908" w:type="dxa"/>
            <w:tcBorders>
              <w:top w:val="single" w:sz="4" w:space="0" w:color="auto"/>
              <w:bottom w:val="single" w:sz="4" w:space="0" w:color="auto"/>
            </w:tcBorders>
            <w:shd w:val="clear" w:color="auto" w:fill="auto"/>
          </w:tcPr>
          <w:p w14:paraId="042187D4" w14:textId="77777777" w:rsidR="000D438C" w:rsidRPr="005847A9" w:rsidRDefault="000D438C" w:rsidP="005847A9">
            <w:pPr>
              <w:spacing w:line="360" w:lineRule="auto"/>
              <w:rPr>
                <w:rFonts w:ascii="Arial" w:hAnsi="Arial" w:cs="Arial"/>
              </w:rPr>
            </w:pPr>
            <w:r w:rsidRPr="005847A9">
              <w:rPr>
                <w:rFonts w:ascii="Arial" w:hAnsi="Arial" w:cs="Arial"/>
              </w:rPr>
              <w:t>Percent</w:t>
            </w:r>
          </w:p>
        </w:tc>
      </w:tr>
      <w:tr w:rsidR="000D438C" w:rsidRPr="005847A9" w14:paraId="32A39860" w14:textId="77777777" w:rsidTr="009C5686">
        <w:trPr>
          <w:trHeight w:val="452"/>
        </w:trPr>
        <w:tc>
          <w:tcPr>
            <w:tcW w:w="2293" w:type="dxa"/>
            <w:tcBorders>
              <w:top w:val="single" w:sz="4" w:space="0" w:color="auto"/>
            </w:tcBorders>
            <w:hideMark/>
          </w:tcPr>
          <w:p w14:paraId="4E8ACE1F" w14:textId="77777777" w:rsidR="000D438C" w:rsidRPr="005847A9" w:rsidRDefault="000D438C" w:rsidP="005847A9">
            <w:pPr>
              <w:spacing w:line="360" w:lineRule="auto"/>
              <w:rPr>
                <w:rFonts w:ascii="Arial" w:hAnsi="Arial" w:cs="Arial"/>
              </w:rPr>
            </w:pPr>
            <w:r w:rsidRPr="005847A9">
              <w:rPr>
                <w:rFonts w:ascii="Arial" w:hAnsi="Arial" w:cs="Arial"/>
              </w:rPr>
              <w:t>Afghanistan</w:t>
            </w:r>
          </w:p>
        </w:tc>
        <w:tc>
          <w:tcPr>
            <w:tcW w:w="1251" w:type="dxa"/>
            <w:tcBorders>
              <w:top w:val="single" w:sz="4" w:space="0" w:color="auto"/>
            </w:tcBorders>
            <w:noWrap/>
            <w:hideMark/>
          </w:tcPr>
          <w:p w14:paraId="3E1266DC" w14:textId="77777777" w:rsidR="000D438C" w:rsidRPr="005847A9" w:rsidRDefault="000D438C" w:rsidP="005847A9">
            <w:pPr>
              <w:spacing w:line="360" w:lineRule="auto"/>
              <w:rPr>
                <w:rFonts w:ascii="Arial" w:hAnsi="Arial" w:cs="Arial"/>
              </w:rPr>
            </w:pPr>
            <w:r w:rsidRPr="005847A9">
              <w:rPr>
                <w:rFonts w:ascii="Arial" w:hAnsi="Arial" w:cs="Arial"/>
              </w:rPr>
              <w:t>17</w:t>
            </w:r>
          </w:p>
        </w:tc>
        <w:tc>
          <w:tcPr>
            <w:tcW w:w="908" w:type="dxa"/>
            <w:tcBorders>
              <w:top w:val="single" w:sz="4" w:space="0" w:color="auto"/>
            </w:tcBorders>
            <w:shd w:val="clear" w:color="auto" w:fill="auto"/>
            <w:vAlign w:val="bottom"/>
          </w:tcPr>
          <w:p w14:paraId="6300D977" w14:textId="77777777" w:rsidR="000D438C" w:rsidRPr="005847A9" w:rsidRDefault="000D438C" w:rsidP="005847A9">
            <w:pPr>
              <w:spacing w:line="360" w:lineRule="auto"/>
              <w:rPr>
                <w:rFonts w:ascii="Arial" w:hAnsi="Arial" w:cs="Arial"/>
              </w:rPr>
            </w:pPr>
            <w:r w:rsidRPr="005847A9">
              <w:rPr>
                <w:rFonts w:ascii="Arial" w:hAnsi="Arial" w:cs="Arial"/>
              </w:rPr>
              <w:t>22%</w:t>
            </w:r>
          </w:p>
        </w:tc>
      </w:tr>
      <w:tr w:rsidR="000D438C" w:rsidRPr="005847A9" w14:paraId="017A5C78" w14:textId="77777777" w:rsidTr="00F15741">
        <w:trPr>
          <w:trHeight w:val="285"/>
        </w:trPr>
        <w:tc>
          <w:tcPr>
            <w:tcW w:w="2293" w:type="dxa"/>
            <w:hideMark/>
          </w:tcPr>
          <w:p w14:paraId="4919752A" w14:textId="77777777" w:rsidR="000D438C" w:rsidRPr="005847A9" w:rsidRDefault="000D438C" w:rsidP="005847A9">
            <w:pPr>
              <w:spacing w:line="360" w:lineRule="auto"/>
              <w:rPr>
                <w:rFonts w:ascii="Arial" w:hAnsi="Arial" w:cs="Arial"/>
              </w:rPr>
            </w:pPr>
            <w:r w:rsidRPr="005847A9">
              <w:rPr>
                <w:rFonts w:ascii="Arial" w:hAnsi="Arial" w:cs="Arial"/>
              </w:rPr>
              <w:t>Albania</w:t>
            </w:r>
          </w:p>
        </w:tc>
        <w:tc>
          <w:tcPr>
            <w:tcW w:w="1251" w:type="dxa"/>
            <w:noWrap/>
            <w:hideMark/>
          </w:tcPr>
          <w:p w14:paraId="70B0A160" w14:textId="77777777" w:rsidR="000D438C" w:rsidRPr="005847A9" w:rsidRDefault="000D438C" w:rsidP="005847A9">
            <w:pPr>
              <w:spacing w:line="360" w:lineRule="auto"/>
              <w:rPr>
                <w:rFonts w:ascii="Arial" w:hAnsi="Arial" w:cs="Arial"/>
              </w:rPr>
            </w:pPr>
            <w:r w:rsidRPr="005847A9">
              <w:rPr>
                <w:rFonts w:ascii="Arial" w:hAnsi="Arial" w:cs="Arial"/>
              </w:rPr>
              <w:t>8</w:t>
            </w:r>
          </w:p>
        </w:tc>
        <w:tc>
          <w:tcPr>
            <w:tcW w:w="908" w:type="dxa"/>
            <w:shd w:val="clear" w:color="auto" w:fill="auto"/>
            <w:vAlign w:val="bottom"/>
          </w:tcPr>
          <w:p w14:paraId="432BC6E7" w14:textId="77777777" w:rsidR="000D438C" w:rsidRPr="005847A9" w:rsidRDefault="000D438C" w:rsidP="005847A9">
            <w:pPr>
              <w:spacing w:line="360" w:lineRule="auto"/>
              <w:rPr>
                <w:rFonts w:ascii="Arial" w:hAnsi="Arial" w:cs="Arial"/>
              </w:rPr>
            </w:pPr>
            <w:r w:rsidRPr="005847A9">
              <w:rPr>
                <w:rFonts w:ascii="Arial" w:hAnsi="Arial" w:cs="Arial"/>
              </w:rPr>
              <w:t>10 %</w:t>
            </w:r>
          </w:p>
        </w:tc>
      </w:tr>
      <w:tr w:rsidR="000D438C" w:rsidRPr="005847A9" w14:paraId="2941EA8A" w14:textId="77777777" w:rsidTr="00F15741">
        <w:trPr>
          <w:trHeight w:val="452"/>
        </w:trPr>
        <w:tc>
          <w:tcPr>
            <w:tcW w:w="2293" w:type="dxa"/>
            <w:hideMark/>
          </w:tcPr>
          <w:p w14:paraId="4E3A252F" w14:textId="77777777" w:rsidR="000D438C" w:rsidRPr="005847A9" w:rsidRDefault="000D438C" w:rsidP="005847A9">
            <w:pPr>
              <w:spacing w:line="360" w:lineRule="auto"/>
              <w:rPr>
                <w:rFonts w:ascii="Arial" w:hAnsi="Arial" w:cs="Arial"/>
              </w:rPr>
            </w:pPr>
            <w:r w:rsidRPr="005847A9">
              <w:rPr>
                <w:rFonts w:ascii="Arial" w:hAnsi="Arial" w:cs="Arial"/>
              </w:rPr>
              <w:t>Bangladesh</w:t>
            </w:r>
          </w:p>
        </w:tc>
        <w:tc>
          <w:tcPr>
            <w:tcW w:w="1251" w:type="dxa"/>
            <w:noWrap/>
            <w:hideMark/>
          </w:tcPr>
          <w:p w14:paraId="27B161C1" w14:textId="77777777" w:rsidR="000D438C" w:rsidRPr="005847A9" w:rsidRDefault="000D438C" w:rsidP="005847A9">
            <w:pPr>
              <w:spacing w:line="360" w:lineRule="auto"/>
              <w:rPr>
                <w:rFonts w:ascii="Arial" w:hAnsi="Arial" w:cs="Arial"/>
              </w:rPr>
            </w:pPr>
            <w:r w:rsidRPr="005847A9">
              <w:rPr>
                <w:rFonts w:ascii="Arial" w:hAnsi="Arial" w:cs="Arial"/>
              </w:rPr>
              <w:t>3</w:t>
            </w:r>
          </w:p>
        </w:tc>
        <w:tc>
          <w:tcPr>
            <w:tcW w:w="908" w:type="dxa"/>
            <w:shd w:val="clear" w:color="auto" w:fill="auto"/>
            <w:vAlign w:val="bottom"/>
          </w:tcPr>
          <w:p w14:paraId="5AFFFAB5" w14:textId="77777777" w:rsidR="000D438C" w:rsidRPr="005847A9" w:rsidRDefault="000D438C" w:rsidP="005847A9">
            <w:pPr>
              <w:spacing w:line="360" w:lineRule="auto"/>
              <w:rPr>
                <w:rFonts w:ascii="Arial" w:hAnsi="Arial" w:cs="Arial"/>
              </w:rPr>
            </w:pPr>
            <w:r w:rsidRPr="005847A9">
              <w:rPr>
                <w:rFonts w:ascii="Arial" w:hAnsi="Arial" w:cs="Arial"/>
              </w:rPr>
              <w:t>4%</w:t>
            </w:r>
          </w:p>
        </w:tc>
      </w:tr>
      <w:tr w:rsidR="000D438C" w:rsidRPr="005847A9" w14:paraId="7871212F" w14:textId="77777777" w:rsidTr="00F15741">
        <w:trPr>
          <w:trHeight w:val="285"/>
        </w:trPr>
        <w:tc>
          <w:tcPr>
            <w:tcW w:w="2293" w:type="dxa"/>
            <w:hideMark/>
          </w:tcPr>
          <w:p w14:paraId="60CF827A" w14:textId="77777777" w:rsidR="000D438C" w:rsidRPr="005847A9" w:rsidRDefault="000D438C" w:rsidP="005847A9">
            <w:pPr>
              <w:spacing w:line="360" w:lineRule="auto"/>
              <w:rPr>
                <w:rFonts w:ascii="Arial" w:hAnsi="Arial" w:cs="Arial"/>
              </w:rPr>
            </w:pPr>
            <w:r w:rsidRPr="005847A9">
              <w:rPr>
                <w:rFonts w:ascii="Arial" w:hAnsi="Arial" w:cs="Arial"/>
              </w:rPr>
              <w:t>Egypt</w:t>
            </w:r>
          </w:p>
        </w:tc>
        <w:tc>
          <w:tcPr>
            <w:tcW w:w="1251" w:type="dxa"/>
            <w:noWrap/>
            <w:hideMark/>
          </w:tcPr>
          <w:p w14:paraId="13CD7411" w14:textId="77777777" w:rsidR="000D438C" w:rsidRPr="005847A9" w:rsidRDefault="000D438C" w:rsidP="005847A9">
            <w:pPr>
              <w:spacing w:line="360" w:lineRule="auto"/>
              <w:rPr>
                <w:rFonts w:ascii="Arial" w:hAnsi="Arial" w:cs="Arial"/>
              </w:rPr>
            </w:pPr>
            <w:r w:rsidRPr="005847A9">
              <w:rPr>
                <w:rFonts w:ascii="Arial" w:hAnsi="Arial" w:cs="Arial"/>
              </w:rPr>
              <w:t>3</w:t>
            </w:r>
          </w:p>
        </w:tc>
        <w:tc>
          <w:tcPr>
            <w:tcW w:w="908" w:type="dxa"/>
            <w:shd w:val="clear" w:color="auto" w:fill="auto"/>
            <w:vAlign w:val="bottom"/>
          </w:tcPr>
          <w:p w14:paraId="4BEA5950" w14:textId="77777777" w:rsidR="000D438C" w:rsidRPr="005847A9" w:rsidRDefault="000D438C" w:rsidP="005847A9">
            <w:pPr>
              <w:spacing w:line="360" w:lineRule="auto"/>
              <w:rPr>
                <w:rFonts w:ascii="Arial" w:hAnsi="Arial" w:cs="Arial"/>
              </w:rPr>
            </w:pPr>
            <w:r w:rsidRPr="005847A9">
              <w:rPr>
                <w:rFonts w:ascii="Arial" w:hAnsi="Arial" w:cs="Arial"/>
              </w:rPr>
              <w:t>4%</w:t>
            </w:r>
          </w:p>
        </w:tc>
      </w:tr>
      <w:tr w:rsidR="000D438C" w:rsidRPr="005847A9" w14:paraId="50313369" w14:textId="77777777" w:rsidTr="00F15741">
        <w:trPr>
          <w:trHeight w:val="285"/>
        </w:trPr>
        <w:tc>
          <w:tcPr>
            <w:tcW w:w="2293" w:type="dxa"/>
            <w:hideMark/>
          </w:tcPr>
          <w:p w14:paraId="27130116" w14:textId="77777777" w:rsidR="000D438C" w:rsidRPr="005847A9" w:rsidRDefault="000D438C" w:rsidP="005847A9">
            <w:pPr>
              <w:spacing w:line="360" w:lineRule="auto"/>
              <w:rPr>
                <w:rFonts w:ascii="Arial" w:hAnsi="Arial" w:cs="Arial"/>
              </w:rPr>
            </w:pPr>
            <w:r w:rsidRPr="005847A9">
              <w:rPr>
                <w:rFonts w:ascii="Arial" w:hAnsi="Arial" w:cs="Arial"/>
              </w:rPr>
              <w:t>Iran</w:t>
            </w:r>
          </w:p>
        </w:tc>
        <w:tc>
          <w:tcPr>
            <w:tcW w:w="1251" w:type="dxa"/>
            <w:noWrap/>
            <w:hideMark/>
          </w:tcPr>
          <w:p w14:paraId="1F1D69F5" w14:textId="77777777" w:rsidR="000D438C" w:rsidRPr="005847A9" w:rsidRDefault="000D438C" w:rsidP="005847A9">
            <w:pPr>
              <w:spacing w:line="360" w:lineRule="auto"/>
              <w:rPr>
                <w:rFonts w:ascii="Arial" w:hAnsi="Arial" w:cs="Arial"/>
              </w:rPr>
            </w:pPr>
            <w:r w:rsidRPr="005847A9">
              <w:rPr>
                <w:rFonts w:ascii="Arial" w:hAnsi="Arial" w:cs="Arial"/>
              </w:rPr>
              <w:t>6</w:t>
            </w:r>
          </w:p>
        </w:tc>
        <w:tc>
          <w:tcPr>
            <w:tcW w:w="908" w:type="dxa"/>
            <w:shd w:val="clear" w:color="auto" w:fill="auto"/>
            <w:vAlign w:val="bottom"/>
          </w:tcPr>
          <w:p w14:paraId="4676A1FD" w14:textId="77777777" w:rsidR="000D438C" w:rsidRPr="005847A9" w:rsidRDefault="000D438C" w:rsidP="005847A9">
            <w:pPr>
              <w:spacing w:line="360" w:lineRule="auto"/>
              <w:rPr>
                <w:rFonts w:ascii="Arial" w:hAnsi="Arial" w:cs="Arial"/>
              </w:rPr>
            </w:pPr>
            <w:r w:rsidRPr="005847A9">
              <w:rPr>
                <w:rFonts w:ascii="Arial" w:hAnsi="Arial" w:cs="Arial"/>
              </w:rPr>
              <w:t>8%</w:t>
            </w:r>
          </w:p>
        </w:tc>
      </w:tr>
      <w:tr w:rsidR="000D438C" w:rsidRPr="005847A9" w14:paraId="45C1ABC4" w14:textId="77777777" w:rsidTr="00F15741">
        <w:trPr>
          <w:trHeight w:val="285"/>
        </w:trPr>
        <w:tc>
          <w:tcPr>
            <w:tcW w:w="2293" w:type="dxa"/>
            <w:hideMark/>
          </w:tcPr>
          <w:p w14:paraId="0A8E2E72" w14:textId="77777777" w:rsidR="000D438C" w:rsidRPr="005847A9" w:rsidRDefault="000D438C" w:rsidP="005847A9">
            <w:pPr>
              <w:spacing w:line="360" w:lineRule="auto"/>
              <w:rPr>
                <w:rFonts w:ascii="Arial" w:hAnsi="Arial" w:cs="Arial"/>
              </w:rPr>
            </w:pPr>
            <w:r w:rsidRPr="005847A9">
              <w:rPr>
                <w:rFonts w:ascii="Arial" w:hAnsi="Arial" w:cs="Arial"/>
              </w:rPr>
              <w:t>Iraq</w:t>
            </w:r>
          </w:p>
        </w:tc>
        <w:tc>
          <w:tcPr>
            <w:tcW w:w="1251" w:type="dxa"/>
            <w:noWrap/>
            <w:hideMark/>
          </w:tcPr>
          <w:p w14:paraId="0B988317" w14:textId="77777777" w:rsidR="000D438C" w:rsidRPr="005847A9" w:rsidRDefault="000D438C" w:rsidP="005847A9">
            <w:pPr>
              <w:spacing w:line="360" w:lineRule="auto"/>
              <w:rPr>
                <w:rFonts w:ascii="Arial" w:hAnsi="Arial" w:cs="Arial"/>
              </w:rPr>
            </w:pPr>
            <w:r w:rsidRPr="005847A9">
              <w:rPr>
                <w:rFonts w:ascii="Arial" w:hAnsi="Arial" w:cs="Arial"/>
              </w:rPr>
              <w:t>8</w:t>
            </w:r>
          </w:p>
        </w:tc>
        <w:tc>
          <w:tcPr>
            <w:tcW w:w="908" w:type="dxa"/>
            <w:shd w:val="clear" w:color="auto" w:fill="auto"/>
            <w:vAlign w:val="bottom"/>
          </w:tcPr>
          <w:p w14:paraId="74E9BB41" w14:textId="77777777" w:rsidR="000D438C" w:rsidRPr="005847A9" w:rsidRDefault="000D438C" w:rsidP="005847A9">
            <w:pPr>
              <w:spacing w:line="360" w:lineRule="auto"/>
              <w:rPr>
                <w:rFonts w:ascii="Arial" w:hAnsi="Arial" w:cs="Arial"/>
              </w:rPr>
            </w:pPr>
            <w:r w:rsidRPr="005847A9">
              <w:rPr>
                <w:rFonts w:ascii="Arial" w:hAnsi="Arial" w:cs="Arial"/>
              </w:rPr>
              <w:t>10%</w:t>
            </w:r>
          </w:p>
        </w:tc>
      </w:tr>
      <w:tr w:rsidR="000D438C" w:rsidRPr="005847A9" w14:paraId="411B055D" w14:textId="77777777" w:rsidTr="00F15741">
        <w:trPr>
          <w:trHeight w:val="285"/>
        </w:trPr>
        <w:tc>
          <w:tcPr>
            <w:tcW w:w="2293" w:type="dxa"/>
            <w:hideMark/>
          </w:tcPr>
          <w:p w14:paraId="31E7617C" w14:textId="77777777" w:rsidR="000D438C" w:rsidRPr="005847A9" w:rsidRDefault="000D438C" w:rsidP="005847A9">
            <w:pPr>
              <w:spacing w:line="360" w:lineRule="auto"/>
              <w:rPr>
                <w:rFonts w:ascii="Arial" w:hAnsi="Arial" w:cs="Arial"/>
              </w:rPr>
            </w:pPr>
            <w:r w:rsidRPr="005847A9">
              <w:rPr>
                <w:rFonts w:ascii="Arial" w:hAnsi="Arial" w:cs="Arial"/>
              </w:rPr>
              <w:t>Libya</w:t>
            </w:r>
          </w:p>
        </w:tc>
        <w:tc>
          <w:tcPr>
            <w:tcW w:w="1251" w:type="dxa"/>
            <w:noWrap/>
            <w:hideMark/>
          </w:tcPr>
          <w:p w14:paraId="14939F60" w14:textId="77777777" w:rsidR="000D438C" w:rsidRPr="005847A9" w:rsidRDefault="000D438C" w:rsidP="005847A9">
            <w:pPr>
              <w:spacing w:line="360" w:lineRule="auto"/>
              <w:rPr>
                <w:rFonts w:ascii="Arial" w:hAnsi="Arial" w:cs="Arial"/>
              </w:rPr>
            </w:pPr>
            <w:r w:rsidRPr="005847A9">
              <w:rPr>
                <w:rFonts w:ascii="Arial" w:hAnsi="Arial" w:cs="Arial"/>
              </w:rPr>
              <w:t>3</w:t>
            </w:r>
          </w:p>
        </w:tc>
        <w:tc>
          <w:tcPr>
            <w:tcW w:w="908" w:type="dxa"/>
            <w:shd w:val="clear" w:color="auto" w:fill="auto"/>
            <w:vAlign w:val="bottom"/>
          </w:tcPr>
          <w:p w14:paraId="7E55EABB" w14:textId="77777777" w:rsidR="000D438C" w:rsidRPr="005847A9" w:rsidRDefault="000D438C" w:rsidP="005847A9">
            <w:pPr>
              <w:spacing w:line="360" w:lineRule="auto"/>
              <w:rPr>
                <w:rFonts w:ascii="Arial" w:hAnsi="Arial" w:cs="Arial"/>
              </w:rPr>
            </w:pPr>
            <w:r w:rsidRPr="005847A9">
              <w:rPr>
                <w:rFonts w:ascii="Arial" w:hAnsi="Arial" w:cs="Arial"/>
              </w:rPr>
              <w:t>4%</w:t>
            </w:r>
          </w:p>
        </w:tc>
      </w:tr>
      <w:tr w:rsidR="000D438C" w:rsidRPr="005847A9" w14:paraId="16E58807" w14:textId="77777777" w:rsidTr="00F15741">
        <w:trPr>
          <w:trHeight w:val="285"/>
        </w:trPr>
        <w:tc>
          <w:tcPr>
            <w:tcW w:w="2293" w:type="dxa"/>
            <w:hideMark/>
          </w:tcPr>
          <w:p w14:paraId="44A99D52" w14:textId="77777777" w:rsidR="000D438C" w:rsidRPr="005847A9" w:rsidRDefault="000D438C" w:rsidP="005847A9">
            <w:pPr>
              <w:spacing w:line="360" w:lineRule="auto"/>
              <w:rPr>
                <w:rFonts w:ascii="Arial" w:hAnsi="Arial" w:cs="Arial"/>
              </w:rPr>
            </w:pPr>
            <w:r w:rsidRPr="005847A9">
              <w:rPr>
                <w:rFonts w:ascii="Arial" w:hAnsi="Arial" w:cs="Arial"/>
              </w:rPr>
              <w:t>Somalia</w:t>
            </w:r>
          </w:p>
        </w:tc>
        <w:tc>
          <w:tcPr>
            <w:tcW w:w="1251" w:type="dxa"/>
            <w:noWrap/>
            <w:hideMark/>
          </w:tcPr>
          <w:p w14:paraId="3A053924" w14:textId="77777777" w:rsidR="000D438C" w:rsidRPr="005847A9" w:rsidRDefault="000D438C" w:rsidP="005847A9">
            <w:pPr>
              <w:spacing w:line="360" w:lineRule="auto"/>
              <w:rPr>
                <w:rFonts w:ascii="Arial" w:hAnsi="Arial" w:cs="Arial"/>
              </w:rPr>
            </w:pPr>
            <w:r w:rsidRPr="005847A9">
              <w:rPr>
                <w:rFonts w:ascii="Arial" w:hAnsi="Arial" w:cs="Arial"/>
              </w:rPr>
              <w:t>6</w:t>
            </w:r>
          </w:p>
        </w:tc>
        <w:tc>
          <w:tcPr>
            <w:tcW w:w="908" w:type="dxa"/>
            <w:shd w:val="clear" w:color="auto" w:fill="auto"/>
            <w:vAlign w:val="bottom"/>
          </w:tcPr>
          <w:p w14:paraId="756DF88F" w14:textId="77777777" w:rsidR="000D438C" w:rsidRPr="005847A9" w:rsidRDefault="000D438C" w:rsidP="005847A9">
            <w:pPr>
              <w:spacing w:line="360" w:lineRule="auto"/>
              <w:rPr>
                <w:rFonts w:ascii="Arial" w:hAnsi="Arial" w:cs="Arial"/>
              </w:rPr>
            </w:pPr>
            <w:r w:rsidRPr="005847A9">
              <w:rPr>
                <w:rFonts w:ascii="Arial" w:hAnsi="Arial" w:cs="Arial"/>
              </w:rPr>
              <w:t>8%</w:t>
            </w:r>
          </w:p>
        </w:tc>
      </w:tr>
      <w:tr w:rsidR="000D438C" w:rsidRPr="005847A9" w14:paraId="50CB4D81" w14:textId="77777777" w:rsidTr="00F15741">
        <w:trPr>
          <w:trHeight w:val="285"/>
        </w:trPr>
        <w:tc>
          <w:tcPr>
            <w:tcW w:w="2293" w:type="dxa"/>
            <w:hideMark/>
          </w:tcPr>
          <w:p w14:paraId="7EA0349A" w14:textId="77777777" w:rsidR="000D438C" w:rsidRPr="005847A9" w:rsidRDefault="000D438C" w:rsidP="005847A9">
            <w:pPr>
              <w:spacing w:line="360" w:lineRule="auto"/>
              <w:rPr>
                <w:rFonts w:ascii="Arial" w:hAnsi="Arial" w:cs="Arial"/>
              </w:rPr>
            </w:pPr>
            <w:r w:rsidRPr="005847A9">
              <w:rPr>
                <w:rFonts w:ascii="Arial" w:hAnsi="Arial" w:cs="Arial"/>
              </w:rPr>
              <w:t>Sri Lanka</w:t>
            </w:r>
          </w:p>
        </w:tc>
        <w:tc>
          <w:tcPr>
            <w:tcW w:w="1251" w:type="dxa"/>
            <w:noWrap/>
            <w:hideMark/>
          </w:tcPr>
          <w:p w14:paraId="630F03C2" w14:textId="77777777" w:rsidR="000D438C" w:rsidRPr="005847A9" w:rsidRDefault="000D438C" w:rsidP="005847A9">
            <w:pPr>
              <w:spacing w:line="360" w:lineRule="auto"/>
              <w:rPr>
                <w:rFonts w:ascii="Arial" w:hAnsi="Arial" w:cs="Arial"/>
              </w:rPr>
            </w:pPr>
            <w:r w:rsidRPr="005847A9">
              <w:rPr>
                <w:rFonts w:ascii="Arial" w:hAnsi="Arial" w:cs="Arial"/>
              </w:rPr>
              <w:t>2</w:t>
            </w:r>
          </w:p>
        </w:tc>
        <w:tc>
          <w:tcPr>
            <w:tcW w:w="908" w:type="dxa"/>
            <w:shd w:val="clear" w:color="auto" w:fill="auto"/>
            <w:vAlign w:val="bottom"/>
          </w:tcPr>
          <w:p w14:paraId="52102795" w14:textId="77777777" w:rsidR="000D438C" w:rsidRPr="005847A9" w:rsidRDefault="000D438C" w:rsidP="005847A9">
            <w:pPr>
              <w:spacing w:line="360" w:lineRule="auto"/>
              <w:rPr>
                <w:rFonts w:ascii="Arial" w:hAnsi="Arial" w:cs="Arial"/>
              </w:rPr>
            </w:pPr>
            <w:r w:rsidRPr="005847A9">
              <w:rPr>
                <w:rFonts w:ascii="Arial" w:hAnsi="Arial" w:cs="Arial"/>
              </w:rPr>
              <w:t>3%</w:t>
            </w:r>
          </w:p>
        </w:tc>
      </w:tr>
      <w:tr w:rsidR="000D438C" w:rsidRPr="005847A9" w14:paraId="4C0301B6" w14:textId="77777777" w:rsidTr="00F15741">
        <w:trPr>
          <w:trHeight w:val="285"/>
        </w:trPr>
        <w:tc>
          <w:tcPr>
            <w:tcW w:w="2293" w:type="dxa"/>
            <w:hideMark/>
          </w:tcPr>
          <w:p w14:paraId="2269278E" w14:textId="77777777" w:rsidR="000D438C" w:rsidRPr="005847A9" w:rsidRDefault="000D438C" w:rsidP="005847A9">
            <w:pPr>
              <w:spacing w:line="360" w:lineRule="auto"/>
              <w:rPr>
                <w:rFonts w:ascii="Arial" w:hAnsi="Arial" w:cs="Arial"/>
              </w:rPr>
            </w:pPr>
            <w:r w:rsidRPr="005847A9">
              <w:rPr>
                <w:rFonts w:ascii="Arial" w:hAnsi="Arial" w:cs="Arial"/>
              </w:rPr>
              <w:t>Sudan</w:t>
            </w:r>
          </w:p>
        </w:tc>
        <w:tc>
          <w:tcPr>
            <w:tcW w:w="1251" w:type="dxa"/>
            <w:noWrap/>
            <w:hideMark/>
          </w:tcPr>
          <w:p w14:paraId="371F3652" w14:textId="77777777" w:rsidR="000D438C" w:rsidRPr="005847A9" w:rsidRDefault="000D438C" w:rsidP="005847A9">
            <w:pPr>
              <w:spacing w:line="360" w:lineRule="auto"/>
              <w:rPr>
                <w:rFonts w:ascii="Arial" w:hAnsi="Arial" w:cs="Arial"/>
              </w:rPr>
            </w:pPr>
            <w:r w:rsidRPr="005847A9">
              <w:rPr>
                <w:rFonts w:ascii="Arial" w:hAnsi="Arial" w:cs="Arial"/>
              </w:rPr>
              <w:t>3</w:t>
            </w:r>
          </w:p>
        </w:tc>
        <w:tc>
          <w:tcPr>
            <w:tcW w:w="908" w:type="dxa"/>
            <w:shd w:val="clear" w:color="auto" w:fill="auto"/>
            <w:vAlign w:val="bottom"/>
          </w:tcPr>
          <w:p w14:paraId="4373C96C" w14:textId="77777777" w:rsidR="000D438C" w:rsidRPr="005847A9" w:rsidRDefault="000D438C" w:rsidP="005847A9">
            <w:pPr>
              <w:spacing w:line="360" w:lineRule="auto"/>
              <w:rPr>
                <w:rFonts w:ascii="Arial" w:hAnsi="Arial" w:cs="Arial"/>
              </w:rPr>
            </w:pPr>
            <w:r w:rsidRPr="005847A9">
              <w:rPr>
                <w:rFonts w:ascii="Arial" w:hAnsi="Arial" w:cs="Arial"/>
              </w:rPr>
              <w:t>4%</w:t>
            </w:r>
          </w:p>
        </w:tc>
      </w:tr>
      <w:tr w:rsidR="000D438C" w:rsidRPr="005847A9" w14:paraId="37B1A153" w14:textId="77777777" w:rsidTr="00F15741">
        <w:trPr>
          <w:trHeight w:val="285"/>
        </w:trPr>
        <w:tc>
          <w:tcPr>
            <w:tcW w:w="2293" w:type="dxa"/>
            <w:hideMark/>
          </w:tcPr>
          <w:p w14:paraId="2A6575EA" w14:textId="77777777" w:rsidR="000D438C" w:rsidRPr="005847A9" w:rsidRDefault="000D438C" w:rsidP="005847A9">
            <w:pPr>
              <w:spacing w:line="360" w:lineRule="auto"/>
              <w:rPr>
                <w:rFonts w:ascii="Arial" w:hAnsi="Arial" w:cs="Arial"/>
              </w:rPr>
            </w:pPr>
            <w:r w:rsidRPr="005847A9">
              <w:rPr>
                <w:rFonts w:ascii="Arial" w:hAnsi="Arial" w:cs="Arial"/>
              </w:rPr>
              <w:t>Syria</w:t>
            </w:r>
          </w:p>
        </w:tc>
        <w:tc>
          <w:tcPr>
            <w:tcW w:w="1251" w:type="dxa"/>
            <w:noWrap/>
            <w:hideMark/>
          </w:tcPr>
          <w:p w14:paraId="116960D6" w14:textId="77777777" w:rsidR="000D438C" w:rsidRPr="005847A9" w:rsidRDefault="000D438C" w:rsidP="005847A9">
            <w:pPr>
              <w:spacing w:line="360" w:lineRule="auto"/>
              <w:rPr>
                <w:rFonts w:ascii="Arial" w:hAnsi="Arial" w:cs="Arial"/>
              </w:rPr>
            </w:pPr>
            <w:r w:rsidRPr="005847A9">
              <w:rPr>
                <w:rFonts w:ascii="Arial" w:hAnsi="Arial" w:cs="Arial"/>
              </w:rPr>
              <w:t>5</w:t>
            </w:r>
          </w:p>
        </w:tc>
        <w:tc>
          <w:tcPr>
            <w:tcW w:w="908" w:type="dxa"/>
            <w:shd w:val="clear" w:color="auto" w:fill="auto"/>
            <w:vAlign w:val="bottom"/>
          </w:tcPr>
          <w:p w14:paraId="12B4A885" w14:textId="77777777" w:rsidR="000D438C" w:rsidRPr="005847A9" w:rsidRDefault="000D438C" w:rsidP="005847A9">
            <w:pPr>
              <w:spacing w:line="360" w:lineRule="auto"/>
              <w:rPr>
                <w:rFonts w:ascii="Arial" w:hAnsi="Arial" w:cs="Arial"/>
              </w:rPr>
            </w:pPr>
            <w:r w:rsidRPr="005847A9">
              <w:rPr>
                <w:rFonts w:ascii="Arial" w:hAnsi="Arial" w:cs="Arial"/>
              </w:rPr>
              <w:t>6%</w:t>
            </w:r>
          </w:p>
        </w:tc>
      </w:tr>
      <w:tr w:rsidR="000D438C" w:rsidRPr="005847A9" w14:paraId="4D9189BB" w14:textId="77777777" w:rsidTr="00F15741">
        <w:trPr>
          <w:trHeight w:val="285"/>
        </w:trPr>
        <w:tc>
          <w:tcPr>
            <w:tcW w:w="2293" w:type="dxa"/>
            <w:hideMark/>
          </w:tcPr>
          <w:p w14:paraId="3486D108" w14:textId="77777777" w:rsidR="000D438C" w:rsidRPr="005847A9" w:rsidRDefault="000D438C" w:rsidP="005847A9">
            <w:pPr>
              <w:spacing w:line="360" w:lineRule="auto"/>
              <w:rPr>
                <w:rFonts w:ascii="Arial" w:hAnsi="Arial" w:cs="Arial"/>
              </w:rPr>
            </w:pPr>
            <w:r w:rsidRPr="005847A9">
              <w:rPr>
                <w:rFonts w:ascii="Arial" w:hAnsi="Arial" w:cs="Arial"/>
              </w:rPr>
              <w:t>Turkey</w:t>
            </w:r>
          </w:p>
        </w:tc>
        <w:tc>
          <w:tcPr>
            <w:tcW w:w="1251" w:type="dxa"/>
            <w:noWrap/>
            <w:hideMark/>
          </w:tcPr>
          <w:p w14:paraId="330DFE9E" w14:textId="77777777" w:rsidR="000D438C" w:rsidRPr="005847A9" w:rsidRDefault="000D438C" w:rsidP="005847A9">
            <w:pPr>
              <w:spacing w:line="360" w:lineRule="auto"/>
              <w:rPr>
                <w:rFonts w:ascii="Arial" w:hAnsi="Arial" w:cs="Arial"/>
              </w:rPr>
            </w:pPr>
            <w:r w:rsidRPr="005847A9">
              <w:rPr>
                <w:rFonts w:ascii="Arial" w:hAnsi="Arial" w:cs="Arial"/>
              </w:rPr>
              <w:t>2</w:t>
            </w:r>
          </w:p>
        </w:tc>
        <w:tc>
          <w:tcPr>
            <w:tcW w:w="908" w:type="dxa"/>
            <w:shd w:val="clear" w:color="auto" w:fill="auto"/>
            <w:vAlign w:val="bottom"/>
          </w:tcPr>
          <w:p w14:paraId="3AEDBDA7" w14:textId="77777777" w:rsidR="000D438C" w:rsidRPr="005847A9" w:rsidRDefault="000D438C" w:rsidP="005847A9">
            <w:pPr>
              <w:spacing w:line="360" w:lineRule="auto"/>
              <w:rPr>
                <w:rFonts w:ascii="Arial" w:hAnsi="Arial" w:cs="Arial"/>
              </w:rPr>
            </w:pPr>
            <w:r w:rsidRPr="005847A9">
              <w:rPr>
                <w:rFonts w:ascii="Arial" w:hAnsi="Arial" w:cs="Arial"/>
              </w:rPr>
              <w:t>3%</w:t>
            </w:r>
          </w:p>
        </w:tc>
      </w:tr>
      <w:tr w:rsidR="000D438C" w:rsidRPr="005847A9" w14:paraId="379B65F0" w14:textId="77777777" w:rsidTr="00F15741">
        <w:trPr>
          <w:trHeight w:val="285"/>
        </w:trPr>
        <w:tc>
          <w:tcPr>
            <w:tcW w:w="2293" w:type="dxa"/>
            <w:hideMark/>
          </w:tcPr>
          <w:p w14:paraId="635DB182" w14:textId="77777777" w:rsidR="000D438C" w:rsidRPr="005847A9" w:rsidRDefault="000D438C" w:rsidP="005847A9">
            <w:pPr>
              <w:spacing w:line="360" w:lineRule="auto"/>
              <w:rPr>
                <w:rFonts w:ascii="Arial" w:hAnsi="Arial" w:cs="Arial"/>
              </w:rPr>
            </w:pPr>
            <w:r w:rsidRPr="005847A9">
              <w:rPr>
                <w:rFonts w:ascii="Arial" w:hAnsi="Arial" w:cs="Arial"/>
              </w:rPr>
              <w:t>Uganda</w:t>
            </w:r>
          </w:p>
        </w:tc>
        <w:tc>
          <w:tcPr>
            <w:tcW w:w="1251" w:type="dxa"/>
            <w:noWrap/>
            <w:hideMark/>
          </w:tcPr>
          <w:p w14:paraId="1C6FBB9E" w14:textId="77777777" w:rsidR="000D438C" w:rsidRPr="005847A9" w:rsidRDefault="000D438C" w:rsidP="005847A9">
            <w:pPr>
              <w:spacing w:line="360" w:lineRule="auto"/>
              <w:rPr>
                <w:rFonts w:ascii="Arial" w:hAnsi="Arial" w:cs="Arial"/>
              </w:rPr>
            </w:pPr>
            <w:r w:rsidRPr="005847A9">
              <w:rPr>
                <w:rFonts w:ascii="Arial" w:hAnsi="Arial" w:cs="Arial"/>
              </w:rPr>
              <w:t>2</w:t>
            </w:r>
          </w:p>
        </w:tc>
        <w:tc>
          <w:tcPr>
            <w:tcW w:w="908" w:type="dxa"/>
            <w:shd w:val="clear" w:color="auto" w:fill="auto"/>
            <w:vAlign w:val="bottom"/>
          </w:tcPr>
          <w:p w14:paraId="057D6BC0" w14:textId="77777777" w:rsidR="000D438C" w:rsidRPr="005847A9" w:rsidRDefault="000D438C" w:rsidP="005847A9">
            <w:pPr>
              <w:spacing w:line="360" w:lineRule="auto"/>
              <w:rPr>
                <w:rFonts w:ascii="Arial" w:hAnsi="Arial" w:cs="Arial"/>
              </w:rPr>
            </w:pPr>
            <w:r w:rsidRPr="005847A9">
              <w:rPr>
                <w:rFonts w:ascii="Arial" w:hAnsi="Arial" w:cs="Arial"/>
              </w:rPr>
              <w:t>3%</w:t>
            </w:r>
          </w:p>
        </w:tc>
      </w:tr>
      <w:tr w:rsidR="000D438C" w:rsidRPr="005847A9" w14:paraId="57E0A0A6" w14:textId="77777777" w:rsidTr="00F15741">
        <w:trPr>
          <w:trHeight w:val="285"/>
        </w:trPr>
        <w:tc>
          <w:tcPr>
            <w:tcW w:w="2293" w:type="dxa"/>
          </w:tcPr>
          <w:p w14:paraId="5FA28313" w14:textId="77777777" w:rsidR="000D438C" w:rsidRPr="005847A9" w:rsidRDefault="000D438C" w:rsidP="005847A9">
            <w:pPr>
              <w:spacing w:line="360" w:lineRule="auto"/>
              <w:rPr>
                <w:rFonts w:ascii="Arial" w:hAnsi="Arial" w:cs="Arial"/>
              </w:rPr>
            </w:pPr>
            <w:r w:rsidRPr="005847A9">
              <w:rPr>
                <w:rFonts w:ascii="Arial" w:hAnsi="Arial" w:cs="Arial"/>
              </w:rPr>
              <w:t>Unknown</w:t>
            </w:r>
          </w:p>
        </w:tc>
        <w:tc>
          <w:tcPr>
            <w:tcW w:w="1251" w:type="dxa"/>
            <w:noWrap/>
          </w:tcPr>
          <w:p w14:paraId="788B5667" w14:textId="77777777" w:rsidR="000D438C" w:rsidRPr="005847A9" w:rsidRDefault="000D438C" w:rsidP="005847A9">
            <w:pPr>
              <w:spacing w:line="360" w:lineRule="auto"/>
              <w:rPr>
                <w:rFonts w:ascii="Arial" w:hAnsi="Arial" w:cs="Arial"/>
              </w:rPr>
            </w:pPr>
            <w:r w:rsidRPr="005847A9">
              <w:rPr>
                <w:rFonts w:ascii="Arial" w:hAnsi="Arial" w:cs="Arial"/>
              </w:rPr>
              <w:t>5</w:t>
            </w:r>
          </w:p>
        </w:tc>
        <w:tc>
          <w:tcPr>
            <w:tcW w:w="908" w:type="dxa"/>
            <w:shd w:val="clear" w:color="auto" w:fill="auto"/>
            <w:vAlign w:val="bottom"/>
          </w:tcPr>
          <w:p w14:paraId="147E99D8" w14:textId="77777777" w:rsidR="000D438C" w:rsidRPr="005847A9" w:rsidRDefault="000D438C" w:rsidP="005847A9">
            <w:pPr>
              <w:spacing w:line="360" w:lineRule="auto"/>
              <w:rPr>
                <w:rFonts w:ascii="Arial" w:hAnsi="Arial" w:cs="Arial"/>
              </w:rPr>
            </w:pPr>
            <w:r w:rsidRPr="005847A9">
              <w:rPr>
                <w:rFonts w:ascii="Arial" w:hAnsi="Arial" w:cs="Arial"/>
              </w:rPr>
              <w:t>n/a</w:t>
            </w:r>
          </w:p>
        </w:tc>
      </w:tr>
      <w:tr w:rsidR="008416EE" w:rsidRPr="005847A9" w14:paraId="1C614D46" w14:textId="77777777" w:rsidTr="009C5686">
        <w:trPr>
          <w:trHeight w:val="285"/>
        </w:trPr>
        <w:tc>
          <w:tcPr>
            <w:tcW w:w="2293" w:type="dxa"/>
            <w:tcBorders>
              <w:bottom w:val="single" w:sz="4" w:space="0" w:color="auto"/>
            </w:tcBorders>
          </w:tcPr>
          <w:p w14:paraId="5F7FEE73" w14:textId="77777777" w:rsidR="008416EE" w:rsidRPr="005847A9" w:rsidRDefault="008416EE" w:rsidP="005847A9">
            <w:pPr>
              <w:spacing w:line="360" w:lineRule="auto"/>
              <w:rPr>
                <w:rFonts w:ascii="Arial" w:hAnsi="Arial" w:cs="Arial"/>
              </w:rPr>
            </w:pPr>
            <w:r w:rsidRPr="005847A9">
              <w:rPr>
                <w:rFonts w:ascii="Arial" w:hAnsi="Arial" w:cs="Arial"/>
              </w:rPr>
              <w:t xml:space="preserve">Other </w:t>
            </w:r>
            <w:r w:rsidRPr="005847A9">
              <w:rPr>
                <w:rStyle w:val="FootnoteReference"/>
                <w:rFonts w:ascii="Arial" w:hAnsi="Arial" w:cs="Arial"/>
              </w:rPr>
              <w:footnoteReference w:id="2"/>
            </w:r>
          </w:p>
        </w:tc>
        <w:tc>
          <w:tcPr>
            <w:tcW w:w="1251" w:type="dxa"/>
            <w:tcBorders>
              <w:bottom w:val="single" w:sz="4" w:space="0" w:color="auto"/>
            </w:tcBorders>
            <w:noWrap/>
          </w:tcPr>
          <w:p w14:paraId="49EB8C11" w14:textId="77777777" w:rsidR="008416EE" w:rsidRPr="005847A9" w:rsidRDefault="008416EE" w:rsidP="005847A9">
            <w:pPr>
              <w:spacing w:line="360" w:lineRule="auto"/>
              <w:rPr>
                <w:rFonts w:ascii="Arial" w:hAnsi="Arial" w:cs="Arial"/>
              </w:rPr>
            </w:pPr>
            <w:r w:rsidRPr="005847A9">
              <w:rPr>
                <w:rFonts w:ascii="Arial" w:hAnsi="Arial" w:cs="Arial"/>
              </w:rPr>
              <w:t>9</w:t>
            </w:r>
          </w:p>
        </w:tc>
        <w:tc>
          <w:tcPr>
            <w:tcW w:w="908" w:type="dxa"/>
            <w:tcBorders>
              <w:bottom w:val="single" w:sz="4" w:space="0" w:color="auto"/>
            </w:tcBorders>
            <w:shd w:val="clear" w:color="auto" w:fill="auto"/>
            <w:vAlign w:val="bottom"/>
          </w:tcPr>
          <w:p w14:paraId="6C693D4B" w14:textId="77777777" w:rsidR="008416EE" w:rsidRPr="005847A9" w:rsidRDefault="008416EE" w:rsidP="005847A9">
            <w:pPr>
              <w:spacing w:line="360" w:lineRule="auto"/>
              <w:rPr>
                <w:rFonts w:ascii="Arial" w:hAnsi="Arial" w:cs="Arial"/>
              </w:rPr>
            </w:pPr>
            <w:r w:rsidRPr="005847A9">
              <w:rPr>
                <w:rFonts w:ascii="Arial" w:hAnsi="Arial" w:cs="Arial"/>
              </w:rPr>
              <w:t>9%</w:t>
            </w:r>
          </w:p>
        </w:tc>
      </w:tr>
    </w:tbl>
    <w:p w14:paraId="1878B06E" w14:textId="53FD9334" w:rsidR="004934CC" w:rsidRPr="005847A9" w:rsidRDefault="004934CC" w:rsidP="005847A9">
      <w:pPr>
        <w:spacing w:line="360" w:lineRule="auto"/>
        <w:rPr>
          <w:rFonts w:ascii="Arial" w:hAnsi="Arial" w:cs="Arial"/>
          <w:sz w:val="24"/>
          <w:szCs w:val="24"/>
        </w:rPr>
      </w:pPr>
      <w:r w:rsidRPr="005847A9">
        <w:rPr>
          <w:rFonts w:ascii="Arial" w:hAnsi="Arial" w:cs="Arial"/>
          <w:sz w:val="24"/>
          <w:szCs w:val="24"/>
        </w:rPr>
        <w:lastRenderedPageBreak/>
        <w:t xml:space="preserve">Measures </w:t>
      </w:r>
    </w:p>
    <w:p w14:paraId="367EC958" w14:textId="58B8424F" w:rsidR="007B217C" w:rsidRPr="005847A9" w:rsidRDefault="007B217C" w:rsidP="005847A9">
      <w:pPr>
        <w:spacing w:line="360" w:lineRule="auto"/>
        <w:ind w:firstLine="720"/>
        <w:rPr>
          <w:rFonts w:ascii="Arial" w:hAnsi="Arial" w:cs="Arial"/>
          <w:sz w:val="24"/>
          <w:szCs w:val="24"/>
        </w:rPr>
      </w:pPr>
      <w:r w:rsidRPr="005847A9">
        <w:rPr>
          <w:rFonts w:ascii="Arial" w:hAnsi="Arial" w:cs="Arial"/>
          <w:sz w:val="24"/>
          <w:szCs w:val="24"/>
        </w:rPr>
        <w:t>All</w:t>
      </w:r>
      <w:r w:rsidR="0000617C" w:rsidRPr="005847A9">
        <w:rPr>
          <w:rFonts w:ascii="Arial" w:hAnsi="Arial" w:cs="Arial"/>
          <w:sz w:val="24"/>
          <w:szCs w:val="24"/>
        </w:rPr>
        <w:t xml:space="preserve"> standardised assessments</w:t>
      </w:r>
      <w:r w:rsidRPr="005847A9">
        <w:rPr>
          <w:rFonts w:ascii="Arial" w:hAnsi="Arial" w:cs="Arial"/>
          <w:sz w:val="24"/>
          <w:szCs w:val="24"/>
        </w:rPr>
        <w:t xml:space="preserve"> were adm</w:t>
      </w:r>
      <w:r w:rsidR="00B31D4E" w:rsidRPr="005847A9">
        <w:rPr>
          <w:rFonts w:ascii="Arial" w:hAnsi="Arial" w:cs="Arial"/>
          <w:sz w:val="24"/>
          <w:szCs w:val="24"/>
        </w:rPr>
        <w:t xml:space="preserve">inistered at baseline, either at assessment </w:t>
      </w:r>
      <w:r w:rsidR="00DB2A80" w:rsidRPr="005847A9">
        <w:rPr>
          <w:rFonts w:ascii="Arial" w:hAnsi="Arial" w:cs="Arial"/>
          <w:sz w:val="24"/>
          <w:szCs w:val="24"/>
        </w:rPr>
        <w:t>in the</w:t>
      </w:r>
      <w:r w:rsidRPr="005847A9">
        <w:rPr>
          <w:rFonts w:ascii="Arial" w:hAnsi="Arial" w:cs="Arial"/>
          <w:sz w:val="24"/>
          <w:szCs w:val="24"/>
        </w:rPr>
        <w:t xml:space="preserve"> </w:t>
      </w:r>
      <w:r w:rsidR="00EA39E2" w:rsidRPr="005847A9">
        <w:rPr>
          <w:rFonts w:ascii="Arial" w:hAnsi="Arial" w:cs="Arial"/>
          <w:sz w:val="24"/>
          <w:szCs w:val="24"/>
        </w:rPr>
        <w:t xml:space="preserve">3 </w:t>
      </w:r>
      <w:r w:rsidRPr="005847A9">
        <w:rPr>
          <w:rFonts w:ascii="Arial" w:hAnsi="Arial" w:cs="Arial"/>
          <w:sz w:val="24"/>
          <w:szCs w:val="24"/>
        </w:rPr>
        <w:t xml:space="preserve">weeks </w:t>
      </w:r>
      <w:r w:rsidR="00DB2A80" w:rsidRPr="005847A9">
        <w:rPr>
          <w:rFonts w:ascii="Arial" w:hAnsi="Arial" w:cs="Arial"/>
          <w:sz w:val="24"/>
          <w:szCs w:val="24"/>
        </w:rPr>
        <w:t>before the course began</w:t>
      </w:r>
      <w:r w:rsidRPr="005847A9">
        <w:rPr>
          <w:rFonts w:ascii="Arial" w:hAnsi="Arial" w:cs="Arial"/>
          <w:sz w:val="24"/>
          <w:szCs w:val="24"/>
        </w:rPr>
        <w:t>, or im</w:t>
      </w:r>
      <w:r w:rsidR="00081349" w:rsidRPr="005847A9">
        <w:rPr>
          <w:rFonts w:ascii="Arial" w:hAnsi="Arial" w:cs="Arial"/>
          <w:sz w:val="24"/>
          <w:szCs w:val="24"/>
        </w:rPr>
        <w:t>mediately before the first session. Measures</w:t>
      </w:r>
      <w:r w:rsidRPr="005847A9">
        <w:rPr>
          <w:rFonts w:ascii="Arial" w:hAnsi="Arial" w:cs="Arial"/>
          <w:sz w:val="24"/>
          <w:szCs w:val="24"/>
        </w:rPr>
        <w:t xml:space="preserve"> were administered again in the final session. Outcome measures were administered via interpreters where translated versions of the questionnaires were not available</w:t>
      </w:r>
      <w:r w:rsidR="00774400" w:rsidRPr="005847A9">
        <w:rPr>
          <w:rFonts w:ascii="Arial" w:hAnsi="Arial" w:cs="Arial"/>
          <w:sz w:val="24"/>
          <w:szCs w:val="24"/>
        </w:rPr>
        <w:t xml:space="preserve"> or if the patient did not have literacy in their first language</w:t>
      </w:r>
      <w:r w:rsidRPr="005847A9">
        <w:rPr>
          <w:rFonts w:ascii="Arial" w:hAnsi="Arial" w:cs="Arial"/>
          <w:sz w:val="24"/>
          <w:szCs w:val="24"/>
        </w:rPr>
        <w:t xml:space="preserve">. Interpreters were supported in the use of these measures by </w:t>
      </w:r>
      <w:r w:rsidR="00EA39E2" w:rsidRPr="005847A9">
        <w:rPr>
          <w:rFonts w:ascii="Arial" w:hAnsi="Arial" w:cs="Arial"/>
          <w:sz w:val="24"/>
          <w:szCs w:val="24"/>
        </w:rPr>
        <w:t xml:space="preserve">a </w:t>
      </w:r>
      <w:r w:rsidRPr="005847A9">
        <w:rPr>
          <w:rFonts w:ascii="Arial" w:hAnsi="Arial" w:cs="Arial"/>
          <w:sz w:val="24"/>
          <w:szCs w:val="24"/>
        </w:rPr>
        <w:t xml:space="preserve">qualified </w:t>
      </w:r>
      <w:r w:rsidR="00411936" w:rsidRPr="005847A9">
        <w:rPr>
          <w:rFonts w:ascii="Arial" w:hAnsi="Arial" w:cs="Arial"/>
          <w:sz w:val="24"/>
          <w:szCs w:val="24"/>
        </w:rPr>
        <w:t>clinical psychologist</w:t>
      </w:r>
      <w:r w:rsidRPr="005847A9">
        <w:rPr>
          <w:rFonts w:ascii="Arial" w:hAnsi="Arial" w:cs="Arial"/>
          <w:sz w:val="24"/>
          <w:szCs w:val="24"/>
        </w:rPr>
        <w:t>. Although session-by-session measuring is preferable in most settings, this was not poss</w:t>
      </w:r>
      <w:r w:rsidR="00081349" w:rsidRPr="005847A9">
        <w:rPr>
          <w:rFonts w:ascii="Arial" w:hAnsi="Arial" w:cs="Arial"/>
          <w:sz w:val="24"/>
          <w:szCs w:val="24"/>
        </w:rPr>
        <w:t xml:space="preserve">ible </w:t>
      </w:r>
      <w:r w:rsidRPr="005847A9">
        <w:rPr>
          <w:rFonts w:ascii="Arial" w:hAnsi="Arial" w:cs="Arial"/>
          <w:sz w:val="24"/>
          <w:szCs w:val="24"/>
        </w:rPr>
        <w:t>as measures t</w:t>
      </w:r>
      <w:r w:rsidR="0000617C" w:rsidRPr="005847A9">
        <w:rPr>
          <w:rFonts w:ascii="Arial" w:hAnsi="Arial" w:cs="Arial"/>
          <w:sz w:val="24"/>
          <w:szCs w:val="24"/>
        </w:rPr>
        <w:t>ook</w:t>
      </w:r>
      <w:r w:rsidRPr="005847A9">
        <w:rPr>
          <w:rFonts w:ascii="Arial" w:hAnsi="Arial" w:cs="Arial"/>
          <w:sz w:val="24"/>
          <w:szCs w:val="24"/>
        </w:rPr>
        <w:t xml:space="preserve"> considerably longer t</w:t>
      </w:r>
      <w:r w:rsidR="00F26F43" w:rsidRPr="005847A9">
        <w:rPr>
          <w:rFonts w:ascii="Arial" w:hAnsi="Arial" w:cs="Arial"/>
          <w:sz w:val="24"/>
          <w:szCs w:val="24"/>
        </w:rPr>
        <w:t xml:space="preserve">o complete when translation </w:t>
      </w:r>
      <w:r w:rsidR="0000617C" w:rsidRPr="005847A9">
        <w:rPr>
          <w:rFonts w:ascii="Arial" w:hAnsi="Arial" w:cs="Arial"/>
          <w:sz w:val="24"/>
          <w:szCs w:val="24"/>
        </w:rPr>
        <w:t>was</w:t>
      </w:r>
      <w:r w:rsidR="00F26F43" w:rsidRPr="005847A9">
        <w:rPr>
          <w:rFonts w:ascii="Arial" w:hAnsi="Arial" w:cs="Arial"/>
          <w:sz w:val="24"/>
          <w:szCs w:val="24"/>
        </w:rPr>
        <w:t xml:space="preserve"> required</w:t>
      </w:r>
      <w:r w:rsidRPr="005847A9">
        <w:rPr>
          <w:rFonts w:ascii="Arial" w:hAnsi="Arial" w:cs="Arial"/>
          <w:sz w:val="24"/>
          <w:szCs w:val="24"/>
        </w:rPr>
        <w:t xml:space="preserve">. </w:t>
      </w:r>
    </w:p>
    <w:p w14:paraId="241BADF7" w14:textId="0BEA29F5" w:rsidR="00DB2A80" w:rsidRPr="005847A9" w:rsidRDefault="004934CC" w:rsidP="005847A9">
      <w:pPr>
        <w:spacing w:line="360" w:lineRule="auto"/>
        <w:ind w:firstLine="720"/>
        <w:rPr>
          <w:rFonts w:ascii="Arial" w:hAnsi="Arial" w:cs="Arial"/>
          <w:sz w:val="24"/>
          <w:szCs w:val="24"/>
        </w:rPr>
      </w:pPr>
      <w:r w:rsidRPr="005847A9">
        <w:rPr>
          <w:rFonts w:ascii="Arial" w:hAnsi="Arial" w:cs="Arial"/>
          <w:sz w:val="24"/>
          <w:szCs w:val="24"/>
        </w:rPr>
        <w:t xml:space="preserve">PHQ-9 – </w:t>
      </w:r>
      <w:r w:rsidR="00131090" w:rsidRPr="005847A9">
        <w:rPr>
          <w:rFonts w:ascii="Arial" w:hAnsi="Arial" w:cs="Arial"/>
          <w:sz w:val="24"/>
          <w:szCs w:val="24"/>
        </w:rPr>
        <w:t xml:space="preserve">The Patient Health Questionnaire (PHQ-9) is a </w:t>
      </w:r>
      <w:r w:rsidR="00176958" w:rsidRPr="005847A9">
        <w:rPr>
          <w:rFonts w:ascii="Arial" w:hAnsi="Arial" w:cs="Arial"/>
          <w:sz w:val="24"/>
          <w:szCs w:val="24"/>
        </w:rPr>
        <w:t>nine-item</w:t>
      </w:r>
      <w:r w:rsidR="00131090" w:rsidRPr="005847A9">
        <w:rPr>
          <w:rFonts w:ascii="Arial" w:hAnsi="Arial" w:cs="Arial"/>
          <w:sz w:val="24"/>
          <w:szCs w:val="24"/>
        </w:rPr>
        <w:t xml:space="preserve"> </w:t>
      </w:r>
      <w:r w:rsidR="00176958" w:rsidRPr="005847A9">
        <w:rPr>
          <w:rFonts w:ascii="Arial" w:hAnsi="Arial" w:cs="Arial"/>
          <w:sz w:val="24"/>
          <w:szCs w:val="24"/>
        </w:rPr>
        <w:t>questionnaire</w:t>
      </w:r>
      <w:r w:rsidR="00131090" w:rsidRPr="005847A9">
        <w:rPr>
          <w:rFonts w:ascii="Arial" w:hAnsi="Arial" w:cs="Arial"/>
          <w:sz w:val="24"/>
          <w:szCs w:val="24"/>
        </w:rPr>
        <w:t xml:space="preserve"> for depression</w:t>
      </w:r>
      <w:r w:rsidR="00446661" w:rsidRPr="005847A9">
        <w:rPr>
          <w:rFonts w:ascii="Arial" w:hAnsi="Arial" w:cs="Arial"/>
          <w:sz w:val="24"/>
          <w:szCs w:val="24"/>
        </w:rPr>
        <w:t xml:space="preserve"> </w:t>
      </w:r>
      <w:r w:rsidR="00174328" w:rsidRPr="005847A9">
        <w:rPr>
          <w:rFonts w:ascii="Arial" w:hAnsi="Arial" w:cs="Arial"/>
          <w:sz w:val="24"/>
          <w:szCs w:val="24"/>
        </w:rPr>
        <w:t>recommend</w:t>
      </w:r>
      <w:r w:rsidR="00622972" w:rsidRPr="005847A9">
        <w:rPr>
          <w:rFonts w:ascii="Arial" w:hAnsi="Arial" w:cs="Arial"/>
          <w:sz w:val="24"/>
          <w:szCs w:val="24"/>
        </w:rPr>
        <w:t>ed</w:t>
      </w:r>
      <w:r w:rsidR="00174328" w:rsidRPr="005847A9">
        <w:rPr>
          <w:rFonts w:ascii="Arial" w:hAnsi="Arial" w:cs="Arial"/>
          <w:sz w:val="24"/>
          <w:szCs w:val="24"/>
        </w:rPr>
        <w:t xml:space="preserve"> by the DSM-5 (APA, 2013) and NICE</w:t>
      </w:r>
      <w:r w:rsidR="00D825EA" w:rsidRPr="005847A9">
        <w:rPr>
          <w:rFonts w:ascii="Arial" w:hAnsi="Arial" w:cs="Arial"/>
          <w:sz w:val="24"/>
          <w:szCs w:val="24"/>
        </w:rPr>
        <w:t xml:space="preserve"> guideline</w:t>
      </w:r>
      <w:r w:rsidR="00174328" w:rsidRPr="005847A9">
        <w:rPr>
          <w:rFonts w:ascii="Arial" w:hAnsi="Arial" w:cs="Arial"/>
          <w:sz w:val="24"/>
          <w:szCs w:val="24"/>
        </w:rPr>
        <w:t xml:space="preserve"> </w:t>
      </w:r>
      <w:r w:rsidR="002040EC" w:rsidRPr="005847A9">
        <w:rPr>
          <w:rFonts w:ascii="Arial" w:hAnsi="Arial" w:cs="Arial"/>
          <w:sz w:val="24"/>
          <w:szCs w:val="24"/>
        </w:rPr>
        <w:t xml:space="preserve">(QS8) </w:t>
      </w:r>
      <w:r w:rsidR="00174328" w:rsidRPr="005847A9">
        <w:rPr>
          <w:rFonts w:ascii="Arial" w:hAnsi="Arial" w:cs="Arial"/>
          <w:sz w:val="24"/>
          <w:szCs w:val="24"/>
        </w:rPr>
        <w:t>(</w:t>
      </w:r>
      <w:r w:rsidR="00D825EA" w:rsidRPr="005847A9">
        <w:rPr>
          <w:rFonts w:ascii="Arial" w:hAnsi="Arial" w:cs="Arial"/>
          <w:sz w:val="24"/>
          <w:szCs w:val="24"/>
        </w:rPr>
        <w:t xml:space="preserve">NICE, </w:t>
      </w:r>
      <w:r w:rsidR="00174328" w:rsidRPr="005847A9">
        <w:rPr>
          <w:rFonts w:ascii="Arial" w:hAnsi="Arial" w:cs="Arial"/>
          <w:sz w:val="24"/>
          <w:szCs w:val="24"/>
        </w:rPr>
        <w:t>2011)</w:t>
      </w:r>
      <w:r w:rsidR="00446661" w:rsidRPr="005847A9">
        <w:rPr>
          <w:rFonts w:ascii="Arial" w:hAnsi="Arial" w:cs="Arial"/>
          <w:sz w:val="24"/>
          <w:szCs w:val="24"/>
        </w:rPr>
        <w:t xml:space="preserve">, </w:t>
      </w:r>
      <w:r w:rsidR="00EF077A" w:rsidRPr="005847A9">
        <w:rPr>
          <w:rFonts w:ascii="Arial" w:hAnsi="Arial" w:cs="Arial"/>
          <w:sz w:val="24"/>
          <w:szCs w:val="24"/>
        </w:rPr>
        <w:t xml:space="preserve">with </w:t>
      </w:r>
      <w:r w:rsidR="002B1A58" w:rsidRPr="005847A9">
        <w:rPr>
          <w:rFonts w:ascii="Arial" w:hAnsi="Arial" w:cs="Arial"/>
          <w:sz w:val="24"/>
          <w:szCs w:val="24"/>
        </w:rPr>
        <w:t xml:space="preserve">possible responses ranging </w:t>
      </w:r>
      <w:r w:rsidR="00446661" w:rsidRPr="005847A9">
        <w:rPr>
          <w:rFonts w:ascii="Arial" w:hAnsi="Arial" w:cs="Arial"/>
          <w:sz w:val="24"/>
          <w:szCs w:val="24"/>
        </w:rPr>
        <w:t xml:space="preserve"> </w:t>
      </w:r>
      <w:r w:rsidR="00EF077A" w:rsidRPr="005847A9">
        <w:rPr>
          <w:rFonts w:ascii="Arial" w:hAnsi="Arial" w:cs="Arial"/>
          <w:sz w:val="24"/>
          <w:szCs w:val="24"/>
        </w:rPr>
        <w:t>from</w:t>
      </w:r>
      <w:r w:rsidR="00446661" w:rsidRPr="005847A9">
        <w:rPr>
          <w:rFonts w:ascii="Arial" w:hAnsi="Arial" w:cs="Arial"/>
          <w:sz w:val="24"/>
          <w:szCs w:val="24"/>
        </w:rPr>
        <w:t xml:space="preserve">  “0” (not at all) to “3” (nearly every day). For example, ‘</w:t>
      </w:r>
      <w:r w:rsidR="00EF077A" w:rsidRPr="005847A9">
        <w:rPr>
          <w:rFonts w:ascii="Arial" w:hAnsi="Arial" w:cs="Arial"/>
          <w:sz w:val="24"/>
          <w:szCs w:val="24"/>
        </w:rPr>
        <w:t xml:space="preserve">little interest or pleasure in doing things’ and ‘feeling down, depressed or hopeless’. </w:t>
      </w:r>
      <w:r w:rsidR="00446661" w:rsidRPr="005847A9">
        <w:rPr>
          <w:rFonts w:ascii="Arial" w:hAnsi="Arial" w:cs="Arial"/>
          <w:sz w:val="24"/>
          <w:szCs w:val="24"/>
        </w:rPr>
        <w:t xml:space="preserve">Total scores </w:t>
      </w:r>
      <w:r w:rsidR="00131090" w:rsidRPr="005847A9">
        <w:rPr>
          <w:rFonts w:ascii="Arial" w:hAnsi="Arial" w:cs="Arial"/>
          <w:sz w:val="24"/>
          <w:szCs w:val="24"/>
        </w:rPr>
        <w:t>rang</w:t>
      </w:r>
      <w:r w:rsidR="001F4DDB" w:rsidRPr="005847A9">
        <w:rPr>
          <w:rFonts w:ascii="Arial" w:hAnsi="Arial" w:cs="Arial"/>
          <w:sz w:val="24"/>
          <w:szCs w:val="24"/>
        </w:rPr>
        <w:t>e</w:t>
      </w:r>
      <w:r w:rsidR="00131090" w:rsidRPr="005847A9">
        <w:rPr>
          <w:rFonts w:ascii="Arial" w:hAnsi="Arial" w:cs="Arial"/>
          <w:sz w:val="24"/>
          <w:szCs w:val="24"/>
        </w:rPr>
        <w:t xml:space="preserve"> from 0 – 27</w:t>
      </w:r>
      <w:r w:rsidR="00AB1654" w:rsidRPr="005847A9">
        <w:rPr>
          <w:rFonts w:ascii="Arial" w:hAnsi="Arial" w:cs="Arial"/>
          <w:sz w:val="24"/>
          <w:szCs w:val="24"/>
        </w:rPr>
        <w:t xml:space="preserve">, </w:t>
      </w:r>
      <w:r w:rsidR="001F4DDB" w:rsidRPr="005847A9">
        <w:rPr>
          <w:rFonts w:ascii="Arial" w:hAnsi="Arial" w:cs="Arial"/>
          <w:sz w:val="24"/>
          <w:szCs w:val="24"/>
        </w:rPr>
        <w:t>with 10 the clinical threshold in IAPT services</w:t>
      </w:r>
      <w:r w:rsidR="001E2E20" w:rsidRPr="005847A9">
        <w:rPr>
          <w:rFonts w:ascii="Arial" w:hAnsi="Arial" w:cs="Arial"/>
          <w:sz w:val="24"/>
          <w:szCs w:val="24"/>
        </w:rPr>
        <w:t xml:space="preserve">. Cut-off points for mild, moderate, moderately severe and severe depression symptoms are 5, 10, 15 and 20 respectively. </w:t>
      </w:r>
    </w:p>
    <w:p w14:paraId="7FF0CC3A" w14:textId="2286A386" w:rsidR="00DB2A80" w:rsidRPr="005847A9" w:rsidRDefault="004934CC" w:rsidP="005847A9">
      <w:pPr>
        <w:spacing w:line="360" w:lineRule="auto"/>
        <w:ind w:firstLine="720"/>
        <w:rPr>
          <w:rFonts w:ascii="Arial" w:hAnsi="Arial" w:cs="Arial"/>
          <w:sz w:val="24"/>
          <w:szCs w:val="24"/>
        </w:rPr>
      </w:pPr>
      <w:r w:rsidRPr="005847A9">
        <w:rPr>
          <w:rFonts w:ascii="Arial" w:hAnsi="Arial" w:cs="Arial"/>
          <w:sz w:val="24"/>
          <w:szCs w:val="24"/>
        </w:rPr>
        <w:t xml:space="preserve">GAD-7 - </w:t>
      </w:r>
      <w:r w:rsidR="00131090" w:rsidRPr="005847A9">
        <w:rPr>
          <w:rFonts w:ascii="Arial" w:hAnsi="Arial" w:cs="Arial"/>
          <w:sz w:val="24"/>
          <w:szCs w:val="24"/>
        </w:rPr>
        <w:t xml:space="preserve">The Generalised Anxiety Disorder Assessment (GAD-7) is a </w:t>
      </w:r>
      <w:r w:rsidR="00176958" w:rsidRPr="005847A9">
        <w:rPr>
          <w:rFonts w:ascii="Arial" w:hAnsi="Arial" w:cs="Arial"/>
          <w:sz w:val="24"/>
          <w:szCs w:val="24"/>
        </w:rPr>
        <w:t>seven-item</w:t>
      </w:r>
      <w:r w:rsidR="00131090" w:rsidRPr="005847A9">
        <w:rPr>
          <w:rFonts w:ascii="Arial" w:hAnsi="Arial" w:cs="Arial"/>
          <w:sz w:val="24"/>
          <w:szCs w:val="24"/>
        </w:rPr>
        <w:t xml:space="preserve"> </w:t>
      </w:r>
      <w:r w:rsidR="00176958" w:rsidRPr="005847A9">
        <w:rPr>
          <w:rFonts w:ascii="Arial" w:hAnsi="Arial" w:cs="Arial"/>
          <w:sz w:val="24"/>
          <w:szCs w:val="24"/>
        </w:rPr>
        <w:t>questionnaire measuring</w:t>
      </w:r>
      <w:r w:rsidR="00131090" w:rsidRPr="005847A9">
        <w:rPr>
          <w:rFonts w:ascii="Arial" w:hAnsi="Arial" w:cs="Arial"/>
          <w:sz w:val="24"/>
          <w:szCs w:val="24"/>
        </w:rPr>
        <w:t xml:space="preserve"> generalised anxiety</w:t>
      </w:r>
      <w:r w:rsidR="00174328" w:rsidRPr="005847A9">
        <w:rPr>
          <w:rFonts w:ascii="Arial" w:hAnsi="Arial" w:cs="Arial"/>
          <w:sz w:val="24"/>
          <w:szCs w:val="24"/>
        </w:rPr>
        <w:t xml:space="preserve"> recommend</w:t>
      </w:r>
      <w:r w:rsidR="00622972" w:rsidRPr="005847A9">
        <w:rPr>
          <w:rFonts w:ascii="Arial" w:hAnsi="Arial" w:cs="Arial"/>
          <w:sz w:val="24"/>
          <w:szCs w:val="24"/>
        </w:rPr>
        <w:t>ed</w:t>
      </w:r>
      <w:r w:rsidR="00174328" w:rsidRPr="005847A9">
        <w:rPr>
          <w:rFonts w:ascii="Arial" w:hAnsi="Arial" w:cs="Arial"/>
          <w:sz w:val="24"/>
          <w:szCs w:val="24"/>
        </w:rPr>
        <w:t xml:space="preserve"> by the DSM-5 (APA, 2013) and </w:t>
      </w:r>
      <w:r w:rsidR="002040EC" w:rsidRPr="005847A9">
        <w:rPr>
          <w:rFonts w:ascii="Arial" w:hAnsi="Arial" w:cs="Arial"/>
          <w:sz w:val="24"/>
          <w:szCs w:val="24"/>
        </w:rPr>
        <w:t>NICE guideline (CG113) (NICE, 2011)</w:t>
      </w:r>
      <w:r w:rsidR="00EF077A" w:rsidRPr="005847A9">
        <w:rPr>
          <w:rFonts w:ascii="Arial" w:hAnsi="Arial" w:cs="Arial"/>
          <w:sz w:val="24"/>
          <w:szCs w:val="24"/>
        </w:rPr>
        <w:t xml:space="preserve">with </w:t>
      </w:r>
      <w:r w:rsidR="002B1A58" w:rsidRPr="005847A9">
        <w:rPr>
          <w:rFonts w:ascii="Arial" w:hAnsi="Arial" w:cs="Arial"/>
          <w:sz w:val="24"/>
          <w:szCs w:val="24"/>
        </w:rPr>
        <w:t>possible responses ranging</w:t>
      </w:r>
      <w:r w:rsidR="00EF077A" w:rsidRPr="005847A9">
        <w:rPr>
          <w:rFonts w:ascii="Arial" w:hAnsi="Arial" w:cs="Arial"/>
          <w:sz w:val="24"/>
          <w:szCs w:val="24"/>
        </w:rPr>
        <w:t xml:space="preserve"> from “0” (not at all) to “3” (nearly every day). For example, ‘feeling nervous, anxious, or on edge’ and ‘not being able to stop or control worrying’. Total sc</w:t>
      </w:r>
      <w:r w:rsidR="00976D1E" w:rsidRPr="005847A9">
        <w:rPr>
          <w:rFonts w:ascii="Arial" w:hAnsi="Arial" w:cs="Arial"/>
          <w:sz w:val="24"/>
          <w:szCs w:val="24"/>
        </w:rPr>
        <w:t xml:space="preserve">ores range from 0 – 21, with 8 </w:t>
      </w:r>
      <w:r w:rsidR="00EF077A" w:rsidRPr="005847A9">
        <w:rPr>
          <w:rFonts w:ascii="Arial" w:hAnsi="Arial" w:cs="Arial"/>
          <w:sz w:val="24"/>
          <w:szCs w:val="24"/>
        </w:rPr>
        <w:t>the clinical threshold in IAPT services</w:t>
      </w:r>
      <w:r w:rsidR="001E2E20" w:rsidRPr="005847A9">
        <w:rPr>
          <w:rFonts w:ascii="Arial" w:hAnsi="Arial" w:cs="Arial"/>
          <w:sz w:val="24"/>
          <w:szCs w:val="24"/>
        </w:rPr>
        <w:t xml:space="preserve">. Cut-off points for mild, moderate and severe anxiety symptoms are 5, 10 and 15 respectively. </w:t>
      </w:r>
    </w:p>
    <w:p w14:paraId="6E8D7548" w14:textId="751CB7A7" w:rsidR="00DB2A80" w:rsidRPr="005847A9" w:rsidRDefault="004934CC" w:rsidP="005847A9">
      <w:pPr>
        <w:spacing w:line="360" w:lineRule="auto"/>
        <w:ind w:firstLine="720"/>
        <w:rPr>
          <w:rFonts w:ascii="Arial" w:hAnsi="Arial" w:cs="Arial"/>
          <w:sz w:val="24"/>
          <w:szCs w:val="24"/>
        </w:rPr>
      </w:pPr>
      <w:r w:rsidRPr="005847A9">
        <w:rPr>
          <w:rFonts w:ascii="Arial" w:hAnsi="Arial" w:cs="Arial"/>
          <w:sz w:val="24"/>
          <w:szCs w:val="24"/>
        </w:rPr>
        <w:t xml:space="preserve">Impact of Events Scale </w:t>
      </w:r>
      <w:r w:rsidR="00AB1654" w:rsidRPr="005847A9">
        <w:rPr>
          <w:rFonts w:ascii="Arial" w:hAnsi="Arial" w:cs="Arial"/>
          <w:sz w:val="24"/>
          <w:szCs w:val="24"/>
        </w:rPr>
        <w:t>–</w:t>
      </w:r>
      <w:r w:rsidRPr="005847A9">
        <w:rPr>
          <w:rFonts w:ascii="Arial" w:hAnsi="Arial" w:cs="Arial"/>
          <w:sz w:val="24"/>
          <w:szCs w:val="24"/>
        </w:rPr>
        <w:t xml:space="preserve"> </w:t>
      </w:r>
      <w:r w:rsidR="006B0924" w:rsidRPr="005847A9">
        <w:rPr>
          <w:rFonts w:ascii="Arial" w:hAnsi="Arial" w:cs="Arial"/>
          <w:sz w:val="24"/>
          <w:szCs w:val="24"/>
        </w:rPr>
        <w:t>T</w:t>
      </w:r>
      <w:r w:rsidR="00AB1654" w:rsidRPr="005847A9">
        <w:rPr>
          <w:rFonts w:ascii="Arial" w:hAnsi="Arial" w:cs="Arial"/>
          <w:sz w:val="24"/>
          <w:szCs w:val="24"/>
        </w:rPr>
        <w:t>he Revised Impact of Events Scale (IES-R)</w:t>
      </w:r>
      <w:r w:rsidR="006B0924" w:rsidRPr="005847A9">
        <w:rPr>
          <w:rFonts w:ascii="Arial" w:hAnsi="Arial" w:cs="Arial"/>
          <w:sz w:val="24"/>
          <w:szCs w:val="24"/>
        </w:rPr>
        <w:t xml:space="preserve"> </w:t>
      </w:r>
      <w:r w:rsidR="00D04943" w:rsidRPr="005847A9">
        <w:rPr>
          <w:rFonts w:ascii="Arial" w:hAnsi="Arial" w:cs="Arial"/>
          <w:sz w:val="24"/>
          <w:szCs w:val="24"/>
        </w:rPr>
        <w:t>ha</w:t>
      </w:r>
      <w:r w:rsidR="00AB1654" w:rsidRPr="005847A9">
        <w:rPr>
          <w:rFonts w:ascii="Arial" w:hAnsi="Arial" w:cs="Arial"/>
          <w:sz w:val="24"/>
          <w:szCs w:val="24"/>
        </w:rPr>
        <w:t>s</w:t>
      </w:r>
      <w:r w:rsidR="00D04943" w:rsidRPr="005847A9">
        <w:rPr>
          <w:rFonts w:ascii="Arial" w:hAnsi="Arial" w:cs="Arial"/>
          <w:sz w:val="24"/>
          <w:szCs w:val="24"/>
        </w:rPr>
        <w:t xml:space="preserve"> been</w:t>
      </w:r>
      <w:r w:rsidR="00AB1654" w:rsidRPr="005847A9">
        <w:rPr>
          <w:rFonts w:ascii="Arial" w:hAnsi="Arial" w:cs="Arial"/>
          <w:sz w:val="24"/>
          <w:szCs w:val="24"/>
        </w:rPr>
        <w:t xml:space="preserve"> commonly used to </w:t>
      </w:r>
      <w:r w:rsidR="00176958" w:rsidRPr="005847A9">
        <w:rPr>
          <w:rFonts w:ascii="Arial" w:hAnsi="Arial" w:cs="Arial"/>
          <w:sz w:val="24"/>
          <w:szCs w:val="24"/>
        </w:rPr>
        <w:t>assess</w:t>
      </w:r>
      <w:r w:rsidR="00AB1654" w:rsidRPr="005847A9">
        <w:rPr>
          <w:rFonts w:ascii="Arial" w:hAnsi="Arial" w:cs="Arial"/>
          <w:sz w:val="24"/>
          <w:szCs w:val="24"/>
        </w:rPr>
        <w:t xml:space="preserve"> for PTSD</w:t>
      </w:r>
      <w:r w:rsidR="00174328" w:rsidRPr="005847A9">
        <w:rPr>
          <w:rFonts w:ascii="Arial" w:hAnsi="Arial" w:cs="Arial"/>
          <w:sz w:val="24"/>
          <w:szCs w:val="24"/>
        </w:rPr>
        <w:t>, validated in different c</w:t>
      </w:r>
      <w:r w:rsidR="00117751" w:rsidRPr="005847A9">
        <w:rPr>
          <w:rFonts w:ascii="Arial" w:hAnsi="Arial" w:cs="Arial"/>
          <w:sz w:val="24"/>
          <w:szCs w:val="24"/>
        </w:rPr>
        <w:t>ommunities</w:t>
      </w:r>
      <w:r w:rsidR="00174328" w:rsidRPr="005847A9">
        <w:rPr>
          <w:rFonts w:ascii="Arial" w:hAnsi="Arial" w:cs="Arial"/>
          <w:sz w:val="24"/>
          <w:szCs w:val="24"/>
        </w:rPr>
        <w:t xml:space="preserve"> and translated in various languages among refugee populations (Davey et al., 2015; Matheson et al., 2008; Morina et al., 2013; Sohn et al., 2019)</w:t>
      </w:r>
      <w:r w:rsidR="00AB1654" w:rsidRPr="005847A9">
        <w:rPr>
          <w:rFonts w:ascii="Arial" w:hAnsi="Arial" w:cs="Arial"/>
          <w:sz w:val="24"/>
          <w:szCs w:val="24"/>
        </w:rPr>
        <w:t xml:space="preserve">. </w:t>
      </w:r>
      <w:r w:rsidR="00F37D7B" w:rsidRPr="005847A9">
        <w:rPr>
          <w:rFonts w:ascii="Arial" w:hAnsi="Arial" w:cs="Arial"/>
          <w:sz w:val="24"/>
          <w:szCs w:val="24"/>
        </w:rPr>
        <w:t>T</w:t>
      </w:r>
      <w:r w:rsidR="00AB1654" w:rsidRPr="005847A9">
        <w:rPr>
          <w:rFonts w:ascii="Arial" w:hAnsi="Arial" w:cs="Arial"/>
          <w:sz w:val="24"/>
          <w:szCs w:val="24"/>
        </w:rPr>
        <w:t xml:space="preserve">he 22-item scale has subscales for avoidance, intrusion and hyper-arousal. </w:t>
      </w:r>
      <w:r w:rsidR="002B1A58" w:rsidRPr="005847A9">
        <w:rPr>
          <w:rFonts w:ascii="Arial" w:hAnsi="Arial" w:cs="Arial"/>
          <w:sz w:val="24"/>
          <w:szCs w:val="24"/>
        </w:rPr>
        <w:t>Possible responses range</w:t>
      </w:r>
      <w:r w:rsidR="001E2E20" w:rsidRPr="005847A9">
        <w:rPr>
          <w:rFonts w:ascii="Arial" w:hAnsi="Arial" w:cs="Arial"/>
          <w:sz w:val="24"/>
          <w:szCs w:val="24"/>
        </w:rPr>
        <w:t xml:space="preserve"> from “0” (not at all) to “4” (extremely). </w:t>
      </w:r>
      <w:r w:rsidR="00D22F4A" w:rsidRPr="005847A9">
        <w:rPr>
          <w:rFonts w:ascii="Arial" w:hAnsi="Arial" w:cs="Arial"/>
          <w:sz w:val="24"/>
          <w:szCs w:val="24"/>
        </w:rPr>
        <w:t>For example, ‘</w:t>
      </w:r>
      <w:r w:rsidR="00837080" w:rsidRPr="005847A9">
        <w:rPr>
          <w:rFonts w:ascii="Arial" w:hAnsi="Arial" w:cs="Arial"/>
          <w:sz w:val="24"/>
          <w:szCs w:val="24"/>
        </w:rPr>
        <w:t>a</w:t>
      </w:r>
      <w:r w:rsidR="00D22F4A" w:rsidRPr="005847A9">
        <w:rPr>
          <w:rFonts w:ascii="Arial" w:hAnsi="Arial" w:cs="Arial"/>
          <w:sz w:val="24"/>
          <w:szCs w:val="24"/>
        </w:rPr>
        <w:t xml:space="preserve">ny reminder brought back feelings about it’ and ‘pictures about it popped into my mind’. </w:t>
      </w:r>
      <w:r w:rsidR="001E2E20" w:rsidRPr="005847A9">
        <w:rPr>
          <w:rFonts w:ascii="Arial" w:hAnsi="Arial" w:cs="Arial"/>
          <w:sz w:val="24"/>
          <w:szCs w:val="24"/>
        </w:rPr>
        <w:t>Total scores</w:t>
      </w:r>
      <w:r w:rsidR="00AB1654" w:rsidRPr="005847A9">
        <w:rPr>
          <w:rFonts w:ascii="Arial" w:hAnsi="Arial" w:cs="Arial"/>
          <w:sz w:val="24"/>
          <w:szCs w:val="24"/>
        </w:rPr>
        <w:t xml:space="preserve"> range from 0-88 with 33 representing the cut</w:t>
      </w:r>
      <w:r w:rsidR="00176958" w:rsidRPr="005847A9">
        <w:rPr>
          <w:rFonts w:ascii="Arial" w:hAnsi="Arial" w:cs="Arial"/>
          <w:sz w:val="24"/>
          <w:szCs w:val="24"/>
        </w:rPr>
        <w:t>-</w:t>
      </w:r>
      <w:r w:rsidR="00AB1654" w:rsidRPr="005847A9">
        <w:rPr>
          <w:rFonts w:ascii="Arial" w:hAnsi="Arial" w:cs="Arial"/>
          <w:sz w:val="24"/>
          <w:szCs w:val="24"/>
        </w:rPr>
        <w:t xml:space="preserve">off for probable PTSD. </w:t>
      </w:r>
    </w:p>
    <w:p w14:paraId="7CB069C0" w14:textId="73D1A7B0" w:rsidR="00081349" w:rsidRPr="005847A9" w:rsidRDefault="007F10F5" w:rsidP="005847A9">
      <w:pPr>
        <w:widowControl w:val="0"/>
        <w:pBdr>
          <w:top w:val="nil"/>
          <w:left w:val="nil"/>
          <w:bottom w:val="nil"/>
          <w:right w:val="nil"/>
          <w:between w:val="nil"/>
          <w:bar w:val="nil"/>
        </w:pBdr>
        <w:suppressAutoHyphens/>
        <w:spacing w:after="0" w:line="360" w:lineRule="auto"/>
        <w:ind w:firstLine="360"/>
        <w:rPr>
          <w:rFonts w:ascii="Arial" w:hAnsi="Arial" w:cs="Arial"/>
          <w:sz w:val="24"/>
          <w:szCs w:val="24"/>
        </w:rPr>
      </w:pPr>
      <w:r w:rsidRPr="005847A9">
        <w:rPr>
          <w:rFonts w:ascii="Arial" w:hAnsi="Arial" w:cs="Arial"/>
          <w:sz w:val="24"/>
          <w:szCs w:val="24"/>
        </w:rPr>
        <w:t>Idiographic</w:t>
      </w:r>
      <w:r w:rsidR="004934CC" w:rsidRPr="005847A9">
        <w:rPr>
          <w:rFonts w:ascii="Arial" w:hAnsi="Arial" w:cs="Arial"/>
          <w:sz w:val="24"/>
          <w:szCs w:val="24"/>
        </w:rPr>
        <w:t xml:space="preserve"> </w:t>
      </w:r>
      <w:r w:rsidR="00D07D33" w:rsidRPr="005847A9">
        <w:rPr>
          <w:rFonts w:ascii="Arial" w:hAnsi="Arial" w:cs="Arial"/>
          <w:sz w:val="24"/>
          <w:szCs w:val="24"/>
        </w:rPr>
        <w:t>Scales</w:t>
      </w:r>
      <w:r w:rsidR="004934CC" w:rsidRPr="005847A9">
        <w:rPr>
          <w:rFonts w:ascii="Arial" w:hAnsi="Arial" w:cs="Arial"/>
          <w:sz w:val="24"/>
          <w:szCs w:val="24"/>
        </w:rPr>
        <w:t xml:space="preserve"> – </w:t>
      </w:r>
      <w:r w:rsidR="007D1514" w:rsidRPr="005847A9">
        <w:rPr>
          <w:rFonts w:ascii="Arial" w:hAnsi="Arial" w:cs="Arial"/>
          <w:sz w:val="24"/>
          <w:szCs w:val="24"/>
        </w:rPr>
        <w:t>Capturing change in a patient group whose complex life circumstances</w:t>
      </w:r>
      <w:r w:rsidR="002B1A58" w:rsidRPr="005847A9">
        <w:rPr>
          <w:rFonts w:ascii="Arial" w:hAnsi="Arial" w:cs="Arial"/>
          <w:sz w:val="24"/>
          <w:szCs w:val="24"/>
        </w:rPr>
        <w:t xml:space="preserve"> often</w:t>
      </w:r>
      <w:r w:rsidR="00543F31" w:rsidRPr="005847A9">
        <w:rPr>
          <w:rFonts w:ascii="Arial" w:hAnsi="Arial" w:cs="Arial"/>
          <w:sz w:val="24"/>
          <w:szCs w:val="24"/>
        </w:rPr>
        <w:t xml:space="preserve"> </w:t>
      </w:r>
      <w:r w:rsidR="00206034" w:rsidRPr="005847A9">
        <w:rPr>
          <w:rFonts w:ascii="Arial" w:hAnsi="Arial" w:cs="Arial"/>
          <w:sz w:val="24"/>
          <w:szCs w:val="24"/>
        </w:rPr>
        <w:t>remain</w:t>
      </w:r>
      <w:r w:rsidR="007D1514" w:rsidRPr="005847A9">
        <w:rPr>
          <w:rFonts w:ascii="Arial" w:hAnsi="Arial" w:cs="Arial"/>
          <w:sz w:val="24"/>
          <w:szCs w:val="24"/>
        </w:rPr>
        <w:t xml:space="preserve"> constant throughout treatment</w:t>
      </w:r>
      <w:r w:rsidR="00F26F43" w:rsidRPr="005847A9">
        <w:rPr>
          <w:rFonts w:ascii="Arial" w:hAnsi="Arial" w:cs="Arial"/>
          <w:sz w:val="24"/>
          <w:szCs w:val="24"/>
        </w:rPr>
        <w:t xml:space="preserve">, </w:t>
      </w:r>
      <w:r w:rsidR="00206034" w:rsidRPr="005847A9">
        <w:rPr>
          <w:rFonts w:ascii="Arial" w:hAnsi="Arial" w:cs="Arial"/>
          <w:sz w:val="24"/>
          <w:szCs w:val="24"/>
        </w:rPr>
        <w:t>present</w:t>
      </w:r>
      <w:r w:rsidR="00F26F43" w:rsidRPr="005847A9">
        <w:rPr>
          <w:rFonts w:ascii="Arial" w:hAnsi="Arial" w:cs="Arial"/>
          <w:sz w:val="24"/>
          <w:szCs w:val="24"/>
        </w:rPr>
        <w:t>s</w:t>
      </w:r>
      <w:r w:rsidR="007D1514" w:rsidRPr="005847A9">
        <w:rPr>
          <w:rFonts w:ascii="Arial" w:hAnsi="Arial" w:cs="Arial"/>
          <w:sz w:val="24"/>
          <w:szCs w:val="24"/>
        </w:rPr>
        <w:t xml:space="preserve"> a challenge</w:t>
      </w:r>
      <w:r w:rsidR="002B1A58" w:rsidRPr="005847A9">
        <w:rPr>
          <w:rFonts w:ascii="Arial" w:hAnsi="Arial" w:cs="Arial"/>
          <w:sz w:val="24"/>
          <w:szCs w:val="24"/>
        </w:rPr>
        <w:t>.</w:t>
      </w:r>
      <w:r w:rsidR="00206034" w:rsidRPr="005847A9">
        <w:rPr>
          <w:rFonts w:ascii="Arial" w:hAnsi="Arial" w:cs="Arial"/>
          <w:sz w:val="24"/>
          <w:szCs w:val="24"/>
        </w:rPr>
        <w:t xml:space="preserve"> </w:t>
      </w:r>
      <w:r w:rsidR="002B1A58" w:rsidRPr="005847A9">
        <w:rPr>
          <w:rFonts w:ascii="Arial" w:hAnsi="Arial" w:cs="Arial"/>
          <w:sz w:val="24"/>
          <w:szCs w:val="24"/>
        </w:rPr>
        <w:t>P</w:t>
      </w:r>
      <w:r w:rsidR="00206034" w:rsidRPr="005847A9">
        <w:rPr>
          <w:rFonts w:ascii="Arial" w:hAnsi="Arial" w:cs="Arial"/>
          <w:sz w:val="24"/>
          <w:szCs w:val="24"/>
        </w:rPr>
        <w:t>ositive</w:t>
      </w:r>
      <w:r w:rsidR="00F43D10" w:rsidRPr="005847A9">
        <w:rPr>
          <w:rFonts w:ascii="Arial" w:hAnsi="Arial" w:cs="Arial"/>
          <w:sz w:val="24"/>
          <w:szCs w:val="24"/>
        </w:rPr>
        <w:t xml:space="preserve"> psychological</w:t>
      </w:r>
      <w:r w:rsidR="00206034" w:rsidRPr="005847A9">
        <w:rPr>
          <w:rFonts w:ascii="Arial" w:hAnsi="Arial" w:cs="Arial"/>
          <w:sz w:val="24"/>
          <w:szCs w:val="24"/>
        </w:rPr>
        <w:t xml:space="preserve"> change</w:t>
      </w:r>
      <w:r w:rsidR="007321D9" w:rsidRPr="005847A9">
        <w:rPr>
          <w:rFonts w:ascii="Arial" w:hAnsi="Arial" w:cs="Arial"/>
          <w:sz w:val="24"/>
          <w:szCs w:val="24"/>
        </w:rPr>
        <w:t>,</w:t>
      </w:r>
      <w:r w:rsidR="00206034" w:rsidRPr="005847A9">
        <w:rPr>
          <w:rFonts w:ascii="Arial" w:hAnsi="Arial" w:cs="Arial"/>
          <w:sz w:val="24"/>
          <w:szCs w:val="24"/>
        </w:rPr>
        <w:t xml:space="preserve"> </w:t>
      </w:r>
      <w:r w:rsidR="007321D9" w:rsidRPr="005847A9">
        <w:rPr>
          <w:rFonts w:ascii="Arial" w:hAnsi="Arial" w:cs="Arial"/>
          <w:sz w:val="24"/>
          <w:szCs w:val="24"/>
        </w:rPr>
        <w:t>for example around building supportive</w:t>
      </w:r>
      <w:r w:rsidR="001C0C10" w:rsidRPr="005847A9">
        <w:rPr>
          <w:rFonts w:ascii="Arial" w:hAnsi="Arial" w:cs="Arial"/>
          <w:sz w:val="24"/>
          <w:szCs w:val="24"/>
        </w:rPr>
        <w:t xml:space="preserve"> relationships</w:t>
      </w:r>
      <w:r w:rsidR="002B1A58" w:rsidRPr="005847A9">
        <w:rPr>
          <w:rFonts w:ascii="Arial" w:hAnsi="Arial" w:cs="Arial"/>
          <w:sz w:val="24"/>
          <w:szCs w:val="24"/>
        </w:rPr>
        <w:t xml:space="preserve"> </w:t>
      </w:r>
      <w:r w:rsidR="00206034" w:rsidRPr="005847A9">
        <w:rPr>
          <w:rFonts w:ascii="Arial" w:hAnsi="Arial" w:cs="Arial"/>
          <w:sz w:val="24"/>
          <w:szCs w:val="24"/>
        </w:rPr>
        <w:t>can be obscured</w:t>
      </w:r>
      <w:r w:rsidR="001C0C10" w:rsidRPr="005847A9">
        <w:rPr>
          <w:rFonts w:ascii="Arial" w:hAnsi="Arial" w:cs="Arial"/>
          <w:sz w:val="24"/>
          <w:szCs w:val="24"/>
        </w:rPr>
        <w:t xml:space="preserve"> by responses which assume respondents have langu</w:t>
      </w:r>
      <w:r w:rsidR="007321D9" w:rsidRPr="005847A9">
        <w:rPr>
          <w:rFonts w:ascii="Arial" w:hAnsi="Arial" w:cs="Arial"/>
          <w:sz w:val="24"/>
          <w:szCs w:val="24"/>
        </w:rPr>
        <w:t xml:space="preserve">age, </w:t>
      </w:r>
      <w:r w:rsidR="00D04943" w:rsidRPr="005847A9">
        <w:rPr>
          <w:rFonts w:ascii="Arial" w:hAnsi="Arial" w:cs="Arial"/>
          <w:sz w:val="24"/>
          <w:szCs w:val="24"/>
        </w:rPr>
        <w:t xml:space="preserve">or </w:t>
      </w:r>
      <w:r w:rsidR="007321D9" w:rsidRPr="005847A9">
        <w:rPr>
          <w:rFonts w:ascii="Arial" w:hAnsi="Arial" w:cs="Arial"/>
          <w:sz w:val="24"/>
          <w:szCs w:val="24"/>
        </w:rPr>
        <w:t>opportunity and access to a social network</w:t>
      </w:r>
      <w:r w:rsidR="001C0C10" w:rsidRPr="005847A9">
        <w:rPr>
          <w:rFonts w:ascii="Arial" w:hAnsi="Arial" w:cs="Arial"/>
          <w:sz w:val="24"/>
          <w:szCs w:val="24"/>
        </w:rPr>
        <w:t xml:space="preserve">. Similarly, questions around anxiety, arguably underestimate the profound lack of safety concomitant with the ongoing </w:t>
      </w:r>
      <w:r w:rsidR="007321D9" w:rsidRPr="005847A9">
        <w:rPr>
          <w:rFonts w:ascii="Arial" w:hAnsi="Arial" w:cs="Arial"/>
          <w:sz w:val="24"/>
          <w:szCs w:val="24"/>
        </w:rPr>
        <w:t>fear of forced return</w:t>
      </w:r>
      <w:r w:rsidR="001C0C10" w:rsidRPr="005847A9">
        <w:rPr>
          <w:rFonts w:ascii="Arial" w:hAnsi="Arial" w:cs="Arial"/>
          <w:sz w:val="24"/>
          <w:szCs w:val="24"/>
        </w:rPr>
        <w:t xml:space="preserve"> </w:t>
      </w:r>
      <w:r w:rsidR="00DB2A5D" w:rsidRPr="005847A9">
        <w:rPr>
          <w:rFonts w:ascii="Arial" w:hAnsi="Arial" w:cs="Arial"/>
          <w:sz w:val="24"/>
          <w:szCs w:val="24"/>
        </w:rPr>
        <w:t>to a home country</w:t>
      </w:r>
      <w:r w:rsidR="00B3315B" w:rsidRPr="005847A9">
        <w:rPr>
          <w:rFonts w:ascii="Arial" w:hAnsi="Arial" w:cs="Arial"/>
          <w:sz w:val="24"/>
          <w:szCs w:val="24"/>
        </w:rPr>
        <w:t xml:space="preserve"> -</w:t>
      </w:r>
      <w:r w:rsidR="007321D9" w:rsidRPr="005847A9">
        <w:rPr>
          <w:rFonts w:ascii="Arial" w:hAnsi="Arial" w:cs="Arial"/>
          <w:sz w:val="24"/>
          <w:szCs w:val="24"/>
        </w:rPr>
        <w:t xml:space="preserve"> a process which many patients leaves them in fear for their life</w:t>
      </w:r>
      <w:r w:rsidR="007D1514" w:rsidRPr="005847A9">
        <w:rPr>
          <w:rFonts w:ascii="Arial" w:hAnsi="Arial" w:cs="Arial"/>
          <w:sz w:val="24"/>
          <w:szCs w:val="24"/>
        </w:rPr>
        <w:t>.</w:t>
      </w:r>
      <w:r w:rsidR="00206034" w:rsidRPr="005847A9">
        <w:rPr>
          <w:rFonts w:ascii="Arial" w:hAnsi="Arial" w:cs="Arial"/>
          <w:sz w:val="24"/>
          <w:szCs w:val="24"/>
        </w:rPr>
        <w:t xml:space="preserve"> </w:t>
      </w:r>
      <w:r w:rsidR="007D1514" w:rsidRPr="005847A9">
        <w:rPr>
          <w:rFonts w:ascii="Arial" w:hAnsi="Arial" w:cs="Arial"/>
          <w:sz w:val="24"/>
          <w:szCs w:val="24"/>
        </w:rPr>
        <w:t xml:space="preserve"> </w:t>
      </w:r>
      <w:r w:rsidR="00DB2A5D" w:rsidRPr="005847A9">
        <w:rPr>
          <w:rFonts w:ascii="Arial" w:hAnsi="Arial" w:cs="Arial"/>
          <w:sz w:val="24"/>
          <w:szCs w:val="24"/>
        </w:rPr>
        <w:t xml:space="preserve">With this in mind, clinicians within this service piloted a qualitative snapshot of psychological functioning in key areas. </w:t>
      </w:r>
      <w:r w:rsidR="007D1514" w:rsidRPr="005847A9">
        <w:rPr>
          <w:rFonts w:ascii="Arial" w:hAnsi="Arial" w:cs="Arial"/>
          <w:sz w:val="24"/>
          <w:szCs w:val="24"/>
        </w:rPr>
        <w:t>I</w:t>
      </w:r>
      <w:r w:rsidR="00081349" w:rsidRPr="005847A9">
        <w:rPr>
          <w:rFonts w:ascii="Arial" w:hAnsi="Arial" w:cs="Arial"/>
          <w:sz w:val="24"/>
          <w:szCs w:val="24"/>
        </w:rPr>
        <w:t>n developing the MOAT course, clini</w:t>
      </w:r>
      <w:r w:rsidR="00F26F43" w:rsidRPr="005847A9">
        <w:rPr>
          <w:rFonts w:ascii="Arial" w:hAnsi="Arial" w:cs="Arial"/>
          <w:sz w:val="24"/>
          <w:szCs w:val="24"/>
        </w:rPr>
        <w:t>cians had delivered</w:t>
      </w:r>
      <w:r w:rsidR="00081349" w:rsidRPr="005847A9">
        <w:rPr>
          <w:rFonts w:ascii="Arial" w:hAnsi="Arial" w:cs="Arial"/>
          <w:sz w:val="24"/>
          <w:szCs w:val="24"/>
        </w:rPr>
        <w:t xml:space="preserve"> similar stabilisation </w:t>
      </w:r>
      <w:r w:rsidR="00AC08A1" w:rsidRPr="005847A9">
        <w:rPr>
          <w:rFonts w:ascii="Arial" w:hAnsi="Arial" w:cs="Arial"/>
          <w:sz w:val="24"/>
          <w:szCs w:val="24"/>
        </w:rPr>
        <w:t>groups and</w:t>
      </w:r>
      <w:r w:rsidR="00081349" w:rsidRPr="005847A9">
        <w:rPr>
          <w:rFonts w:ascii="Arial" w:hAnsi="Arial" w:cs="Arial"/>
          <w:sz w:val="24"/>
          <w:szCs w:val="24"/>
        </w:rPr>
        <w:t xml:space="preserve"> sought </w:t>
      </w:r>
      <w:r w:rsidR="00AC08A1" w:rsidRPr="005847A9">
        <w:rPr>
          <w:rFonts w:ascii="Arial" w:hAnsi="Arial" w:cs="Arial"/>
          <w:sz w:val="24"/>
          <w:szCs w:val="24"/>
        </w:rPr>
        <w:t xml:space="preserve">feedback </w:t>
      </w:r>
      <w:r w:rsidR="00081349" w:rsidRPr="005847A9">
        <w:rPr>
          <w:rFonts w:ascii="Arial" w:hAnsi="Arial" w:cs="Arial"/>
          <w:sz w:val="24"/>
          <w:szCs w:val="24"/>
        </w:rPr>
        <w:t xml:space="preserve">as to the benefits of </w:t>
      </w:r>
      <w:r w:rsidR="00AC08A1" w:rsidRPr="005847A9">
        <w:rPr>
          <w:rFonts w:ascii="Arial" w:hAnsi="Arial" w:cs="Arial"/>
          <w:sz w:val="24"/>
          <w:szCs w:val="24"/>
        </w:rPr>
        <w:t xml:space="preserve">this </w:t>
      </w:r>
      <w:r w:rsidR="00081349" w:rsidRPr="005847A9">
        <w:rPr>
          <w:rFonts w:ascii="Arial" w:hAnsi="Arial" w:cs="Arial"/>
          <w:sz w:val="24"/>
          <w:szCs w:val="24"/>
        </w:rPr>
        <w:t>treatment</w:t>
      </w:r>
      <w:r w:rsidR="00AC08A1" w:rsidRPr="005847A9">
        <w:rPr>
          <w:rFonts w:ascii="Arial" w:hAnsi="Arial" w:cs="Arial"/>
          <w:sz w:val="24"/>
          <w:szCs w:val="24"/>
        </w:rPr>
        <w:t xml:space="preserve"> approach. </w:t>
      </w:r>
      <w:r w:rsidR="00F26F43" w:rsidRPr="005847A9">
        <w:rPr>
          <w:rFonts w:ascii="Arial" w:hAnsi="Arial" w:cs="Arial"/>
          <w:sz w:val="24"/>
          <w:szCs w:val="24"/>
        </w:rPr>
        <w:t>Thematic analysis of r</w:t>
      </w:r>
      <w:r w:rsidR="00AC08A1" w:rsidRPr="005847A9">
        <w:rPr>
          <w:rFonts w:ascii="Arial" w:hAnsi="Arial" w:cs="Arial"/>
          <w:sz w:val="24"/>
          <w:szCs w:val="24"/>
        </w:rPr>
        <w:t>esponses to a focus group discussion</w:t>
      </w:r>
      <w:r w:rsidR="00F43D10" w:rsidRPr="005847A9">
        <w:rPr>
          <w:rFonts w:ascii="Arial" w:hAnsi="Arial" w:cs="Arial"/>
          <w:sz w:val="24"/>
          <w:szCs w:val="24"/>
        </w:rPr>
        <w:t xml:space="preserve"> with a group</w:t>
      </w:r>
      <w:r w:rsidR="00AC08A1" w:rsidRPr="005847A9">
        <w:rPr>
          <w:rFonts w:ascii="Arial" w:hAnsi="Arial" w:cs="Arial"/>
          <w:sz w:val="24"/>
          <w:szCs w:val="24"/>
        </w:rPr>
        <w:t xml:space="preserve"> who had completed the course suggested three</w:t>
      </w:r>
      <w:r w:rsidR="00CD4CD2" w:rsidRPr="005847A9">
        <w:rPr>
          <w:rFonts w:ascii="Arial" w:hAnsi="Arial" w:cs="Arial"/>
          <w:sz w:val="24"/>
          <w:szCs w:val="24"/>
        </w:rPr>
        <w:t xml:space="preserve"> areas</w:t>
      </w:r>
      <w:r w:rsidR="00AC08A1" w:rsidRPr="005847A9">
        <w:rPr>
          <w:rFonts w:ascii="Arial" w:hAnsi="Arial" w:cs="Arial"/>
          <w:sz w:val="24"/>
          <w:szCs w:val="24"/>
        </w:rPr>
        <w:t xml:space="preserve"> of impact</w:t>
      </w:r>
      <w:r w:rsidRPr="005847A9">
        <w:rPr>
          <w:rFonts w:ascii="Arial" w:hAnsi="Arial" w:cs="Arial"/>
          <w:sz w:val="24"/>
          <w:szCs w:val="24"/>
        </w:rPr>
        <w:t xml:space="preserve">.  </w:t>
      </w:r>
      <w:r w:rsidR="00F26F43" w:rsidRPr="005847A9">
        <w:rPr>
          <w:rFonts w:ascii="Arial" w:hAnsi="Arial" w:cs="Arial"/>
          <w:sz w:val="24"/>
          <w:szCs w:val="24"/>
        </w:rPr>
        <w:t>From this analysis a</w:t>
      </w:r>
      <w:r w:rsidRPr="005847A9">
        <w:rPr>
          <w:rFonts w:ascii="Arial" w:hAnsi="Arial" w:cs="Arial"/>
          <w:sz w:val="24"/>
          <w:szCs w:val="24"/>
        </w:rPr>
        <w:t xml:space="preserve"> three-part idiographic measure was</w:t>
      </w:r>
      <w:r w:rsidR="00F43D10" w:rsidRPr="005847A9">
        <w:rPr>
          <w:rFonts w:ascii="Arial" w:hAnsi="Arial" w:cs="Arial"/>
          <w:sz w:val="24"/>
          <w:szCs w:val="24"/>
        </w:rPr>
        <w:t xml:space="preserve"> deve</w:t>
      </w:r>
      <w:r w:rsidR="00543F31" w:rsidRPr="005847A9">
        <w:rPr>
          <w:rFonts w:ascii="Arial" w:hAnsi="Arial" w:cs="Arial"/>
          <w:sz w:val="24"/>
          <w:szCs w:val="24"/>
        </w:rPr>
        <w:t>loped which was administered three times</w:t>
      </w:r>
      <w:r w:rsidRPr="005847A9">
        <w:rPr>
          <w:rFonts w:ascii="Arial" w:hAnsi="Arial" w:cs="Arial"/>
          <w:sz w:val="24"/>
          <w:szCs w:val="24"/>
        </w:rPr>
        <w:t xml:space="preserve"> </w:t>
      </w:r>
      <w:r w:rsidR="00F43D10" w:rsidRPr="005847A9">
        <w:rPr>
          <w:rFonts w:ascii="Arial" w:hAnsi="Arial" w:cs="Arial"/>
          <w:sz w:val="24"/>
          <w:szCs w:val="24"/>
        </w:rPr>
        <w:t xml:space="preserve">pre-treatment </w:t>
      </w:r>
      <w:r w:rsidRPr="005847A9">
        <w:rPr>
          <w:rFonts w:ascii="Arial" w:hAnsi="Arial" w:cs="Arial"/>
          <w:sz w:val="24"/>
          <w:szCs w:val="24"/>
        </w:rPr>
        <w:t xml:space="preserve">and </w:t>
      </w:r>
      <w:r w:rsidR="004061F8" w:rsidRPr="005847A9">
        <w:rPr>
          <w:rFonts w:ascii="Arial" w:hAnsi="Arial" w:cs="Arial"/>
          <w:sz w:val="24"/>
          <w:szCs w:val="24"/>
        </w:rPr>
        <w:t xml:space="preserve">then </w:t>
      </w:r>
      <w:r w:rsidRPr="005847A9">
        <w:rPr>
          <w:rFonts w:ascii="Arial" w:hAnsi="Arial" w:cs="Arial"/>
          <w:sz w:val="24"/>
          <w:szCs w:val="24"/>
        </w:rPr>
        <w:t xml:space="preserve">completed weekly. </w:t>
      </w:r>
      <w:r w:rsidR="00F43D10" w:rsidRPr="005847A9">
        <w:rPr>
          <w:rFonts w:ascii="Arial" w:hAnsi="Arial" w:cs="Arial"/>
          <w:sz w:val="24"/>
          <w:szCs w:val="24"/>
        </w:rPr>
        <w:t xml:space="preserve"> </w:t>
      </w:r>
      <w:r w:rsidRPr="005847A9">
        <w:rPr>
          <w:rFonts w:ascii="Arial" w:hAnsi="Arial" w:cs="Arial"/>
          <w:sz w:val="24"/>
          <w:szCs w:val="24"/>
        </w:rPr>
        <w:t>Each area was scaled from 0-10 using the statements provided as a guide to the lowest and highest score</w:t>
      </w:r>
      <w:r w:rsidR="00D47606" w:rsidRPr="005847A9">
        <w:rPr>
          <w:rFonts w:ascii="Arial" w:hAnsi="Arial" w:cs="Arial"/>
          <w:sz w:val="24"/>
          <w:szCs w:val="24"/>
        </w:rPr>
        <w:t>.  Participa</w:t>
      </w:r>
      <w:r w:rsidR="004061F8" w:rsidRPr="005847A9">
        <w:rPr>
          <w:rFonts w:ascii="Arial" w:hAnsi="Arial" w:cs="Arial"/>
          <w:sz w:val="24"/>
          <w:szCs w:val="24"/>
        </w:rPr>
        <w:t>nt were offered a prompt for each statement</w:t>
      </w:r>
      <w:r w:rsidR="00D47606" w:rsidRPr="005847A9">
        <w:rPr>
          <w:rFonts w:ascii="Arial" w:hAnsi="Arial" w:cs="Arial"/>
          <w:sz w:val="24"/>
          <w:szCs w:val="24"/>
        </w:rPr>
        <w:t xml:space="preserve"> if required, for clarity</w:t>
      </w:r>
      <w:r w:rsidR="00E65EA1" w:rsidRPr="005847A9">
        <w:rPr>
          <w:rFonts w:ascii="Arial" w:hAnsi="Arial" w:cs="Arial"/>
          <w:sz w:val="24"/>
          <w:szCs w:val="24"/>
        </w:rPr>
        <w:t xml:space="preserve"> (examples below)</w:t>
      </w:r>
      <w:r w:rsidR="00411936" w:rsidRPr="005847A9">
        <w:rPr>
          <w:rFonts w:ascii="Arial" w:hAnsi="Arial" w:cs="Arial"/>
          <w:sz w:val="24"/>
          <w:szCs w:val="24"/>
        </w:rPr>
        <w:t>.</w:t>
      </w:r>
      <w:r w:rsidR="009C5686" w:rsidRPr="005847A9">
        <w:rPr>
          <w:rFonts w:ascii="Arial" w:hAnsi="Arial" w:cs="Arial"/>
          <w:sz w:val="24"/>
          <w:szCs w:val="24"/>
        </w:rPr>
        <w:t xml:space="preserve"> </w:t>
      </w:r>
      <w:bookmarkStart w:id="4" w:name="_Hlk52546748"/>
      <w:r w:rsidR="009C5686" w:rsidRPr="005847A9">
        <w:rPr>
          <w:rFonts w:ascii="Arial" w:hAnsi="Arial" w:cs="Arial"/>
          <w:sz w:val="24"/>
          <w:szCs w:val="24"/>
        </w:rPr>
        <w:t xml:space="preserve">The </w:t>
      </w:r>
      <w:r w:rsidR="00976D1E" w:rsidRPr="005847A9">
        <w:rPr>
          <w:rFonts w:ascii="Arial" w:hAnsi="Arial" w:cs="Arial"/>
          <w:sz w:val="24"/>
          <w:szCs w:val="24"/>
        </w:rPr>
        <w:t>‘</w:t>
      </w:r>
      <w:r w:rsidR="009C5686" w:rsidRPr="005847A9">
        <w:rPr>
          <w:rFonts w:ascii="Arial" w:hAnsi="Arial" w:cs="Arial"/>
          <w:sz w:val="24"/>
          <w:szCs w:val="24"/>
        </w:rPr>
        <w:t>connection</w:t>
      </w:r>
      <w:r w:rsidR="00976D1E" w:rsidRPr="005847A9">
        <w:rPr>
          <w:rFonts w:ascii="Arial" w:hAnsi="Arial" w:cs="Arial"/>
          <w:sz w:val="24"/>
          <w:szCs w:val="24"/>
        </w:rPr>
        <w:t>’</w:t>
      </w:r>
      <w:r w:rsidR="009C5686" w:rsidRPr="005847A9">
        <w:rPr>
          <w:rFonts w:ascii="Arial" w:hAnsi="Arial" w:cs="Arial"/>
          <w:sz w:val="24"/>
          <w:szCs w:val="24"/>
        </w:rPr>
        <w:t xml:space="preserve"> item was focused on close relationships, whereas the </w:t>
      </w:r>
      <w:r w:rsidR="00976D1E" w:rsidRPr="005847A9">
        <w:rPr>
          <w:rFonts w:ascii="Arial" w:hAnsi="Arial" w:cs="Arial"/>
          <w:sz w:val="24"/>
          <w:szCs w:val="24"/>
        </w:rPr>
        <w:t>‘</w:t>
      </w:r>
      <w:r w:rsidR="009C5686" w:rsidRPr="005847A9">
        <w:rPr>
          <w:rFonts w:ascii="Arial" w:hAnsi="Arial" w:cs="Arial"/>
          <w:sz w:val="24"/>
          <w:szCs w:val="24"/>
        </w:rPr>
        <w:t>integration</w:t>
      </w:r>
      <w:r w:rsidR="00976D1E" w:rsidRPr="005847A9">
        <w:rPr>
          <w:rFonts w:ascii="Arial" w:hAnsi="Arial" w:cs="Arial"/>
          <w:sz w:val="24"/>
          <w:szCs w:val="24"/>
        </w:rPr>
        <w:t>’</w:t>
      </w:r>
      <w:r w:rsidR="009C5686" w:rsidRPr="005847A9">
        <w:rPr>
          <w:rFonts w:ascii="Arial" w:hAnsi="Arial" w:cs="Arial"/>
          <w:sz w:val="24"/>
          <w:szCs w:val="24"/>
        </w:rPr>
        <w:t xml:space="preserve"> item referred to cultural and societal integration.</w:t>
      </w:r>
      <w:bookmarkEnd w:id="4"/>
    </w:p>
    <w:p w14:paraId="68FA241B" w14:textId="36777EE6" w:rsidR="00D47606" w:rsidRPr="005847A9" w:rsidRDefault="00D47606" w:rsidP="005847A9">
      <w:pPr>
        <w:widowControl w:val="0"/>
        <w:pBdr>
          <w:top w:val="nil"/>
          <w:left w:val="nil"/>
          <w:bottom w:val="nil"/>
          <w:right w:val="nil"/>
          <w:between w:val="nil"/>
          <w:bar w:val="nil"/>
        </w:pBdr>
        <w:suppressAutoHyphens/>
        <w:spacing w:after="0" w:line="360" w:lineRule="auto"/>
        <w:ind w:firstLine="360"/>
        <w:rPr>
          <w:rFonts w:ascii="Arial" w:hAnsi="Arial" w:cs="Arial"/>
          <w:sz w:val="24"/>
          <w:szCs w:val="24"/>
        </w:rPr>
      </w:pPr>
    </w:p>
    <w:p w14:paraId="18352F2B" w14:textId="5785B1C6" w:rsidR="00AC08A1" w:rsidRPr="005847A9" w:rsidRDefault="00E65EA1" w:rsidP="005847A9">
      <w:pPr>
        <w:pStyle w:val="ListParagraph"/>
        <w:widowControl w:val="0"/>
        <w:numPr>
          <w:ilvl w:val="0"/>
          <w:numId w:val="4"/>
        </w:numPr>
        <w:pBdr>
          <w:top w:val="nil"/>
          <w:left w:val="nil"/>
          <w:bottom w:val="nil"/>
          <w:right w:val="nil"/>
          <w:between w:val="nil"/>
          <w:bar w:val="nil"/>
        </w:pBdr>
        <w:suppressAutoHyphens/>
        <w:spacing w:after="0" w:line="360" w:lineRule="auto"/>
        <w:rPr>
          <w:rFonts w:ascii="Arial" w:hAnsi="Arial" w:cs="Arial"/>
          <w:sz w:val="24"/>
          <w:szCs w:val="24"/>
        </w:rPr>
      </w:pPr>
      <w:r w:rsidRPr="005847A9">
        <w:rPr>
          <w:rFonts w:ascii="Arial" w:hAnsi="Arial" w:cs="Arial"/>
          <w:sz w:val="24"/>
          <w:szCs w:val="24"/>
        </w:rPr>
        <w:t xml:space="preserve">Connection: </w:t>
      </w:r>
      <w:r w:rsidR="00AC08A1" w:rsidRPr="005847A9">
        <w:rPr>
          <w:rFonts w:ascii="Arial" w:hAnsi="Arial" w:cs="Arial"/>
          <w:sz w:val="24"/>
          <w:szCs w:val="24"/>
        </w:rPr>
        <w:t xml:space="preserve">‘I feel unconnected and alone’ </w:t>
      </w:r>
      <w:r w:rsidRPr="005847A9">
        <w:rPr>
          <w:rFonts w:ascii="Arial" w:hAnsi="Arial" w:cs="Arial"/>
          <w:sz w:val="24"/>
          <w:szCs w:val="24"/>
        </w:rPr>
        <w:t xml:space="preserve">(e.g. prompt: ‘I don’t feel connected to other people in a meaningful way e.g. friends, family or professionals’) </w:t>
      </w:r>
      <w:r w:rsidR="00AC08A1" w:rsidRPr="005847A9">
        <w:rPr>
          <w:rFonts w:ascii="Arial" w:hAnsi="Arial" w:cs="Arial"/>
          <w:sz w:val="24"/>
          <w:szCs w:val="24"/>
        </w:rPr>
        <w:t>to ‘I feel connected to ot</w:t>
      </w:r>
      <w:r w:rsidRPr="005847A9">
        <w:rPr>
          <w:rFonts w:ascii="Arial" w:hAnsi="Arial" w:cs="Arial"/>
          <w:sz w:val="24"/>
          <w:szCs w:val="24"/>
        </w:rPr>
        <w:t>her people in a meaningful way’</w:t>
      </w:r>
    </w:p>
    <w:p w14:paraId="17C34A4F" w14:textId="3F01CD00" w:rsidR="00AC08A1" w:rsidRPr="005847A9" w:rsidRDefault="00CD4CD2" w:rsidP="005847A9">
      <w:pPr>
        <w:pStyle w:val="ListParagraph"/>
        <w:widowControl w:val="0"/>
        <w:numPr>
          <w:ilvl w:val="0"/>
          <w:numId w:val="4"/>
        </w:numPr>
        <w:pBdr>
          <w:top w:val="nil"/>
          <w:left w:val="nil"/>
          <w:bottom w:val="nil"/>
          <w:right w:val="nil"/>
          <w:between w:val="nil"/>
          <w:bar w:val="nil"/>
        </w:pBdr>
        <w:suppressAutoHyphens/>
        <w:spacing w:after="0" w:line="360" w:lineRule="auto"/>
        <w:rPr>
          <w:rFonts w:ascii="Arial" w:hAnsi="Arial" w:cs="Arial"/>
          <w:sz w:val="24"/>
          <w:szCs w:val="24"/>
        </w:rPr>
      </w:pPr>
      <w:r w:rsidRPr="005847A9">
        <w:rPr>
          <w:rFonts w:ascii="Arial" w:hAnsi="Arial" w:cs="Arial"/>
          <w:sz w:val="24"/>
          <w:szCs w:val="24"/>
        </w:rPr>
        <w:t>Integration</w:t>
      </w:r>
      <w:r w:rsidR="00E65EA1" w:rsidRPr="005847A9">
        <w:rPr>
          <w:rFonts w:ascii="Arial" w:hAnsi="Arial" w:cs="Arial"/>
          <w:sz w:val="24"/>
          <w:szCs w:val="24"/>
        </w:rPr>
        <w:t xml:space="preserve">: </w:t>
      </w:r>
      <w:r w:rsidR="00AC08A1" w:rsidRPr="005847A9">
        <w:rPr>
          <w:rFonts w:ascii="Arial" w:hAnsi="Arial" w:cs="Arial"/>
          <w:sz w:val="24"/>
          <w:szCs w:val="24"/>
        </w:rPr>
        <w:t>‘I feel socially isolated’</w:t>
      </w:r>
      <w:r w:rsidR="00E65EA1" w:rsidRPr="005847A9">
        <w:rPr>
          <w:rFonts w:ascii="Arial" w:hAnsi="Arial" w:cs="Arial"/>
          <w:sz w:val="24"/>
          <w:szCs w:val="24"/>
        </w:rPr>
        <w:t xml:space="preserve"> to I feel socially integrated’ (e.g. prompt ‘I feel I belong to /am supported by friends, groups or community’)</w:t>
      </w:r>
    </w:p>
    <w:p w14:paraId="4300F3AF" w14:textId="15ABA0F9" w:rsidR="00AC08A1" w:rsidRPr="005847A9" w:rsidRDefault="00AC08A1" w:rsidP="005847A9">
      <w:pPr>
        <w:pStyle w:val="ListParagraph"/>
        <w:widowControl w:val="0"/>
        <w:numPr>
          <w:ilvl w:val="0"/>
          <w:numId w:val="4"/>
        </w:numPr>
        <w:pBdr>
          <w:top w:val="nil"/>
          <w:left w:val="nil"/>
          <w:bottom w:val="nil"/>
          <w:right w:val="nil"/>
          <w:between w:val="nil"/>
          <w:bar w:val="nil"/>
        </w:pBdr>
        <w:suppressAutoHyphens/>
        <w:spacing w:after="0" w:line="360" w:lineRule="auto"/>
        <w:rPr>
          <w:rFonts w:ascii="Arial" w:hAnsi="Arial" w:cs="Arial"/>
          <w:sz w:val="24"/>
          <w:szCs w:val="24"/>
        </w:rPr>
      </w:pPr>
      <w:r w:rsidRPr="005847A9">
        <w:rPr>
          <w:rFonts w:ascii="Arial" w:hAnsi="Arial" w:cs="Arial"/>
          <w:sz w:val="24"/>
          <w:szCs w:val="24"/>
        </w:rPr>
        <w:t>Und</w:t>
      </w:r>
      <w:r w:rsidR="00E65EA1" w:rsidRPr="005847A9">
        <w:rPr>
          <w:rFonts w:ascii="Arial" w:hAnsi="Arial" w:cs="Arial"/>
          <w:sz w:val="24"/>
          <w:szCs w:val="24"/>
        </w:rPr>
        <w:t xml:space="preserve">erstanding symptoms: </w:t>
      </w:r>
      <w:r w:rsidRPr="005847A9">
        <w:rPr>
          <w:rFonts w:ascii="Arial" w:hAnsi="Arial" w:cs="Arial"/>
          <w:sz w:val="24"/>
          <w:szCs w:val="24"/>
        </w:rPr>
        <w:t>‘I don’t understand my symptoms/I feel I am going mad’ to ‘I understand m</w:t>
      </w:r>
      <w:r w:rsidR="00E65EA1" w:rsidRPr="005847A9">
        <w:rPr>
          <w:rFonts w:ascii="Arial" w:hAnsi="Arial" w:cs="Arial"/>
          <w:sz w:val="24"/>
          <w:szCs w:val="24"/>
        </w:rPr>
        <w:t xml:space="preserve">y symptoms to be part of PTSD’ </w:t>
      </w:r>
    </w:p>
    <w:p w14:paraId="614C6670" w14:textId="77777777" w:rsidR="00383667" w:rsidRPr="005847A9" w:rsidRDefault="00383667" w:rsidP="005847A9">
      <w:pPr>
        <w:widowControl w:val="0"/>
        <w:pBdr>
          <w:top w:val="nil"/>
          <w:left w:val="nil"/>
          <w:bottom w:val="nil"/>
          <w:right w:val="nil"/>
          <w:between w:val="nil"/>
          <w:bar w:val="nil"/>
        </w:pBdr>
        <w:suppressAutoHyphens/>
        <w:spacing w:after="0" w:line="360" w:lineRule="auto"/>
        <w:rPr>
          <w:rFonts w:ascii="Arial" w:hAnsi="Arial" w:cs="Arial"/>
          <w:sz w:val="24"/>
          <w:szCs w:val="24"/>
        </w:rPr>
      </w:pPr>
    </w:p>
    <w:p w14:paraId="31DCFD39" w14:textId="1CB75CEA" w:rsidR="00AA0035" w:rsidRPr="005847A9" w:rsidRDefault="00AA0035" w:rsidP="005847A9">
      <w:pPr>
        <w:spacing w:line="360" w:lineRule="auto"/>
        <w:rPr>
          <w:rFonts w:ascii="Arial" w:hAnsi="Arial" w:cs="Arial"/>
          <w:sz w:val="24"/>
          <w:szCs w:val="24"/>
        </w:rPr>
      </w:pPr>
      <w:r w:rsidRPr="005847A9">
        <w:rPr>
          <w:rFonts w:ascii="Arial" w:hAnsi="Arial" w:cs="Arial"/>
          <w:sz w:val="24"/>
          <w:szCs w:val="24"/>
        </w:rPr>
        <w:t xml:space="preserve">Intervention </w:t>
      </w:r>
    </w:p>
    <w:p w14:paraId="7213F54A" w14:textId="6DCF8ED0" w:rsidR="00DB2A5D" w:rsidRPr="005847A9" w:rsidRDefault="004934CC" w:rsidP="005847A9">
      <w:pPr>
        <w:spacing w:line="360" w:lineRule="auto"/>
        <w:ind w:firstLine="720"/>
        <w:rPr>
          <w:rFonts w:ascii="Arial" w:hAnsi="Arial" w:cs="Arial"/>
          <w:sz w:val="24"/>
          <w:szCs w:val="24"/>
        </w:rPr>
      </w:pPr>
      <w:r w:rsidRPr="005847A9">
        <w:rPr>
          <w:rFonts w:ascii="Arial" w:hAnsi="Arial" w:cs="Arial"/>
          <w:sz w:val="24"/>
          <w:szCs w:val="24"/>
        </w:rPr>
        <w:t xml:space="preserve">The </w:t>
      </w:r>
      <w:r w:rsidR="00176958" w:rsidRPr="005847A9">
        <w:rPr>
          <w:rFonts w:ascii="Arial" w:hAnsi="Arial" w:cs="Arial"/>
          <w:sz w:val="24"/>
          <w:szCs w:val="24"/>
        </w:rPr>
        <w:t>MOAT intervention</w:t>
      </w:r>
      <w:r w:rsidRPr="005847A9">
        <w:rPr>
          <w:rFonts w:ascii="Arial" w:hAnsi="Arial" w:cs="Arial"/>
          <w:sz w:val="24"/>
          <w:szCs w:val="24"/>
        </w:rPr>
        <w:t xml:space="preserve"> </w:t>
      </w:r>
      <w:r w:rsidR="00B3315B" w:rsidRPr="005847A9">
        <w:rPr>
          <w:rFonts w:ascii="Arial" w:hAnsi="Arial" w:cs="Arial"/>
          <w:sz w:val="24"/>
          <w:szCs w:val="24"/>
        </w:rPr>
        <w:t>was</w:t>
      </w:r>
      <w:r w:rsidRPr="005847A9">
        <w:rPr>
          <w:rFonts w:ascii="Arial" w:hAnsi="Arial" w:cs="Arial"/>
          <w:sz w:val="24"/>
          <w:szCs w:val="24"/>
        </w:rPr>
        <w:t xml:space="preserve"> an eight-week, CBT-based </w:t>
      </w:r>
      <w:r w:rsidR="00BE26FD" w:rsidRPr="005847A9">
        <w:rPr>
          <w:rFonts w:ascii="Arial" w:hAnsi="Arial" w:cs="Arial"/>
          <w:sz w:val="24"/>
          <w:szCs w:val="24"/>
        </w:rPr>
        <w:t>stabilisation course</w:t>
      </w:r>
      <w:r w:rsidR="007D5FF0" w:rsidRPr="005847A9">
        <w:rPr>
          <w:rFonts w:ascii="Arial" w:hAnsi="Arial" w:cs="Arial"/>
          <w:sz w:val="24"/>
          <w:szCs w:val="24"/>
        </w:rPr>
        <w:t xml:space="preserve"> for patients</w:t>
      </w:r>
      <w:r w:rsidR="005D0026" w:rsidRPr="005847A9">
        <w:rPr>
          <w:rFonts w:ascii="Arial" w:hAnsi="Arial" w:cs="Arial"/>
          <w:sz w:val="24"/>
          <w:szCs w:val="24"/>
        </w:rPr>
        <w:t xml:space="preserve"> </w:t>
      </w:r>
      <w:r w:rsidR="00D04943" w:rsidRPr="005847A9">
        <w:rPr>
          <w:rFonts w:ascii="Arial" w:hAnsi="Arial" w:cs="Arial"/>
          <w:sz w:val="24"/>
          <w:szCs w:val="24"/>
        </w:rPr>
        <w:t xml:space="preserve">presenting </w:t>
      </w:r>
      <w:r w:rsidR="005D0026" w:rsidRPr="005847A9">
        <w:rPr>
          <w:rFonts w:ascii="Arial" w:hAnsi="Arial" w:cs="Arial"/>
          <w:sz w:val="24"/>
          <w:szCs w:val="24"/>
        </w:rPr>
        <w:t>with PTSD</w:t>
      </w:r>
      <w:r w:rsidRPr="005847A9">
        <w:rPr>
          <w:rFonts w:ascii="Arial" w:hAnsi="Arial" w:cs="Arial"/>
          <w:sz w:val="24"/>
          <w:szCs w:val="24"/>
        </w:rPr>
        <w:t xml:space="preserve">. </w:t>
      </w:r>
      <w:r w:rsidR="00FE4406" w:rsidRPr="005847A9">
        <w:rPr>
          <w:rFonts w:ascii="Arial" w:hAnsi="Arial" w:cs="Arial"/>
          <w:sz w:val="24"/>
          <w:szCs w:val="24"/>
        </w:rPr>
        <w:t xml:space="preserve"> </w:t>
      </w:r>
      <w:r w:rsidR="00D04943" w:rsidRPr="005847A9">
        <w:rPr>
          <w:rFonts w:ascii="Arial" w:hAnsi="Arial" w:cs="Arial"/>
          <w:sz w:val="24"/>
          <w:szCs w:val="24"/>
        </w:rPr>
        <w:t>The course was divided up into</w:t>
      </w:r>
      <w:r w:rsidR="00DB2A5D" w:rsidRPr="005847A9">
        <w:rPr>
          <w:rFonts w:ascii="Arial" w:hAnsi="Arial" w:cs="Arial"/>
          <w:sz w:val="24"/>
          <w:szCs w:val="24"/>
        </w:rPr>
        <w:t xml:space="preserve"> </w:t>
      </w:r>
      <w:r w:rsidR="009C5686" w:rsidRPr="005847A9">
        <w:rPr>
          <w:rFonts w:ascii="Arial" w:hAnsi="Arial" w:cs="Arial"/>
          <w:sz w:val="24"/>
          <w:szCs w:val="24"/>
        </w:rPr>
        <w:t>six</w:t>
      </w:r>
      <w:r w:rsidR="00D15443" w:rsidRPr="005847A9">
        <w:rPr>
          <w:rFonts w:ascii="Arial" w:hAnsi="Arial" w:cs="Arial"/>
          <w:sz w:val="24"/>
          <w:szCs w:val="24"/>
        </w:rPr>
        <w:t xml:space="preserve"> topics and</w:t>
      </w:r>
      <w:r w:rsidR="00DB2A5D" w:rsidRPr="005847A9">
        <w:rPr>
          <w:rFonts w:ascii="Arial" w:hAnsi="Arial" w:cs="Arial"/>
          <w:sz w:val="24"/>
          <w:szCs w:val="24"/>
        </w:rPr>
        <w:t xml:space="preserve"> facilitators found that at least one session at the start was required for orientation e.g. finding the building, housekeeping,</w:t>
      </w:r>
      <w:r w:rsidR="00D04943" w:rsidRPr="005847A9">
        <w:rPr>
          <w:rFonts w:ascii="Arial" w:hAnsi="Arial" w:cs="Arial"/>
          <w:sz w:val="24"/>
          <w:szCs w:val="24"/>
        </w:rPr>
        <w:t xml:space="preserve"> </w:t>
      </w:r>
      <w:r w:rsidR="007321D9" w:rsidRPr="005847A9">
        <w:rPr>
          <w:rFonts w:ascii="Arial" w:hAnsi="Arial" w:cs="Arial"/>
          <w:sz w:val="24"/>
          <w:szCs w:val="24"/>
        </w:rPr>
        <w:t xml:space="preserve">understanding the </w:t>
      </w:r>
      <w:r w:rsidR="00B3315B" w:rsidRPr="005847A9">
        <w:rPr>
          <w:rFonts w:ascii="Arial" w:hAnsi="Arial" w:cs="Arial"/>
          <w:sz w:val="24"/>
          <w:szCs w:val="24"/>
        </w:rPr>
        <w:t xml:space="preserve">wider </w:t>
      </w:r>
      <w:r w:rsidR="007321D9" w:rsidRPr="005847A9">
        <w:rPr>
          <w:rFonts w:ascii="Arial" w:hAnsi="Arial" w:cs="Arial"/>
          <w:sz w:val="24"/>
          <w:szCs w:val="24"/>
        </w:rPr>
        <w:t>treatment pathway</w:t>
      </w:r>
      <w:r w:rsidR="00D04943" w:rsidRPr="005847A9">
        <w:rPr>
          <w:rFonts w:ascii="Arial" w:hAnsi="Arial" w:cs="Arial"/>
          <w:sz w:val="24"/>
          <w:szCs w:val="24"/>
        </w:rPr>
        <w:t xml:space="preserve"> and building trust in the interpreting process</w:t>
      </w:r>
      <w:r w:rsidR="007321D9" w:rsidRPr="005847A9">
        <w:rPr>
          <w:rFonts w:ascii="Arial" w:hAnsi="Arial" w:cs="Arial"/>
          <w:sz w:val="24"/>
          <w:szCs w:val="24"/>
        </w:rPr>
        <w:t>.</w:t>
      </w:r>
    </w:p>
    <w:p w14:paraId="769C469E" w14:textId="67445594" w:rsidR="00DB2A80" w:rsidRPr="005847A9" w:rsidRDefault="00AB719B" w:rsidP="005847A9">
      <w:pPr>
        <w:spacing w:line="360" w:lineRule="auto"/>
        <w:ind w:firstLine="720"/>
        <w:rPr>
          <w:rFonts w:ascii="Arial" w:hAnsi="Arial" w:cs="Arial"/>
          <w:sz w:val="24"/>
          <w:szCs w:val="24"/>
        </w:rPr>
      </w:pPr>
      <w:r w:rsidRPr="005847A9">
        <w:rPr>
          <w:rFonts w:ascii="Arial" w:hAnsi="Arial" w:cs="Arial"/>
          <w:sz w:val="24"/>
          <w:szCs w:val="24"/>
        </w:rPr>
        <w:t>Weekly s</w:t>
      </w:r>
      <w:r w:rsidR="009B7920" w:rsidRPr="005847A9">
        <w:rPr>
          <w:rFonts w:ascii="Arial" w:hAnsi="Arial" w:cs="Arial"/>
          <w:sz w:val="24"/>
          <w:szCs w:val="24"/>
        </w:rPr>
        <w:t xml:space="preserve">essions lasted </w:t>
      </w:r>
      <w:r w:rsidRPr="005847A9">
        <w:rPr>
          <w:rFonts w:ascii="Arial" w:hAnsi="Arial" w:cs="Arial"/>
          <w:sz w:val="24"/>
          <w:szCs w:val="24"/>
        </w:rPr>
        <w:t>two hours</w:t>
      </w:r>
      <w:r w:rsidR="009B7920" w:rsidRPr="005847A9">
        <w:rPr>
          <w:rFonts w:ascii="Arial" w:hAnsi="Arial" w:cs="Arial"/>
          <w:sz w:val="24"/>
          <w:szCs w:val="24"/>
        </w:rPr>
        <w:t xml:space="preserve"> and topics were </w:t>
      </w:r>
      <w:r w:rsidR="00DB2A5D" w:rsidRPr="005847A9">
        <w:rPr>
          <w:rFonts w:ascii="Arial" w:hAnsi="Arial" w:cs="Arial"/>
          <w:sz w:val="24"/>
          <w:szCs w:val="24"/>
        </w:rPr>
        <w:t>facilitated</w:t>
      </w:r>
      <w:r w:rsidR="009B7920" w:rsidRPr="005847A9">
        <w:rPr>
          <w:rFonts w:ascii="Arial" w:hAnsi="Arial" w:cs="Arial"/>
          <w:sz w:val="24"/>
          <w:szCs w:val="24"/>
        </w:rPr>
        <w:t xml:space="preserve"> by </w:t>
      </w:r>
      <w:r w:rsidR="007321D9" w:rsidRPr="005847A9">
        <w:rPr>
          <w:rFonts w:ascii="Arial" w:hAnsi="Arial" w:cs="Arial"/>
          <w:sz w:val="24"/>
          <w:szCs w:val="24"/>
        </w:rPr>
        <w:t xml:space="preserve">a </w:t>
      </w:r>
      <w:r w:rsidR="00DB2A5D" w:rsidRPr="005847A9">
        <w:rPr>
          <w:rFonts w:ascii="Arial" w:hAnsi="Arial" w:cs="Arial"/>
          <w:sz w:val="24"/>
          <w:szCs w:val="24"/>
        </w:rPr>
        <w:t>c</w:t>
      </w:r>
      <w:r w:rsidR="009B7920" w:rsidRPr="005847A9">
        <w:rPr>
          <w:rFonts w:ascii="Arial" w:hAnsi="Arial" w:cs="Arial"/>
          <w:sz w:val="24"/>
          <w:szCs w:val="24"/>
        </w:rPr>
        <w:t xml:space="preserve">linical </w:t>
      </w:r>
      <w:r w:rsidR="00DB2A5D" w:rsidRPr="005847A9">
        <w:rPr>
          <w:rFonts w:ascii="Arial" w:hAnsi="Arial" w:cs="Arial"/>
          <w:sz w:val="24"/>
          <w:szCs w:val="24"/>
        </w:rPr>
        <w:t>p</w:t>
      </w:r>
      <w:r w:rsidR="009B7920" w:rsidRPr="005847A9">
        <w:rPr>
          <w:rFonts w:ascii="Arial" w:hAnsi="Arial" w:cs="Arial"/>
          <w:sz w:val="24"/>
          <w:szCs w:val="24"/>
        </w:rPr>
        <w:t xml:space="preserve">sychologist </w:t>
      </w:r>
      <w:r w:rsidR="00DB2A5D" w:rsidRPr="005847A9">
        <w:rPr>
          <w:rFonts w:ascii="Arial" w:hAnsi="Arial" w:cs="Arial"/>
          <w:sz w:val="24"/>
          <w:szCs w:val="24"/>
        </w:rPr>
        <w:t xml:space="preserve">using </w:t>
      </w:r>
      <w:r w:rsidR="009B7920" w:rsidRPr="005847A9">
        <w:rPr>
          <w:rFonts w:ascii="Arial" w:hAnsi="Arial" w:cs="Arial"/>
          <w:sz w:val="24"/>
          <w:szCs w:val="24"/>
        </w:rPr>
        <w:t xml:space="preserve">interpreters throughout. </w:t>
      </w:r>
      <w:r w:rsidR="00FE4406" w:rsidRPr="005847A9">
        <w:rPr>
          <w:rFonts w:ascii="Arial" w:hAnsi="Arial" w:cs="Arial"/>
          <w:sz w:val="24"/>
          <w:szCs w:val="24"/>
        </w:rPr>
        <w:t xml:space="preserve">Structured within a psychoeducation framework, </w:t>
      </w:r>
      <w:r w:rsidR="0013546E" w:rsidRPr="005847A9">
        <w:rPr>
          <w:rFonts w:ascii="Arial" w:hAnsi="Arial" w:cs="Arial"/>
          <w:sz w:val="24"/>
          <w:szCs w:val="24"/>
        </w:rPr>
        <w:t xml:space="preserve">manualised </w:t>
      </w:r>
      <w:r w:rsidR="00BE26FD" w:rsidRPr="005847A9">
        <w:rPr>
          <w:rFonts w:ascii="Arial" w:hAnsi="Arial" w:cs="Arial"/>
          <w:sz w:val="24"/>
          <w:szCs w:val="24"/>
        </w:rPr>
        <w:t>sessions cover</w:t>
      </w:r>
      <w:r w:rsidR="009B7920" w:rsidRPr="005847A9">
        <w:rPr>
          <w:rFonts w:ascii="Arial" w:hAnsi="Arial" w:cs="Arial"/>
          <w:sz w:val="24"/>
          <w:szCs w:val="24"/>
        </w:rPr>
        <w:t>ed</w:t>
      </w:r>
      <w:r w:rsidR="00FE4406" w:rsidRPr="005847A9">
        <w:rPr>
          <w:rFonts w:ascii="Arial" w:hAnsi="Arial" w:cs="Arial"/>
          <w:sz w:val="24"/>
          <w:szCs w:val="24"/>
        </w:rPr>
        <w:t xml:space="preserve"> topics such as </w:t>
      </w:r>
      <w:r w:rsidR="0013546E" w:rsidRPr="005847A9">
        <w:rPr>
          <w:rFonts w:ascii="Arial" w:hAnsi="Arial" w:cs="Arial"/>
          <w:sz w:val="24"/>
          <w:szCs w:val="24"/>
        </w:rPr>
        <w:t>‘Understanding the B</w:t>
      </w:r>
      <w:r w:rsidR="00FE4406" w:rsidRPr="005847A9">
        <w:rPr>
          <w:rFonts w:ascii="Arial" w:hAnsi="Arial" w:cs="Arial"/>
          <w:sz w:val="24"/>
          <w:szCs w:val="24"/>
        </w:rPr>
        <w:t>rain’</w:t>
      </w:r>
      <w:r w:rsidR="0013546E" w:rsidRPr="005847A9">
        <w:rPr>
          <w:rFonts w:ascii="Arial" w:hAnsi="Arial" w:cs="Arial"/>
          <w:sz w:val="24"/>
          <w:szCs w:val="24"/>
        </w:rPr>
        <w:t>s Response to T</w:t>
      </w:r>
      <w:r w:rsidR="00FE4406" w:rsidRPr="005847A9">
        <w:rPr>
          <w:rFonts w:ascii="Arial" w:hAnsi="Arial" w:cs="Arial"/>
          <w:sz w:val="24"/>
          <w:szCs w:val="24"/>
        </w:rPr>
        <w:t>rauma</w:t>
      </w:r>
      <w:r w:rsidR="0013546E" w:rsidRPr="005847A9">
        <w:rPr>
          <w:rFonts w:ascii="Arial" w:hAnsi="Arial" w:cs="Arial"/>
          <w:sz w:val="24"/>
          <w:szCs w:val="24"/>
        </w:rPr>
        <w:t>’, ‘Feeling Too Much or Too Little’ and ‘Improving Sleep’</w:t>
      </w:r>
      <w:r w:rsidR="00B3315B" w:rsidRPr="005847A9">
        <w:rPr>
          <w:rFonts w:ascii="Arial" w:hAnsi="Arial" w:cs="Arial"/>
          <w:sz w:val="24"/>
          <w:szCs w:val="24"/>
        </w:rPr>
        <w:t>.  Metaphors and visual aid</w:t>
      </w:r>
      <w:r w:rsidR="00565B36" w:rsidRPr="005847A9">
        <w:rPr>
          <w:rFonts w:ascii="Arial" w:hAnsi="Arial" w:cs="Arial"/>
          <w:sz w:val="24"/>
          <w:szCs w:val="24"/>
        </w:rPr>
        <w:t>e</w:t>
      </w:r>
      <w:r w:rsidR="00B3315B" w:rsidRPr="005847A9">
        <w:rPr>
          <w:rFonts w:ascii="Arial" w:hAnsi="Arial" w:cs="Arial"/>
          <w:sz w:val="24"/>
          <w:szCs w:val="24"/>
        </w:rPr>
        <w:t xml:space="preserve">s were </w:t>
      </w:r>
      <w:r w:rsidR="001C68B8" w:rsidRPr="005847A9">
        <w:rPr>
          <w:rFonts w:ascii="Arial" w:hAnsi="Arial" w:cs="Arial"/>
          <w:sz w:val="24"/>
          <w:szCs w:val="24"/>
        </w:rPr>
        <w:t>used to reinforce con</w:t>
      </w:r>
      <w:r w:rsidR="00D04943" w:rsidRPr="005847A9">
        <w:rPr>
          <w:rFonts w:ascii="Arial" w:hAnsi="Arial" w:cs="Arial"/>
          <w:sz w:val="24"/>
          <w:szCs w:val="24"/>
        </w:rPr>
        <w:t>cepts and</w:t>
      </w:r>
      <w:r w:rsidR="00B3315B" w:rsidRPr="005847A9">
        <w:rPr>
          <w:rFonts w:ascii="Arial" w:hAnsi="Arial" w:cs="Arial"/>
          <w:sz w:val="24"/>
          <w:szCs w:val="24"/>
        </w:rPr>
        <w:t xml:space="preserve"> </w:t>
      </w:r>
      <w:r w:rsidR="001C68B8" w:rsidRPr="005847A9">
        <w:rPr>
          <w:rFonts w:ascii="Arial" w:hAnsi="Arial" w:cs="Arial"/>
          <w:sz w:val="24"/>
          <w:szCs w:val="24"/>
        </w:rPr>
        <w:t>chosen for their accessibility across</w:t>
      </w:r>
      <w:r w:rsidR="00B3315B" w:rsidRPr="005847A9">
        <w:rPr>
          <w:rFonts w:ascii="Arial" w:hAnsi="Arial" w:cs="Arial"/>
          <w:sz w:val="24"/>
          <w:szCs w:val="24"/>
        </w:rPr>
        <w:t xml:space="preserve"> different cultural frameworks</w:t>
      </w:r>
      <w:r w:rsidR="001C68B8" w:rsidRPr="005847A9">
        <w:rPr>
          <w:rFonts w:ascii="Arial" w:hAnsi="Arial" w:cs="Arial"/>
          <w:sz w:val="24"/>
          <w:szCs w:val="24"/>
        </w:rPr>
        <w:t xml:space="preserve"> and diverse levels of education.</w:t>
      </w:r>
      <w:r w:rsidR="00B3315B" w:rsidRPr="005847A9">
        <w:rPr>
          <w:rFonts w:ascii="Arial" w:hAnsi="Arial" w:cs="Arial"/>
          <w:sz w:val="24"/>
          <w:szCs w:val="24"/>
        </w:rPr>
        <w:t xml:space="preserve"> </w:t>
      </w:r>
      <w:r w:rsidR="001C68B8" w:rsidRPr="005847A9">
        <w:rPr>
          <w:rFonts w:ascii="Arial" w:hAnsi="Arial" w:cs="Arial"/>
          <w:sz w:val="24"/>
          <w:szCs w:val="24"/>
        </w:rPr>
        <w:t xml:space="preserve"> Each session included a hands-on s</w:t>
      </w:r>
      <w:r w:rsidR="00BE26FD" w:rsidRPr="005847A9">
        <w:rPr>
          <w:rFonts w:ascii="Arial" w:hAnsi="Arial" w:cs="Arial"/>
          <w:sz w:val="24"/>
          <w:szCs w:val="24"/>
        </w:rPr>
        <w:t>kills-</w:t>
      </w:r>
      <w:r w:rsidR="001C68B8" w:rsidRPr="005847A9">
        <w:rPr>
          <w:rFonts w:ascii="Arial" w:hAnsi="Arial" w:cs="Arial"/>
          <w:sz w:val="24"/>
          <w:szCs w:val="24"/>
        </w:rPr>
        <w:t xml:space="preserve">based </w:t>
      </w:r>
      <w:r w:rsidR="0013546E" w:rsidRPr="005847A9">
        <w:rPr>
          <w:rFonts w:ascii="Arial" w:hAnsi="Arial" w:cs="Arial"/>
          <w:sz w:val="24"/>
          <w:szCs w:val="24"/>
        </w:rPr>
        <w:t xml:space="preserve">relaxation </w:t>
      </w:r>
      <w:r w:rsidR="001C68B8" w:rsidRPr="005847A9">
        <w:rPr>
          <w:rFonts w:ascii="Arial" w:hAnsi="Arial" w:cs="Arial"/>
          <w:sz w:val="24"/>
          <w:szCs w:val="24"/>
        </w:rPr>
        <w:t xml:space="preserve">or </w:t>
      </w:r>
      <w:r w:rsidR="0013546E" w:rsidRPr="005847A9">
        <w:rPr>
          <w:rFonts w:ascii="Arial" w:hAnsi="Arial" w:cs="Arial"/>
          <w:sz w:val="24"/>
          <w:szCs w:val="24"/>
        </w:rPr>
        <w:t>grounding technique</w:t>
      </w:r>
      <w:r w:rsidR="001C68B8" w:rsidRPr="005847A9">
        <w:rPr>
          <w:rFonts w:ascii="Arial" w:hAnsi="Arial" w:cs="Arial"/>
          <w:sz w:val="24"/>
          <w:szCs w:val="24"/>
        </w:rPr>
        <w:t>, which emphasized the use of strategies which can be used in day to day life</w:t>
      </w:r>
      <w:r w:rsidR="0013546E" w:rsidRPr="005847A9">
        <w:rPr>
          <w:rFonts w:ascii="Arial" w:hAnsi="Arial" w:cs="Arial"/>
          <w:sz w:val="24"/>
          <w:szCs w:val="24"/>
        </w:rPr>
        <w:t xml:space="preserve">.  </w:t>
      </w:r>
      <w:r w:rsidR="00BE26FD" w:rsidRPr="005847A9">
        <w:rPr>
          <w:rFonts w:ascii="Arial" w:hAnsi="Arial" w:cs="Arial"/>
          <w:sz w:val="24"/>
          <w:szCs w:val="24"/>
        </w:rPr>
        <w:t xml:space="preserve">Topics </w:t>
      </w:r>
      <w:r w:rsidR="009B7920" w:rsidRPr="005847A9">
        <w:rPr>
          <w:rFonts w:ascii="Arial" w:hAnsi="Arial" w:cs="Arial"/>
          <w:sz w:val="24"/>
          <w:szCs w:val="24"/>
        </w:rPr>
        <w:t>we</w:t>
      </w:r>
      <w:r w:rsidR="00BE26FD" w:rsidRPr="005847A9">
        <w:rPr>
          <w:rFonts w:ascii="Arial" w:hAnsi="Arial" w:cs="Arial"/>
          <w:sz w:val="24"/>
          <w:szCs w:val="24"/>
        </w:rPr>
        <w:t>re</w:t>
      </w:r>
      <w:r w:rsidR="00A27542" w:rsidRPr="005847A9">
        <w:rPr>
          <w:rFonts w:ascii="Arial" w:hAnsi="Arial" w:cs="Arial"/>
          <w:sz w:val="24"/>
          <w:szCs w:val="24"/>
        </w:rPr>
        <w:t xml:space="preserve"> explored by the facilitators using diagrams, material props</w:t>
      </w:r>
      <w:r w:rsidR="00176958" w:rsidRPr="005847A9">
        <w:rPr>
          <w:rFonts w:ascii="Arial" w:hAnsi="Arial" w:cs="Arial"/>
          <w:sz w:val="24"/>
          <w:szCs w:val="24"/>
        </w:rPr>
        <w:t xml:space="preserve"> and </w:t>
      </w:r>
      <w:r w:rsidR="00F43D10" w:rsidRPr="005847A9">
        <w:rPr>
          <w:rFonts w:ascii="Arial" w:hAnsi="Arial" w:cs="Arial"/>
          <w:sz w:val="24"/>
          <w:szCs w:val="24"/>
        </w:rPr>
        <w:t>resources</w:t>
      </w:r>
      <w:r w:rsidR="00176958" w:rsidRPr="005847A9">
        <w:rPr>
          <w:rFonts w:ascii="Arial" w:hAnsi="Arial" w:cs="Arial"/>
          <w:sz w:val="24"/>
          <w:szCs w:val="24"/>
        </w:rPr>
        <w:t>,</w:t>
      </w:r>
      <w:r w:rsidR="00A27542" w:rsidRPr="005847A9">
        <w:rPr>
          <w:rFonts w:ascii="Arial" w:hAnsi="Arial" w:cs="Arial"/>
          <w:sz w:val="24"/>
          <w:szCs w:val="24"/>
        </w:rPr>
        <w:t xml:space="preserve"> and</w:t>
      </w:r>
      <w:r w:rsidR="00BE26FD" w:rsidRPr="005847A9">
        <w:rPr>
          <w:rFonts w:ascii="Arial" w:hAnsi="Arial" w:cs="Arial"/>
          <w:sz w:val="24"/>
          <w:szCs w:val="24"/>
        </w:rPr>
        <w:t xml:space="preserve"> reinforced in </w:t>
      </w:r>
      <w:r w:rsidR="00A27542" w:rsidRPr="005847A9">
        <w:rPr>
          <w:rFonts w:ascii="Arial" w:hAnsi="Arial" w:cs="Arial"/>
          <w:sz w:val="24"/>
          <w:szCs w:val="24"/>
        </w:rPr>
        <w:t xml:space="preserve">group discussion. </w:t>
      </w:r>
      <w:r w:rsidR="00D15443" w:rsidRPr="005847A9">
        <w:rPr>
          <w:rFonts w:ascii="Arial" w:hAnsi="Arial" w:cs="Arial"/>
          <w:sz w:val="24"/>
          <w:szCs w:val="24"/>
        </w:rPr>
        <w:t>Participants</w:t>
      </w:r>
      <w:r w:rsidR="00BE26FD" w:rsidRPr="005847A9">
        <w:rPr>
          <w:rFonts w:ascii="Arial" w:hAnsi="Arial" w:cs="Arial"/>
          <w:sz w:val="24"/>
          <w:szCs w:val="24"/>
        </w:rPr>
        <w:t xml:space="preserve"> </w:t>
      </w:r>
      <w:r w:rsidR="009B7920" w:rsidRPr="005847A9">
        <w:rPr>
          <w:rFonts w:ascii="Arial" w:hAnsi="Arial" w:cs="Arial"/>
          <w:sz w:val="24"/>
          <w:szCs w:val="24"/>
        </w:rPr>
        <w:t>we</w:t>
      </w:r>
      <w:r w:rsidR="0013546E" w:rsidRPr="005847A9">
        <w:rPr>
          <w:rFonts w:ascii="Arial" w:hAnsi="Arial" w:cs="Arial"/>
          <w:sz w:val="24"/>
          <w:szCs w:val="24"/>
        </w:rPr>
        <w:t xml:space="preserve">re given a copy of the manual in English </w:t>
      </w:r>
      <w:r w:rsidR="00BE26FD" w:rsidRPr="005847A9">
        <w:rPr>
          <w:rFonts w:ascii="Arial" w:hAnsi="Arial" w:cs="Arial"/>
          <w:sz w:val="24"/>
          <w:szCs w:val="24"/>
        </w:rPr>
        <w:t xml:space="preserve">(not translated due to resource limitations) and encouraged to refer to </w:t>
      </w:r>
      <w:r w:rsidR="0013546E" w:rsidRPr="005847A9">
        <w:rPr>
          <w:rFonts w:ascii="Arial" w:hAnsi="Arial" w:cs="Arial"/>
          <w:sz w:val="24"/>
          <w:szCs w:val="24"/>
        </w:rPr>
        <w:t>diagrams and i</w:t>
      </w:r>
      <w:r w:rsidR="00BE26FD" w:rsidRPr="005847A9">
        <w:rPr>
          <w:rFonts w:ascii="Arial" w:hAnsi="Arial" w:cs="Arial"/>
          <w:sz w:val="24"/>
          <w:szCs w:val="24"/>
        </w:rPr>
        <w:t>llustrations</w:t>
      </w:r>
      <w:r w:rsidR="00D15443" w:rsidRPr="005847A9">
        <w:rPr>
          <w:rFonts w:ascii="Arial" w:hAnsi="Arial" w:cs="Arial"/>
          <w:sz w:val="24"/>
          <w:szCs w:val="24"/>
        </w:rPr>
        <w:t>.  Participants were also</w:t>
      </w:r>
      <w:r w:rsidR="001C68B8" w:rsidRPr="005847A9">
        <w:rPr>
          <w:rFonts w:ascii="Arial" w:hAnsi="Arial" w:cs="Arial"/>
          <w:sz w:val="24"/>
          <w:szCs w:val="24"/>
        </w:rPr>
        <w:t xml:space="preserve"> given simple grounding materials to take home and an important component of each course was developing ways to remember skills to practice e.g. using visual aids or smart phone audio recordings</w:t>
      </w:r>
      <w:r w:rsidR="00BE26FD" w:rsidRPr="005847A9">
        <w:rPr>
          <w:rFonts w:ascii="Arial" w:hAnsi="Arial" w:cs="Arial"/>
          <w:sz w:val="24"/>
          <w:szCs w:val="24"/>
        </w:rPr>
        <w:t xml:space="preserve">. </w:t>
      </w:r>
    </w:p>
    <w:p w14:paraId="6C270BB6" w14:textId="5127956D" w:rsidR="00D07D33" w:rsidRPr="005847A9" w:rsidRDefault="006B0924" w:rsidP="005847A9">
      <w:pPr>
        <w:spacing w:line="360" w:lineRule="auto"/>
        <w:rPr>
          <w:rFonts w:ascii="Arial" w:hAnsi="Arial" w:cs="Arial"/>
          <w:sz w:val="24"/>
          <w:szCs w:val="24"/>
        </w:rPr>
      </w:pPr>
      <w:r w:rsidRPr="005847A9">
        <w:rPr>
          <w:rFonts w:ascii="Arial" w:hAnsi="Arial" w:cs="Arial"/>
          <w:sz w:val="24"/>
          <w:szCs w:val="24"/>
        </w:rPr>
        <w:t>A</w:t>
      </w:r>
      <w:r w:rsidR="00D07D33" w:rsidRPr="005847A9">
        <w:rPr>
          <w:rFonts w:ascii="Arial" w:hAnsi="Arial" w:cs="Arial"/>
          <w:sz w:val="24"/>
          <w:szCs w:val="24"/>
        </w:rPr>
        <w:t>nalysis</w:t>
      </w:r>
    </w:p>
    <w:p w14:paraId="5BF087E8" w14:textId="619CB8C4" w:rsidR="00D07D33" w:rsidRPr="005847A9" w:rsidRDefault="001F00DC" w:rsidP="005847A9">
      <w:pPr>
        <w:spacing w:line="360" w:lineRule="auto"/>
        <w:ind w:firstLine="720"/>
        <w:rPr>
          <w:rFonts w:ascii="Arial" w:hAnsi="Arial" w:cs="Arial"/>
          <w:sz w:val="24"/>
          <w:szCs w:val="24"/>
        </w:rPr>
      </w:pPr>
      <w:r w:rsidRPr="005847A9">
        <w:rPr>
          <w:rFonts w:ascii="Arial" w:hAnsi="Arial" w:cs="Arial"/>
          <w:sz w:val="24"/>
          <w:szCs w:val="24"/>
        </w:rPr>
        <w:t xml:space="preserve">The data analysis was completed in </w:t>
      </w:r>
      <w:r w:rsidR="00565B36" w:rsidRPr="005847A9">
        <w:rPr>
          <w:rFonts w:ascii="Arial" w:hAnsi="Arial" w:cs="Arial"/>
          <w:sz w:val="24"/>
          <w:szCs w:val="24"/>
        </w:rPr>
        <w:t>SPSS</w:t>
      </w:r>
      <w:r w:rsidRPr="005847A9">
        <w:rPr>
          <w:rFonts w:ascii="Arial" w:hAnsi="Arial" w:cs="Arial"/>
          <w:sz w:val="24"/>
          <w:szCs w:val="24"/>
        </w:rPr>
        <w:t xml:space="preserve">. </w:t>
      </w:r>
      <w:r w:rsidR="002B0F21" w:rsidRPr="005847A9">
        <w:rPr>
          <w:rFonts w:ascii="Arial" w:hAnsi="Arial" w:cs="Arial"/>
          <w:sz w:val="24"/>
          <w:szCs w:val="24"/>
        </w:rPr>
        <w:t>Analysis a</w:t>
      </w:r>
      <w:r w:rsidR="002270B2" w:rsidRPr="005847A9">
        <w:rPr>
          <w:rFonts w:ascii="Arial" w:hAnsi="Arial" w:cs="Arial"/>
          <w:sz w:val="24"/>
          <w:szCs w:val="24"/>
        </w:rPr>
        <w:t>imed to look at the completion rates of outcome measures</w:t>
      </w:r>
      <w:r w:rsidR="00543F31" w:rsidRPr="005847A9">
        <w:rPr>
          <w:rFonts w:ascii="Arial" w:hAnsi="Arial" w:cs="Arial"/>
          <w:sz w:val="24"/>
          <w:szCs w:val="24"/>
        </w:rPr>
        <w:t xml:space="preserve"> as a percentage of the number of participants who started treatment</w:t>
      </w:r>
      <w:r w:rsidR="002270B2" w:rsidRPr="005847A9">
        <w:rPr>
          <w:rFonts w:ascii="Arial" w:hAnsi="Arial" w:cs="Arial"/>
          <w:sz w:val="24"/>
          <w:szCs w:val="24"/>
        </w:rPr>
        <w:t xml:space="preserve">. </w:t>
      </w:r>
      <w:r w:rsidR="002B0F21" w:rsidRPr="005847A9">
        <w:rPr>
          <w:rFonts w:ascii="Arial" w:hAnsi="Arial" w:cs="Arial"/>
          <w:sz w:val="24"/>
          <w:szCs w:val="24"/>
        </w:rPr>
        <w:t>A repeated measures MANOVA</w:t>
      </w:r>
      <w:r w:rsidR="00D07D33" w:rsidRPr="005847A9">
        <w:rPr>
          <w:rFonts w:ascii="Arial" w:hAnsi="Arial" w:cs="Arial"/>
          <w:sz w:val="24"/>
          <w:szCs w:val="24"/>
        </w:rPr>
        <w:t xml:space="preserve"> compare</w:t>
      </w:r>
      <w:r w:rsidR="002B0F21" w:rsidRPr="005847A9">
        <w:rPr>
          <w:rFonts w:ascii="Arial" w:hAnsi="Arial" w:cs="Arial"/>
          <w:sz w:val="24"/>
          <w:szCs w:val="24"/>
        </w:rPr>
        <w:t>d</w:t>
      </w:r>
      <w:r w:rsidR="00D07D33" w:rsidRPr="005847A9">
        <w:rPr>
          <w:rFonts w:ascii="Arial" w:hAnsi="Arial" w:cs="Arial"/>
          <w:sz w:val="24"/>
          <w:szCs w:val="24"/>
        </w:rPr>
        <w:t xml:space="preserve"> </w:t>
      </w:r>
      <w:r w:rsidR="00543F31" w:rsidRPr="005847A9">
        <w:rPr>
          <w:rFonts w:ascii="Arial" w:hAnsi="Arial" w:cs="Arial"/>
          <w:sz w:val="24"/>
          <w:szCs w:val="24"/>
        </w:rPr>
        <w:t xml:space="preserve">participants’ </w:t>
      </w:r>
      <w:r w:rsidR="00D07D33" w:rsidRPr="005847A9">
        <w:rPr>
          <w:rFonts w:ascii="Arial" w:hAnsi="Arial" w:cs="Arial"/>
          <w:sz w:val="24"/>
          <w:szCs w:val="24"/>
        </w:rPr>
        <w:t xml:space="preserve">scores before and after participating in a MOAT </w:t>
      </w:r>
      <w:r w:rsidR="00081349" w:rsidRPr="005847A9">
        <w:rPr>
          <w:rFonts w:ascii="Arial" w:hAnsi="Arial" w:cs="Arial"/>
          <w:sz w:val="24"/>
          <w:szCs w:val="24"/>
        </w:rPr>
        <w:t>course</w:t>
      </w:r>
      <w:r w:rsidR="00D07D33" w:rsidRPr="005847A9">
        <w:rPr>
          <w:rFonts w:ascii="Arial" w:hAnsi="Arial" w:cs="Arial"/>
          <w:sz w:val="24"/>
          <w:szCs w:val="24"/>
        </w:rPr>
        <w:t xml:space="preserve"> on the PHQ-9, GAD-7, IES and idiographic scales. </w:t>
      </w:r>
      <w:r w:rsidR="00176958" w:rsidRPr="005847A9">
        <w:rPr>
          <w:rFonts w:ascii="Arial" w:hAnsi="Arial" w:cs="Arial"/>
          <w:sz w:val="24"/>
          <w:szCs w:val="24"/>
        </w:rPr>
        <w:t xml:space="preserve">For all outcome measures, the data collected at a participant’s first attended session </w:t>
      </w:r>
      <w:r w:rsidR="00117687" w:rsidRPr="005847A9">
        <w:rPr>
          <w:rFonts w:ascii="Arial" w:hAnsi="Arial" w:cs="Arial"/>
          <w:sz w:val="24"/>
          <w:szCs w:val="24"/>
        </w:rPr>
        <w:t>were</w:t>
      </w:r>
      <w:r w:rsidR="00176958" w:rsidRPr="005847A9">
        <w:rPr>
          <w:rFonts w:ascii="Arial" w:hAnsi="Arial" w:cs="Arial"/>
          <w:sz w:val="24"/>
          <w:szCs w:val="24"/>
        </w:rPr>
        <w:t xml:space="preserve"> used as the </w:t>
      </w:r>
      <w:r w:rsidR="00B33D50" w:rsidRPr="005847A9">
        <w:rPr>
          <w:rFonts w:ascii="Arial" w:hAnsi="Arial" w:cs="Arial"/>
          <w:sz w:val="24"/>
          <w:szCs w:val="24"/>
        </w:rPr>
        <w:t>pre</w:t>
      </w:r>
      <w:r w:rsidR="00176958" w:rsidRPr="005847A9">
        <w:rPr>
          <w:rFonts w:ascii="Arial" w:hAnsi="Arial" w:cs="Arial"/>
          <w:sz w:val="24"/>
          <w:szCs w:val="24"/>
        </w:rPr>
        <w:t xml:space="preserve">-Group score and the data collected at the last attended session </w:t>
      </w:r>
      <w:r w:rsidR="00117687" w:rsidRPr="005847A9">
        <w:rPr>
          <w:rFonts w:ascii="Arial" w:hAnsi="Arial" w:cs="Arial"/>
          <w:sz w:val="24"/>
          <w:szCs w:val="24"/>
        </w:rPr>
        <w:t>were</w:t>
      </w:r>
      <w:r w:rsidR="00176958" w:rsidRPr="005847A9">
        <w:rPr>
          <w:rFonts w:ascii="Arial" w:hAnsi="Arial" w:cs="Arial"/>
          <w:sz w:val="24"/>
          <w:szCs w:val="24"/>
        </w:rPr>
        <w:t xml:space="preserve"> used as the </w:t>
      </w:r>
      <w:r w:rsidR="00B33D50" w:rsidRPr="005847A9">
        <w:rPr>
          <w:rFonts w:ascii="Arial" w:hAnsi="Arial" w:cs="Arial"/>
          <w:sz w:val="24"/>
          <w:szCs w:val="24"/>
        </w:rPr>
        <w:t>post</w:t>
      </w:r>
      <w:r w:rsidR="00176958" w:rsidRPr="005847A9">
        <w:rPr>
          <w:rFonts w:ascii="Arial" w:hAnsi="Arial" w:cs="Arial"/>
          <w:sz w:val="24"/>
          <w:szCs w:val="24"/>
        </w:rPr>
        <w:t>-Group score.</w:t>
      </w:r>
      <w:r w:rsidR="002B0F21" w:rsidRPr="005847A9">
        <w:rPr>
          <w:rFonts w:ascii="Arial" w:hAnsi="Arial" w:cs="Arial"/>
          <w:sz w:val="24"/>
          <w:szCs w:val="24"/>
        </w:rPr>
        <w:t xml:space="preserve"> A</w:t>
      </w:r>
      <w:r w:rsidR="00543F31" w:rsidRPr="005847A9">
        <w:rPr>
          <w:rFonts w:ascii="Arial" w:hAnsi="Arial" w:cs="Arial"/>
          <w:sz w:val="24"/>
          <w:szCs w:val="24"/>
        </w:rPr>
        <w:t xml:space="preserve">ll participants for whom </w:t>
      </w:r>
      <w:r w:rsidR="00B33D50" w:rsidRPr="005847A9">
        <w:rPr>
          <w:rFonts w:ascii="Arial" w:hAnsi="Arial" w:cs="Arial"/>
          <w:sz w:val="24"/>
          <w:szCs w:val="24"/>
        </w:rPr>
        <w:t>pre- and post-group scores</w:t>
      </w:r>
      <w:r w:rsidR="001D4E2F" w:rsidRPr="005847A9">
        <w:rPr>
          <w:rFonts w:ascii="Arial" w:hAnsi="Arial" w:cs="Arial"/>
          <w:sz w:val="24"/>
          <w:szCs w:val="24"/>
        </w:rPr>
        <w:t xml:space="preserve"> were available</w:t>
      </w:r>
      <w:r w:rsidR="002B0F21" w:rsidRPr="005847A9">
        <w:rPr>
          <w:rFonts w:ascii="Arial" w:hAnsi="Arial" w:cs="Arial"/>
          <w:sz w:val="24"/>
          <w:szCs w:val="24"/>
        </w:rPr>
        <w:t xml:space="preserve"> were included</w:t>
      </w:r>
      <w:r w:rsidR="00B33D50" w:rsidRPr="005847A9">
        <w:rPr>
          <w:rFonts w:ascii="Arial" w:hAnsi="Arial" w:cs="Arial"/>
          <w:sz w:val="24"/>
          <w:szCs w:val="24"/>
        </w:rPr>
        <w:t xml:space="preserve">, with post-scores defined as the final measure taken from any participant who attended at least five sessions. </w:t>
      </w:r>
      <w:r w:rsidR="00CA5F67" w:rsidRPr="005847A9">
        <w:rPr>
          <w:rFonts w:ascii="Arial" w:hAnsi="Arial" w:cs="Arial"/>
          <w:sz w:val="24"/>
          <w:szCs w:val="24"/>
        </w:rPr>
        <w:t>F</w:t>
      </w:r>
      <w:r w:rsidR="00565B36" w:rsidRPr="005847A9">
        <w:rPr>
          <w:rFonts w:ascii="Arial" w:hAnsi="Arial" w:cs="Arial"/>
          <w:sz w:val="24"/>
          <w:szCs w:val="24"/>
        </w:rPr>
        <w:t xml:space="preserve">ive sessions was considered to be </w:t>
      </w:r>
      <w:r w:rsidR="00CA5F67" w:rsidRPr="005847A9">
        <w:rPr>
          <w:rFonts w:ascii="Arial" w:hAnsi="Arial" w:cs="Arial"/>
          <w:sz w:val="24"/>
          <w:szCs w:val="24"/>
        </w:rPr>
        <w:t>the minimum nu</w:t>
      </w:r>
      <w:r w:rsidR="00565B36" w:rsidRPr="005847A9">
        <w:rPr>
          <w:rFonts w:ascii="Arial" w:hAnsi="Arial" w:cs="Arial"/>
          <w:sz w:val="24"/>
          <w:szCs w:val="24"/>
        </w:rPr>
        <w:t>mber of sessions a participant would need to attend to receive the essential components of the intervention</w:t>
      </w:r>
      <w:r w:rsidR="00CA5F67" w:rsidRPr="005847A9">
        <w:rPr>
          <w:rFonts w:ascii="Arial" w:hAnsi="Arial" w:cs="Arial"/>
          <w:sz w:val="24"/>
          <w:szCs w:val="24"/>
        </w:rPr>
        <w:t xml:space="preserve">. </w:t>
      </w:r>
    </w:p>
    <w:p w14:paraId="3757FE26" w14:textId="47BC2469" w:rsidR="00AA0035" w:rsidRPr="005847A9" w:rsidRDefault="009B7920" w:rsidP="005847A9">
      <w:pPr>
        <w:spacing w:line="360" w:lineRule="auto"/>
        <w:jc w:val="center"/>
        <w:rPr>
          <w:rFonts w:ascii="Arial" w:hAnsi="Arial" w:cs="Arial"/>
          <w:sz w:val="24"/>
          <w:szCs w:val="24"/>
        </w:rPr>
      </w:pPr>
      <w:r w:rsidRPr="005847A9">
        <w:rPr>
          <w:rFonts w:ascii="Arial" w:hAnsi="Arial" w:cs="Arial"/>
          <w:sz w:val="24"/>
          <w:szCs w:val="24"/>
        </w:rPr>
        <w:t>R</w:t>
      </w:r>
      <w:r w:rsidR="00AA0035" w:rsidRPr="005847A9">
        <w:rPr>
          <w:rFonts w:ascii="Arial" w:hAnsi="Arial" w:cs="Arial"/>
          <w:sz w:val="24"/>
          <w:szCs w:val="24"/>
        </w:rPr>
        <w:t>esults</w:t>
      </w:r>
    </w:p>
    <w:p w14:paraId="0B269D12" w14:textId="7A2FCC93" w:rsidR="00756E39" w:rsidRPr="005847A9" w:rsidRDefault="00AA50A1" w:rsidP="005847A9">
      <w:pPr>
        <w:spacing w:line="360" w:lineRule="auto"/>
        <w:ind w:firstLine="720"/>
        <w:rPr>
          <w:rFonts w:ascii="Arial" w:hAnsi="Arial" w:cs="Arial"/>
          <w:sz w:val="24"/>
          <w:szCs w:val="24"/>
        </w:rPr>
      </w:pPr>
      <w:r w:rsidRPr="005847A9">
        <w:rPr>
          <w:rFonts w:ascii="Arial" w:hAnsi="Arial" w:cs="Arial"/>
          <w:sz w:val="24"/>
          <w:szCs w:val="24"/>
        </w:rPr>
        <w:t xml:space="preserve">The average number of sessions attended was </w:t>
      </w:r>
      <w:r w:rsidR="00364710" w:rsidRPr="005847A9">
        <w:rPr>
          <w:rFonts w:ascii="Arial" w:hAnsi="Arial" w:cs="Arial"/>
          <w:sz w:val="24"/>
          <w:szCs w:val="24"/>
        </w:rPr>
        <w:t>5.21</w:t>
      </w:r>
      <w:r w:rsidRPr="005847A9">
        <w:rPr>
          <w:rFonts w:ascii="Arial" w:hAnsi="Arial" w:cs="Arial"/>
          <w:sz w:val="24"/>
          <w:szCs w:val="24"/>
        </w:rPr>
        <w:t xml:space="preserve"> (SD=</w:t>
      </w:r>
      <w:r w:rsidR="00364710" w:rsidRPr="005847A9">
        <w:rPr>
          <w:rFonts w:ascii="Arial" w:hAnsi="Arial" w:cs="Arial"/>
          <w:sz w:val="24"/>
          <w:szCs w:val="24"/>
        </w:rPr>
        <w:t>1.</w:t>
      </w:r>
      <w:r w:rsidR="00176958" w:rsidRPr="005847A9">
        <w:rPr>
          <w:rFonts w:ascii="Arial" w:hAnsi="Arial" w:cs="Arial"/>
          <w:sz w:val="24"/>
          <w:szCs w:val="24"/>
        </w:rPr>
        <w:t>20</w:t>
      </w:r>
      <w:r w:rsidRPr="005847A9">
        <w:rPr>
          <w:rFonts w:ascii="Arial" w:hAnsi="Arial" w:cs="Arial"/>
          <w:sz w:val="24"/>
          <w:szCs w:val="24"/>
        </w:rPr>
        <w:t>)</w:t>
      </w:r>
      <w:r w:rsidR="00941352" w:rsidRPr="005847A9">
        <w:rPr>
          <w:rFonts w:ascii="Arial" w:hAnsi="Arial" w:cs="Arial"/>
          <w:sz w:val="24"/>
          <w:szCs w:val="24"/>
        </w:rPr>
        <w:t xml:space="preserve"> for all the MOAT participants (N=82)</w:t>
      </w:r>
      <w:r w:rsidRPr="005847A9">
        <w:rPr>
          <w:rFonts w:ascii="Arial" w:hAnsi="Arial" w:cs="Arial"/>
          <w:sz w:val="24"/>
          <w:szCs w:val="24"/>
        </w:rPr>
        <w:t xml:space="preserve">. </w:t>
      </w:r>
      <w:r w:rsidR="00176958" w:rsidRPr="005847A9">
        <w:rPr>
          <w:rFonts w:ascii="Arial" w:hAnsi="Arial" w:cs="Arial"/>
          <w:sz w:val="24"/>
          <w:szCs w:val="24"/>
        </w:rPr>
        <w:t xml:space="preserve">Seventy-one percent of participants </w:t>
      </w:r>
      <w:r w:rsidR="004F1772" w:rsidRPr="005847A9">
        <w:rPr>
          <w:rFonts w:ascii="Arial" w:hAnsi="Arial" w:cs="Arial"/>
          <w:sz w:val="24"/>
          <w:szCs w:val="24"/>
        </w:rPr>
        <w:t xml:space="preserve">(n=58) </w:t>
      </w:r>
      <w:r w:rsidR="00176958" w:rsidRPr="005847A9">
        <w:rPr>
          <w:rFonts w:ascii="Arial" w:hAnsi="Arial" w:cs="Arial"/>
          <w:sz w:val="24"/>
          <w:szCs w:val="24"/>
        </w:rPr>
        <w:t>attended five or more MOAT sessions. PHQ-9</w:t>
      </w:r>
      <w:r w:rsidR="000245DC" w:rsidRPr="005847A9">
        <w:rPr>
          <w:rFonts w:ascii="Arial" w:hAnsi="Arial" w:cs="Arial"/>
          <w:sz w:val="24"/>
          <w:szCs w:val="24"/>
        </w:rPr>
        <w:t xml:space="preserve"> and</w:t>
      </w:r>
      <w:r w:rsidR="00176958" w:rsidRPr="005847A9">
        <w:rPr>
          <w:rFonts w:ascii="Arial" w:hAnsi="Arial" w:cs="Arial"/>
          <w:sz w:val="24"/>
          <w:szCs w:val="24"/>
        </w:rPr>
        <w:t xml:space="preserve"> GAD-7 and data </w:t>
      </w:r>
      <w:r w:rsidR="00117687" w:rsidRPr="005847A9">
        <w:rPr>
          <w:rFonts w:ascii="Arial" w:hAnsi="Arial" w:cs="Arial"/>
          <w:sz w:val="24"/>
          <w:szCs w:val="24"/>
        </w:rPr>
        <w:t>were</w:t>
      </w:r>
      <w:r w:rsidR="00176958" w:rsidRPr="005847A9">
        <w:rPr>
          <w:rFonts w:ascii="Arial" w:hAnsi="Arial" w:cs="Arial"/>
          <w:sz w:val="24"/>
          <w:szCs w:val="24"/>
        </w:rPr>
        <w:t xml:space="preserve"> collected for </w:t>
      </w:r>
      <w:r w:rsidR="0029159B" w:rsidRPr="005847A9">
        <w:rPr>
          <w:rFonts w:ascii="Arial" w:hAnsi="Arial" w:cs="Arial"/>
          <w:sz w:val="24"/>
          <w:szCs w:val="24"/>
        </w:rPr>
        <w:t>46% participants (n=38)</w:t>
      </w:r>
      <w:r w:rsidR="000245DC" w:rsidRPr="005847A9">
        <w:rPr>
          <w:rFonts w:ascii="Arial" w:hAnsi="Arial" w:cs="Arial"/>
          <w:sz w:val="24"/>
          <w:szCs w:val="24"/>
        </w:rPr>
        <w:t xml:space="preserve">, </w:t>
      </w:r>
      <w:r w:rsidR="00176958" w:rsidRPr="005847A9">
        <w:rPr>
          <w:rFonts w:ascii="Arial" w:hAnsi="Arial" w:cs="Arial"/>
          <w:sz w:val="24"/>
          <w:szCs w:val="24"/>
        </w:rPr>
        <w:t xml:space="preserve">IES pre- and post- scores were available for </w:t>
      </w:r>
      <w:r w:rsidR="0021514A" w:rsidRPr="005847A9">
        <w:rPr>
          <w:rFonts w:ascii="Arial" w:hAnsi="Arial" w:cs="Arial"/>
          <w:sz w:val="24"/>
          <w:szCs w:val="24"/>
        </w:rPr>
        <w:t>27% of participants</w:t>
      </w:r>
      <w:r w:rsidR="00AD0F21" w:rsidRPr="005847A9">
        <w:rPr>
          <w:rFonts w:ascii="Arial" w:hAnsi="Arial" w:cs="Arial"/>
          <w:sz w:val="24"/>
          <w:szCs w:val="24"/>
        </w:rPr>
        <w:t xml:space="preserve"> (n=22)</w:t>
      </w:r>
      <w:r w:rsidR="00EA296F" w:rsidRPr="005847A9">
        <w:rPr>
          <w:rFonts w:ascii="Arial" w:hAnsi="Arial" w:cs="Arial"/>
          <w:sz w:val="24"/>
          <w:szCs w:val="24"/>
        </w:rPr>
        <w:t>, and idiographic data were collected for 51% of participants (n=42)</w:t>
      </w:r>
      <w:r w:rsidR="0021514A" w:rsidRPr="005847A9">
        <w:rPr>
          <w:rFonts w:ascii="Arial" w:hAnsi="Arial" w:cs="Arial"/>
          <w:sz w:val="24"/>
          <w:szCs w:val="24"/>
        </w:rPr>
        <w:t xml:space="preserve">. </w:t>
      </w:r>
    </w:p>
    <w:p w14:paraId="17AEA19B" w14:textId="005A7716" w:rsidR="006346E1" w:rsidRPr="005847A9" w:rsidRDefault="002B0F21" w:rsidP="005847A9">
      <w:pPr>
        <w:autoSpaceDE w:val="0"/>
        <w:autoSpaceDN w:val="0"/>
        <w:adjustRightInd w:val="0"/>
        <w:spacing w:line="360" w:lineRule="auto"/>
        <w:ind w:firstLine="720"/>
        <w:rPr>
          <w:rFonts w:ascii="Arial" w:hAnsi="Arial" w:cs="Arial"/>
          <w:sz w:val="24"/>
          <w:szCs w:val="24"/>
        </w:rPr>
      </w:pPr>
      <w:r w:rsidRPr="005847A9">
        <w:rPr>
          <w:rFonts w:ascii="Arial" w:hAnsi="Arial" w:cs="Arial"/>
          <w:sz w:val="24"/>
          <w:szCs w:val="24"/>
        </w:rPr>
        <w:t>T</w:t>
      </w:r>
      <w:r w:rsidR="00DC0DB6" w:rsidRPr="005847A9">
        <w:rPr>
          <w:rFonts w:ascii="Arial" w:hAnsi="Arial" w:cs="Arial"/>
          <w:sz w:val="24"/>
          <w:szCs w:val="24"/>
        </w:rPr>
        <w:t>here was</w:t>
      </w:r>
      <w:r w:rsidR="002270B2" w:rsidRPr="005847A9">
        <w:rPr>
          <w:rFonts w:ascii="Arial" w:hAnsi="Arial" w:cs="Arial"/>
          <w:sz w:val="24"/>
          <w:szCs w:val="24"/>
        </w:rPr>
        <w:t xml:space="preserve"> a significant improvement </w:t>
      </w:r>
      <w:r w:rsidR="00DB61F1" w:rsidRPr="005847A9">
        <w:rPr>
          <w:rFonts w:ascii="Arial" w:hAnsi="Arial" w:cs="Arial"/>
          <w:sz w:val="24"/>
          <w:szCs w:val="24"/>
        </w:rPr>
        <w:t xml:space="preserve">with large effect sizes </w:t>
      </w:r>
      <w:r w:rsidR="002270B2" w:rsidRPr="005847A9">
        <w:rPr>
          <w:rFonts w:ascii="Arial" w:hAnsi="Arial" w:cs="Arial"/>
          <w:sz w:val="24"/>
          <w:szCs w:val="24"/>
        </w:rPr>
        <w:t xml:space="preserve">in </w:t>
      </w:r>
      <w:r w:rsidR="006A7E07" w:rsidRPr="005847A9">
        <w:rPr>
          <w:rFonts w:ascii="Arial" w:hAnsi="Arial" w:cs="Arial"/>
          <w:sz w:val="24"/>
          <w:szCs w:val="24"/>
        </w:rPr>
        <w:t>PHQ-9 (</w:t>
      </w:r>
      <w:r w:rsidR="002270B2" w:rsidRPr="005847A9">
        <w:rPr>
          <w:rFonts w:ascii="Arial" w:hAnsi="Arial" w:cs="Arial"/>
          <w:sz w:val="24"/>
          <w:szCs w:val="24"/>
        </w:rPr>
        <w:t>depression</w:t>
      </w:r>
      <w:r w:rsidR="006A7E07" w:rsidRPr="005847A9">
        <w:rPr>
          <w:rFonts w:ascii="Arial" w:hAnsi="Arial" w:cs="Arial"/>
          <w:sz w:val="24"/>
          <w:szCs w:val="24"/>
        </w:rPr>
        <w:t xml:space="preserve">) </w:t>
      </w:r>
      <w:r w:rsidR="002270B2" w:rsidRPr="005847A9">
        <w:rPr>
          <w:rFonts w:ascii="Arial" w:hAnsi="Arial" w:cs="Arial"/>
          <w:sz w:val="24"/>
          <w:szCs w:val="24"/>
        </w:rPr>
        <w:t xml:space="preserve">and </w:t>
      </w:r>
      <w:r w:rsidR="006A7E07" w:rsidRPr="005847A9">
        <w:rPr>
          <w:rFonts w:ascii="Arial" w:hAnsi="Arial" w:cs="Arial"/>
          <w:sz w:val="24"/>
          <w:szCs w:val="24"/>
        </w:rPr>
        <w:t>GAD-7 (</w:t>
      </w:r>
      <w:r w:rsidR="002270B2" w:rsidRPr="005847A9">
        <w:rPr>
          <w:rFonts w:ascii="Arial" w:hAnsi="Arial" w:cs="Arial"/>
          <w:sz w:val="24"/>
          <w:szCs w:val="24"/>
        </w:rPr>
        <w:t>anxiety</w:t>
      </w:r>
      <w:r w:rsidR="006A7E07" w:rsidRPr="005847A9">
        <w:rPr>
          <w:rFonts w:ascii="Arial" w:hAnsi="Arial" w:cs="Arial"/>
          <w:sz w:val="24"/>
          <w:szCs w:val="24"/>
        </w:rPr>
        <w:t>)</w:t>
      </w:r>
      <w:r w:rsidR="002270B2" w:rsidRPr="005847A9">
        <w:rPr>
          <w:rFonts w:ascii="Arial" w:hAnsi="Arial" w:cs="Arial"/>
          <w:sz w:val="24"/>
          <w:szCs w:val="24"/>
        </w:rPr>
        <w:t xml:space="preserve"> among participants </w:t>
      </w:r>
      <w:r w:rsidR="009B7920" w:rsidRPr="005847A9">
        <w:rPr>
          <w:rFonts w:ascii="Arial" w:hAnsi="Arial" w:cs="Arial"/>
          <w:sz w:val="24"/>
          <w:szCs w:val="24"/>
        </w:rPr>
        <w:t>following MOAT group attendance</w:t>
      </w:r>
      <w:r w:rsidR="00C934C1">
        <w:rPr>
          <w:rFonts w:ascii="Arial" w:hAnsi="Arial" w:cs="Arial"/>
          <w:sz w:val="24"/>
          <w:szCs w:val="24"/>
        </w:rPr>
        <w:t xml:space="preserve">. </w:t>
      </w:r>
      <w:r w:rsidR="00D15443" w:rsidRPr="005847A9">
        <w:rPr>
          <w:rFonts w:ascii="Arial" w:hAnsi="Arial" w:cs="Arial"/>
          <w:sz w:val="24"/>
          <w:szCs w:val="24"/>
        </w:rPr>
        <w:t>There were</w:t>
      </w:r>
      <w:r w:rsidR="00DC0DB6" w:rsidRPr="005847A9">
        <w:rPr>
          <w:rFonts w:ascii="Arial" w:hAnsi="Arial" w:cs="Arial"/>
          <w:sz w:val="24"/>
          <w:szCs w:val="24"/>
        </w:rPr>
        <w:t xml:space="preserve"> significant improvements </w:t>
      </w:r>
      <w:r w:rsidR="00DB61F1" w:rsidRPr="005847A9">
        <w:rPr>
          <w:rFonts w:ascii="Arial" w:hAnsi="Arial" w:cs="Arial"/>
          <w:sz w:val="24"/>
          <w:szCs w:val="24"/>
        </w:rPr>
        <w:t xml:space="preserve">with large effect sizes </w:t>
      </w:r>
      <w:r w:rsidR="00DC0DB6" w:rsidRPr="005847A9">
        <w:rPr>
          <w:rFonts w:ascii="Arial" w:hAnsi="Arial" w:cs="Arial"/>
          <w:sz w:val="24"/>
          <w:szCs w:val="24"/>
        </w:rPr>
        <w:t xml:space="preserve">on </w:t>
      </w:r>
      <w:r w:rsidR="006A7E07" w:rsidRPr="005847A9">
        <w:rPr>
          <w:rFonts w:ascii="Arial" w:hAnsi="Arial" w:cs="Arial"/>
          <w:sz w:val="24"/>
          <w:szCs w:val="24"/>
        </w:rPr>
        <w:t xml:space="preserve">all three items of </w:t>
      </w:r>
      <w:r w:rsidR="00DC0DB6" w:rsidRPr="005847A9">
        <w:rPr>
          <w:rFonts w:ascii="Arial" w:hAnsi="Arial" w:cs="Arial"/>
          <w:sz w:val="24"/>
          <w:szCs w:val="24"/>
        </w:rPr>
        <w:t>the idiographic scales</w:t>
      </w:r>
      <w:r w:rsidR="006A7E07" w:rsidRPr="005847A9">
        <w:rPr>
          <w:rFonts w:ascii="Arial" w:hAnsi="Arial" w:cs="Arial"/>
          <w:sz w:val="24"/>
          <w:szCs w:val="24"/>
        </w:rPr>
        <w:t>: Connection</w:t>
      </w:r>
      <w:r w:rsidR="001245D6">
        <w:rPr>
          <w:rFonts w:ascii="Arial" w:hAnsi="Arial" w:cs="Arial"/>
          <w:sz w:val="24"/>
          <w:szCs w:val="24"/>
        </w:rPr>
        <w:t xml:space="preserve">, </w:t>
      </w:r>
      <w:r w:rsidR="006A7E07" w:rsidRPr="005847A9">
        <w:rPr>
          <w:rFonts w:ascii="Arial" w:hAnsi="Arial" w:cs="Arial"/>
          <w:sz w:val="24"/>
          <w:szCs w:val="24"/>
        </w:rPr>
        <w:t>Integration and PTSD understanding</w:t>
      </w:r>
      <w:r w:rsidR="00C934C1">
        <w:rPr>
          <w:rFonts w:ascii="Arial" w:hAnsi="Arial" w:cs="Arial"/>
          <w:sz w:val="24"/>
          <w:szCs w:val="24"/>
        </w:rPr>
        <w:t xml:space="preserve"> </w:t>
      </w:r>
      <w:r w:rsidR="00C934C1" w:rsidRPr="005847A9">
        <w:rPr>
          <w:rFonts w:ascii="Arial" w:hAnsi="Arial" w:cs="Arial"/>
          <w:sz w:val="24"/>
          <w:szCs w:val="24"/>
        </w:rPr>
        <w:t xml:space="preserve">(see table 2).  </w:t>
      </w:r>
      <w:r w:rsidR="006A7E07" w:rsidRPr="005847A9">
        <w:rPr>
          <w:rFonts w:ascii="Arial" w:hAnsi="Arial" w:cs="Arial"/>
          <w:sz w:val="24"/>
          <w:szCs w:val="24"/>
        </w:rPr>
        <w:t xml:space="preserve"> </w:t>
      </w:r>
    </w:p>
    <w:p w14:paraId="0088B152" w14:textId="77777777" w:rsidR="001E172B" w:rsidRPr="005847A9" w:rsidRDefault="001E172B" w:rsidP="005847A9">
      <w:pPr>
        <w:autoSpaceDE w:val="0"/>
        <w:autoSpaceDN w:val="0"/>
        <w:adjustRightInd w:val="0"/>
        <w:spacing w:line="360" w:lineRule="auto"/>
        <w:ind w:firstLine="720"/>
        <w:rPr>
          <w:rFonts w:ascii="Arial" w:hAnsi="Arial" w:cs="Arial"/>
          <w:sz w:val="24"/>
          <w:szCs w:val="24"/>
        </w:rPr>
      </w:pPr>
    </w:p>
    <w:p w14:paraId="076FFAE7" w14:textId="1EA41B3D" w:rsidR="008D252A" w:rsidRPr="005847A9" w:rsidRDefault="002270B2" w:rsidP="005847A9">
      <w:pPr>
        <w:spacing w:line="360" w:lineRule="auto"/>
        <w:rPr>
          <w:rFonts w:ascii="Arial" w:hAnsi="Arial" w:cs="Arial"/>
          <w:sz w:val="24"/>
          <w:szCs w:val="24"/>
        </w:rPr>
      </w:pPr>
      <w:r w:rsidRPr="005847A9">
        <w:rPr>
          <w:rFonts w:ascii="Arial" w:hAnsi="Arial" w:cs="Arial"/>
          <w:sz w:val="24"/>
          <w:szCs w:val="24"/>
        </w:rPr>
        <w:t xml:space="preserve">Table </w:t>
      </w:r>
      <w:r w:rsidR="0016686A" w:rsidRPr="005847A9">
        <w:rPr>
          <w:rFonts w:ascii="Arial" w:hAnsi="Arial" w:cs="Arial"/>
          <w:sz w:val="24"/>
          <w:szCs w:val="24"/>
        </w:rPr>
        <w:t>2</w:t>
      </w:r>
      <w:r w:rsidRPr="005847A9">
        <w:rPr>
          <w:rFonts w:ascii="Arial" w:hAnsi="Arial" w:cs="Arial"/>
          <w:sz w:val="24"/>
          <w:szCs w:val="24"/>
        </w:rPr>
        <w:t>. Means</w:t>
      </w:r>
      <w:r w:rsidR="00DC0DB6" w:rsidRPr="005847A9">
        <w:rPr>
          <w:rFonts w:ascii="Arial" w:hAnsi="Arial" w:cs="Arial"/>
          <w:sz w:val="24"/>
          <w:szCs w:val="24"/>
        </w:rPr>
        <w:t xml:space="preserve">, </w:t>
      </w:r>
      <w:r w:rsidRPr="005847A9">
        <w:rPr>
          <w:rFonts w:ascii="Arial" w:hAnsi="Arial" w:cs="Arial"/>
          <w:sz w:val="24"/>
          <w:szCs w:val="24"/>
        </w:rPr>
        <w:t xml:space="preserve">Standard Deviations </w:t>
      </w:r>
      <w:r w:rsidR="00DC0DB6" w:rsidRPr="005847A9">
        <w:rPr>
          <w:rFonts w:ascii="Arial" w:hAnsi="Arial" w:cs="Arial"/>
          <w:sz w:val="24"/>
          <w:szCs w:val="24"/>
        </w:rPr>
        <w:t xml:space="preserve">and Repeated Measures MANOVA </w:t>
      </w:r>
      <w:r w:rsidRPr="005847A9">
        <w:rPr>
          <w:rFonts w:ascii="Arial" w:hAnsi="Arial" w:cs="Arial"/>
          <w:sz w:val="24"/>
          <w:szCs w:val="24"/>
        </w:rPr>
        <w:t xml:space="preserve">for dependent variables </w:t>
      </w:r>
    </w:p>
    <w:tbl>
      <w:tblPr>
        <w:tblW w:w="8889" w:type="dxa"/>
        <w:tblCellMar>
          <w:left w:w="0" w:type="dxa"/>
          <w:right w:w="0" w:type="dxa"/>
        </w:tblCellMar>
        <w:tblLook w:val="0000" w:firstRow="0" w:lastRow="0" w:firstColumn="0" w:lastColumn="0" w:noHBand="0" w:noVBand="0"/>
      </w:tblPr>
      <w:tblGrid>
        <w:gridCol w:w="2178"/>
        <w:gridCol w:w="863"/>
        <w:gridCol w:w="987"/>
        <w:gridCol w:w="1019"/>
        <w:gridCol w:w="952"/>
        <w:gridCol w:w="948"/>
        <w:gridCol w:w="1001"/>
        <w:gridCol w:w="941"/>
      </w:tblGrid>
      <w:tr w:rsidR="00113944" w:rsidRPr="005847A9" w14:paraId="53016A26" w14:textId="77777777" w:rsidTr="00113944">
        <w:trPr>
          <w:cantSplit/>
        </w:trPr>
        <w:tc>
          <w:tcPr>
            <w:tcW w:w="2178" w:type="dxa"/>
            <w:tcBorders>
              <w:top w:val="single" w:sz="4" w:space="0" w:color="auto"/>
            </w:tcBorders>
          </w:tcPr>
          <w:p w14:paraId="75A895B5" w14:textId="77777777" w:rsidR="00113944" w:rsidRPr="005847A9" w:rsidRDefault="00113944" w:rsidP="005847A9">
            <w:pPr>
              <w:autoSpaceDE w:val="0"/>
              <w:autoSpaceDN w:val="0"/>
              <w:adjustRightInd w:val="0"/>
              <w:spacing w:after="0" w:line="360" w:lineRule="auto"/>
              <w:jc w:val="center"/>
              <w:rPr>
                <w:rFonts w:ascii="Arial" w:hAnsi="Arial" w:cs="Arial"/>
                <w:sz w:val="24"/>
                <w:szCs w:val="24"/>
                <w:lang w:val="en-US"/>
              </w:rPr>
            </w:pPr>
            <w:r w:rsidRPr="005847A9">
              <w:rPr>
                <w:rFonts w:ascii="Arial" w:hAnsi="Arial" w:cs="Arial"/>
                <w:sz w:val="24"/>
                <w:szCs w:val="24"/>
                <w:lang w:val="en-US"/>
              </w:rPr>
              <w:t>Measure</w:t>
            </w:r>
          </w:p>
        </w:tc>
        <w:tc>
          <w:tcPr>
            <w:tcW w:w="863" w:type="dxa"/>
            <w:tcBorders>
              <w:top w:val="single" w:sz="4" w:space="0" w:color="auto"/>
            </w:tcBorders>
            <w:shd w:val="clear" w:color="auto" w:fill="auto"/>
            <w:vAlign w:val="bottom"/>
          </w:tcPr>
          <w:p w14:paraId="5F8424C8" w14:textId="77777777" w:rsidR="00113944" w:rsidRPr="005847A9" w:rsidRDefault="00113944" w:rsidP="005847A9">
            <w:pPr>
              <w:autoSpaceDE w:val="0"/>
              <w:autoSpaceDN w:val="0"/>
              <w:adjustRightInd w:val="0"/>
              <w:spacing w:after="0" w:line="360" w:lineRule="auto"/>
              <w:jc w:val="center"/>
              <w:rPr>
                <w:rFonts w:ascii="Arial" w:hAnsi="Arial" w:cs="Arial"/>
                <w:sz w:val="24"/>
                <w:szCs w:val="24"/>
                <w:lang w:val="en-US"/>
              </w:rPr>
            </w:pPr>
          </w:p>
        </w:tc>
        <w:tc>
          <w:tcPr>
            <w:tcW w:w="2006" w:type="dxa"/>
            <w:gridSpan w:val="2"/>
            <w:tcBorders>
              <w:top w:val="single" w:sz="4" w:space="0" w:color="auto"/>
              <w:bottom w:val="single" w:sz="4" w:space="0" w:color="auto"/>
            </w:tcBorders>
            <w:shd w:val="clear" w:color="auto" w:fill="auto"/>
            <w:vAlign w:val="bottom"/>
          </w:tcPr>
          <w:p w14:paraId="6B83F960" w14:textId="77777777" w:rsidR="00113944" w:rsidRPr="005847A9" w:rsidRDefault="00113944" w:rsidP="005847A9">
            <w:pPr>
              <w:autoSpaceDE w:val="0"/>
              <w:autoSpaceDN w:val="0"/>
              <w:adjustRightInd w:val="0"/>
              <w:spacing w:after="0" w:line="360" w:lineRule="auto"/>
              <w:ind w:left="60" w:right="60"/>
              <w:jc w:val="center"/>
              <w:rPr>
                <w:rFonts w:ascii="Arial" w:hAnsi="Arial" w:cs="Arial"/>
                <w:bCs/>
                <w:sz w:val="24"/>
                <w:szCs w:val="24"/>
                <w:lang w:val="en-US"/>
              </w:rPr>
            </w:pPr>
            <w:r w:rsidRPr="005847A9">
              <w:rPr>
                <w:rFonts w:ascii="Arial" w:hAnsi="Arial" w:cs="Arial"/>
                <w:bCs/>
                <w:sz w:val="24"/>
                <w:szCs w:val="24"/>
                <w:lang w:val="en-US"/>
              </w:rPr>
              <w:t>Pre-Group</w:t>
            </w:r>
          </w:p>
        </w:tc>
        <w:tc>
          <w:tcPr>
            <w:tcW w:w="1900" w:type="dxa"/>
            <w:gridSpan w:val="2"/>
            <w:tcBorders>
              <w:top w:val="single" w:sz="4" w:space="0" w:color="auto"/>
              <w:bottom w:val="single" w:sz="4" w:space="0" w:color="auto"/>
            </w:tcBorders>
          </w:tcPr>
          <w:p w14:paraId="4102C738" w14:textId="77777777" w:rsidR="00113944" w:rsidRPr="005847A9" w:rsidRDefault="00113944" w:rsidP="005847A9">
            <w:pPr>
              <w:autoSpaceDE w:val="0"/>
              <w:autoSpaceDN w:val="0"/>
              <w:adjustRightInd w:val="0"/>
              <w:spacing w:after="0" w:line="360" w:lineRule="auto"/>
              <w:ind w:left="60" w:right="60"/>
              <w:jc w:val="center"/>
              <w:rPr>
                <w:rFonts w:ascii="Arial" w:hAnsi="Arial" w:cs="Arial"/>
                <w:bCs/>
                <w:sz w:val="24"/>
                <w:szCs w:val="24"/>
                <w:lang w:val="en-US"/>
              </w:rPr>
            </w:pPr>
            <w:r w:rsidRPr="005847A9">
              <w:rPr>
                <w:rFonts w:ascii="Arial" w:hAnsi="Arial" w:cs="Arial"/>
                <w:bCs/>
                <w:sz w:val="24"/>
                <w:szCs w:val="24"/>
                <w:lang w:val="en-US"/>
              </w:rPr>
              <w:t>Post-Group</w:t>
            </w:r>
          </w:p>
        </w:tc>
        <w:tc>
          <w:tcPr>
            <w:tcW w:w="1001" w:type="dxa"/>
            <w:tcBorders>
              <w:top w:val="single" w:sz="4" w:space="0" w:color="auto"/>
              <w:bottom w:val="single" w:sz="4" w:space="0" w:color="auto"/>
            </w:tcBorders>
          </w:tcPr>
          <w:p w14:paraId="22A18630" w14:textId="77777777" w:rsidR="00113944" w:rsidRPr="005847A9" w:rsidRDefault="00113944" w:rsidP="005847A9">
            <w:pPr>
              <w:autoSpaceDE w:val="0"/>
              <w:autoSpaceDN w:val="0"/>
              <w:adjustRightInd w:val="0"/>
              <w:spacing w:after="0" w:line="360" w:lineRule="auto"/>
              <w:ind w:left="60" w:right="60"/>
              <w:jc w:val="center"/>
              <w:rPr>
                <w:rFonts w:ascii="Arial" w:hAnsi="Arial" w:cs="Arial"/>
                <w:bCs/>
                <w:i/>
                <w:iCs/>
                <w:sz w:val="24"/>
                <w:szCs w:val="24"/>
                <w:lang w:val="en-US"/>
              </w:rPr>
            </w:pPr>
            <w:r w:rsidRPr="005847A9">
              <w:rPr>
                <w:rFonts w:ascii="Arial" w:hAnsi="Arial" w:cs="Arial"/>
                <w:bCs/>
                <w:i/>
                <w:iCs/>
                <w:sz w:val="24"/>
                <w:szCs w:val="24"/>
                <w:lang w:val="en-US"/>
              </w:rPr>
              <w:t>F</w:t>
            </w:r>
          </w:p>
        </w:tc>
        <w:tc>
          <w:tcPr>
            <w:tcW w:w="941" w:type="dxa"/>
            <w:tcBorders>
              <w:top w:val="single" w:sz="4" w:space="0" w:color="auto"/>
              <w:bottom w:val="single" w:sz="4" w:space="0" w:color="auto"/>
            </w:tcBorders>
          </w:tcPr>
          <w:p w14:paraId="29A5A6EC" w14:textId="77777777" w:rsidR="00113944" w:rsidRPr="005847A9" w:rsidRDefault="00912DB8" w:rsidP="005847A9">
            <w:pPr>
              <w:autoSpaceDE w:val="0"/>
              <w:autoSpaceDN w:val="0"/>
              <w:adjustRightInd w:val="0"/>
              <w:spacing w:after="0" w:line="360" w:lineRule="auto"/>
              <w:ind w:left="60" w:right="60"/>
              <w:jc w:val="center"/>
              <w:rPr>
                <w:rFonts w:ascii="Arial" w:hAnsi="Arial" w:cs="Arial"/>
                <w:bCs/>
                <w:i/>
                <w:iCs/>
                <w:sz w:val="24"/>
                <w:szCs w:val="24"/>
                <w:lang w:val="en-US"/>
              </w:rPr>
            </w:pPr>
            <w:r w:rsidRPr="005847A9">
              <w:rPr>
                <w:rFonts w:ascii="Arial" w:hAnsi="Arial" w:cs="Arial"/>
                <w:bCs/>
                <w:i/>
                <w:iCs/>
                <w:sz w:val="24"/>
                <w:szCs w:val="24"/>
              </w:rPr>
              <w:t>(</w:t>
            </w:r>
            <w:bookmarkStart w:id="5" w:name="_Hlk50091960"/>
            <w:r w:rsidRPr="005847A9">
              <w:rPr>
                <w:rFonts w:ascii="Arial" w:hAnsi="Arial" w:cs="Arial"/>
                <w:bCs/>
                <w:i/>
                <w:iCs/>
                <w:sz w:val="24"/>
                <w:szCs w:val="24"/>
              </w:rPr>
              <w:t>η</w:t>
            </w:r>
            <w:r w:rsidRPr="005847A9">
              <w:rPr>
                <w:rFonts w:ascii="Arial" w:hAnsi="Arial" w:cs="Arial"/>
                <w:bCs/>
                <w:i/>
                <w:iCs/>
                <w:sz w:val="24"/>
                <w:szCs w:val="24"/>
                <w:vertAlign w:val="subscript"/>
              </w:rPr>
              <w:t>p</w:t>
            </w:r>
            <w:r w:rsidRPr="005847A9">
              <w:rPr>
                <w:rFonts w:ascii="Arial" w:hAnsi="Arial" w:cs="Arial"/>
                <w:bCs/>
                <w:i/>
                <w:iCs/>
                <w:sz w:val="24"/>
                <w:szCs w:val="24"/>
                <w:vertAlign w:val="superscript"/>
              </w:rPr>
              <w:t>2</w:t>
            </w:r>
            <w:bookmarkEnd w:id="5"/>
            <w:r w:rsidRPr="005847A9">
              <w:rPr>
                <w:rFonts w:ascii="Arial" w:hAnsi="Arial" w:cs="Arial"/>
                <w:bCs/>
                <w:i/>
                <w:iCs/>
                <w:sz w:val="24"/>
                <w:szCs w:val="24"/>
              </w:rPr>
              <w:t>)</w:t>
            </w:r>
          </w:p>
        </w:tc>
      </w:tr>
      <w:tr w:rsidR="00113944" w:rsidRPr="005847A9" w14:paraId="70B3F710" w14:textId="77777777" w:rsidTr="00113944">
        <w:trPr>
          <w:cantSplit/>
        </w:trPr>
        <w:tc>
          <w:tcPr>
            <w:tcW w:w="2178" w:type="dxa"/>
            <w:tcBorders>
              <w:bottom w:val="single" w:sz="4" w:space="0" w:color="auto"/>
            </w:tcBorders>
          </w:tcPr>
          <w:p w14:paraId="78521968" w14:textId="77777777" w:rsidR="00113944" w:rsidRPr="005847A9" w:rsidRDefault="00113944" w:rsidP="005847A9">
            <w:pPr>
              <w:autoSpaceDE w:val="0"/>
              <w:autoSpaceDN w:val="0"/>
              <w:adjustRightInd w:val="0"/>
              <w:spacing w:after="0" w:line="360" w:lineRule="auto"/>
              <w:jc w:val="center"/>
              <w:rPr>
                <w:rFonts w:ascii="Arial" w:hAnsi="Arial" w:cs="Arial"/>
                <w:sz w:val="24"/>
                <w:szCs w:val="24"/>
                <w:lang w:val="en-US"/>
              </w:rPr>
            </w:pPr>
          </w:p>
        </w:tc>
        <w:tc>
          <w:tcPr>
            <w:tcW w:w="863" w:type="dxa"/>
            <w:tcBorders>
              <w:bottom w:val="single" w:sz="4" w:space="0" w:color="auto"/>
            </w:tcBorders>
            <w:shd w:val="clear" w:color="auto" w:fill="auto"/>
            <w:vAlign w:val="bottom"/>
          </w:tcPr>
          <w:p w14:paraId="00A59050" w14:textId="77777777" w:rsidR="00113944" w:rsidRPr="005847A9" w:rsidRDefault="00113944" w:rsidP="005847A9">
            <w:pPr>
              <w:autoSpaceDE w:val="0"/>
              <w:autoSpaceDN w:val="0"/>
              <w:adjustRightInd w:val="0"/>
              <w:spacing w:after="0" w:line="360" w:lineRule="auto"/>
              <w:jc w:val="center"/>
              <w:rPr>
                <w:rFonts w:ascii="Arial" w:hAnsi="Arial" w:cs="Arial"/>
                <w:sz w:val="24"/>
                <w:szCs w:val="24"/>
                <w:lang w:val="en-US"/>
              </w:rPr>
            </w:pPr>
            <w:r w:rsidRPr="005847A9">
              <w:rPr>
                <w:rFonts w:ascii="Arial" w:hAnsi="Arial" w:cs="Arial"/>
                <w:sz w:val="24"/>
                <w:szCs w:val="24"/>
                <w:lang w:val="en-US"/>
              </w:rPr>
              <w:t>N</w:t>
            </w:r>
          </w:p>
        </w:tc>
        <w:tc>
          <w:tcPr>
            <w:tcW w:w="987" w:type="dxa"/>
            <w:tcBorders>
              <w:top w:val="single" w:sz="4" w:space="0" w:color="auto"/>
              <w:bottom w:val="single" w:sz="4" w:space="0" w:color="auto"/>
            </w:tcBorders>
            <w:shd w:val="clear" w:color="auto" w:fill="auto"/>
            <w:vAlign w:val="bottom"/>
          </w:tcPr>
          <w:p w14:paraId="6A9E0555" w14:textId="77777777" w:rsidR="00113944" w:rsidRPr="005847A9" w:rsidRDefault="00113944" w:rsidP="005847A9">
            <w:pPr>
              <w:autoSpaceDE w:val="0"/>
              <w:autoSpaceDN w:val="0"/>
              <w:adjustRightInd w:val="0"/>
              <w:spacing w:after="0" w:line="360" w:lineRule="auto"/>
              <w:ind w:left="60" w:right="60"/>
              <w:jc w:val="center"/>
              <w:rPr>
                <w:rFonts w:ascii="Arial" w:hAnsi="Arial" w:cs="Arial"/>
                <w:bCs/>
                <w:sz w:val="24"/>
                <w:szCs w:val="24"/>
                <w:lang w:val="en-US"/>
              </w:rPr>
            </w:pPr>
            <w:r w:rsidRPr="005847A9">
              <w:rPr>
                <w:rFonts w:ascii="Arial" w:hAnsi="Arial" w:cs="Arial"/>
                <w:bCs/>
                <w:sz w:val="24"/>
                <w:szCs w:val="24"/>
                <w:lang w:val="en-US"/>
              </w:rPr>
              <w:t>Mean</w:t>
            </w:r>
          </w:p>
        </w:tc>
        <w:tc>
          <w:tcPr>
            <w:tcW w:w="1019" w:type="dxa"/>
            <w:tcBorders>
              <w:top w:val="single" w:sz="4" w:space="0" w:color="auto"/>
              <w:bottom w:val="single" w:sz="4" w:space="0" w:color="auto"/>
            </w:tcBorders>
            <w:shd w:val="clear" w:color="auto" w:fill="auto"/>
            <w:vAlign w:val="bottom"/>
          </w:tcPr>
          <w:p w14:paraId="4B3F7787" w14:textId="77777777" w:rsidR="00113944" w:rsidRPr="005847A9" w:rsidRDefault="00113944" w:rsidP="005847A9">
            <w:pPr>
              <w:autoSpaceDE w:val="0"/>
              <w:autoSpaceDN w:val="0"/>
              <w:adjustRightInd w:val="0"/>
              <w:spacing w:after="0" w:line="360" w:lineRule="auto"/>
              <w:ind w:left="60" w:right="60"/>
              <w:jc w:val="center"/>
              <w:rPr>
                <w:rFonts w:ascii="Arial" w:hAnsi="Arial" w:cs="Arial"/>
                <w:bCs/>
                <w:sz w:val="24"/>
                <w:szCs w:val="24"/>
                <w:lang w:val="en-US"/>
              </w:rPr>
            </w:pPr>
            <w:r w:rsidRPr="005847A9">
              <w:rPr>
                <w:rFonts w:ascii="Arial" w:hAnsi="Arial" w:cs="Arial"/>
                <w:bCs/>
                <w:sz w:val="24"/>
                <w:szCs w:val="24"/>
                <w:lang w:val="en-US"/>
              </w:rPr>
              <w:t>SD</w:t>
            </w:r>
          </w:p>
        </w:tc>
        <w:tc>
          <w:tcPr>
            <w:tcW w:w="952" w:type="dxa"/>
            <w:tcBorders>
              <w:bottom w:val="single" w:sz="4" w:space="0" w:color="auto"/>
            </w:tcBorders>
            <w:vAlign w:val="bottom"/>
          </w:tcPr>
          <w:p w14:paraId="5CD95FB1" w14:textId="77777777" w:rsidR="00113944" w:rsidRPr="005847A9" w:rsidRDefault="00113944" w:rsidP="005847A9">
            <w:pPr>
              <w:autoSpaceDE w:val="0"/>
              <w:autoSpaceDN w:val="0"/>
              <w:adjustRightInd w:val="0"/>
              <w:spacing w:after="0" w:line="360" w:lineRule="auto"/>
              <w:ind w:left="60" w:right="60"/>
              <w:jc w:val="center"/>
              <w:rPr>
                <w:rFonts w:ascii="Arial" w:hAnsi="Arial" w:cs="Arial"/>
                <w:bCs/>
                <w:sz w:val="24"/>
                <w:szCs w:val="24"/>
                <w:lang w:val="en-US"/>
              </w:rPr>
            </w:pPr>
            <w:r w:rsidRPr="005847A9">
              <w:rPr>
                <w:rFonts w:ascii="Arial" w:hAnsi="Arial" w:cs="Arial"/>
                <w:bCs/>
                <w:sz w:val="24"/>
                <w:szCs w:val="24"/>
                <w:lang w:val="en-US"/>
              </w:rPr>
              <w:t>Mean</w:t>
            </w:r>
          </w:p>
        </w:tc>
        <w:tc>
          <w:tcPr>
            <w:tcW w:w="948" w:type="dxa"/>
            <w:tcBorders>
              <w:bottom w:val="single" w:sz="4" w:space="0" w:color="auto"/>
            </w:tcBorders>
            <w:vAlign w:val="bottom"/>
          </w:tcPr>
          <w:p w14:paraId="1A38E77D" w14:textId="77777777" w:rsidR="00113944" w:rsidRPr="005847A9" w:rsidRDefault="00113944" w:rsidP="005847A9">
            <w:pPr>
              <w:autoSpaceDE w:val="0"/>
              <w:autoSpaceDN w:val="0"/>
              <w:adjustRightInd w:val="0"/>
              <w:spacing w:after="0" w:line="360" w:lineRule="auto"/>
              <w:ind w:left="60" w:right="60"/>
              <w:jc w:val="center"/>
              <w:rPr>
                <w:rFonts w:ascii="Arial" w:hAnsi="Arial" w:cs="Arial"/>
                <w:bCs/>
                <w:sz w:val="24"/>
                <w:szCs w:val="24"/>
                <w:lang w:val="en-US"/>
              </w:rPr>
            </w:pPr>
            <w:r w:rsidRPr="005847A9">
              <w:rPr>
                <w:rFonts w:ascii="Arial" w:hAnsi="Arial" w:cs="Arial"/>
                <w:bCs/>
                <w:sz w:val="24"/>
                <w:szCs w:val="24"/>
                <w:lang w:val="en-US"/>
              </w:rPr>
              <w:t>SD</w:t>
            </w:r>
          </w:p>
        </w:tc>
        <w:tc>
          <w:tcPr>
            <w:tcW w:w="1001" w:type="dxa"/>
            <w:tcBorders>
              <w:bottom w:val="single" w:sz="4" w:space="0" w:color="auto"/>
            </w:tcBorders>
          </w:tcPr>
          <w:p w14:paraId="14156641" w14:textId="77777777" w:rsidR="00113944" w:rsidRPr="005847A9" w:rsidRDefault="00113944" w:rsidP="005847A9">
            <w:pPr>
              <w:autoSpaceDE w:val="0"/>
              <w:autoSpaceDN w:val="0"/>
              <w:adjustRightInd w:val="0"/>
              <w:spacing w:after="0" w:line="360" w:lineRule="auto"/>
              <w:ind w:left="60" w:right="60"/>
              <w:jc w:val="center"/>
              <w:rPr>
                <w:rFonts w:ascii="Arial" w:hAnsi="Arial" w:cs="Arial"/>
                <w:bCs/>
                <w:sz w:val="24"/>
                <w:szCs w:val="24"/>
                <w:lang w:val="en-US"/>
              </w:rPr>
            </w:pPr>
          </w:p>
        </w:tc>
        <w:tc>
          <w:tcPr>
            <w:tcW w:w="941" w:type="dxa"/>
            <w:tcBorders>
              <w:bottom w:val="single" w:sz="4" w:space="0" w:color="auto"/>
            </w:tcBorders>
          </w:tcPr>
          <w:p w14:paraId="140075CD" w14:textId="77777777" w:rsidR="00113944" w:rsidRPr="005847A9" w:rsidRDefault="00113944" w:rsidP="005847A9">
            <w:pPr>
              <w:autoSpaceDE w:val="0"/>
              <w:autoSpaceDN w:val="0"/>
              <w:adjustRightInd w:val="0"/>
              <w:spacing w:after="0" w:line="360" w:lineRule="auto"/>
              <w:ind w:left="60" w:right="60"/>
              <w:jc w:val="center"/>
              <w:rPr>
                <w:rFonts w:ascii="Arial" w:hAnsi="Arial" w:cs="Arial"/>
                <w:bCs/>
                <w:sz w:val="24"/>
                <w:szCs w:val="24"/>
                <w:lang w:val="en-US"/>
              </w:rPr>
            </w:pPr>
          </w:p>
        </w:tc>
      </w:tr>
      <w:tr w:rsidR="00113944" w:rsidRPr="005847A9" w14:paraId="3E52D06F" w14:textId="77777777" w:rsidTr="00113944">
        <w:trPr>
          <w:cantSplit/>
        </w:trPr>
        <w:tc>
          <w:tcPr>
            <w:tcW w:w="2178" w:type="dxa"/>
            <w:tcBorders>
              <w:top w:val="single" w:sz="4" w:space="0" w:color="auto"/>
            </w:tcBorders>
          </w:tcPr>
          <w:p w14:paraId="431A067E" w14:textId="77777777" w:rsidR="00113944" w:rsidRPr="005847A9" w:rsidRDefault="00113944" w:rsidP="005847A9">
            <w:pPr>
              <w:autoSpaceDE w:val="0"/>
              <w:autoSpaceDN w:val="0"/>
              <w:adjustRightInd w:val="0"/>
              <w:spacing w:after="0" w:line="360" w:lineRule="auto"/>
              <w:ind w:left="60" w:right="60"/>
              <w:rPr>
                <w:rFonts w:ascii="Arial" w:hAnsi="Arial" w:cs="Arial"/>
                <w:sz w:val="24"/>
                <w:szCs w:val="24"/>
                <w:lang w:val="en-US"/>
              </w:rPr>
            </w:pPr>
            <w:r w:rsidRPr="005847A9">
              <w:rPr>
                <w:rFonts w:ascii="Arial" w:hAnsi="Arial" w:cs="Arial"/>
                <w:bCs/>
                <w:sz w:val="24"/>
                <w:szCs w:val="24"/>
                <w:lang w:val="en-US"/>
              </w:rPr>
              <w:t>PHQ-9</w:t>
            </w:r>
          </w:p>
        </w:tc>
        <w:tc>
          <w:tcPr>
            <w:tcW w:w="863" w:type="dxa"/>
            <w:tcBorders>
              <w:top w:val="single" w:sz="4" w:space="0" w:color="auto"/>
            </w:tcBorders>
            <w:shd w:val="clear" w:color="auto" w:fill="auto"/>
          </w:tcPr>
          <w:p w14:paraId="5877D5FB"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38</w:t>
            </w:r>
          </w:p>
        </w:tc>
        <w:tc>
          <w:tcPr>
            <w:tcW w:w="987" w:type="dxa"/>
            <w:tcBorders>
              <w:top w:val="single" w:sz="4" w:space="0" w:color="auto"/>
            </w:tcBorders>
            <w:shd w:val="clear" w:color="auto" w:fill="auto"/>
          </w:tcPr>
          <w:p w14:paraId="0858DF98"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20.08</w:t>
            </w:r>
          </w:p>
        </w:tc>
        <w:tc>
          <w:tcPr>
            <w:tcW w:w="1019" w:type="dxa"/>
            <w:tcBorders>
              <w:top w:val="single" w:sz="4" w:space="0" w:color="auto"/>
            </w:tcBorders>
            <w:shd w:val="clear" w:color="auto" w:fill="auto"/>
          </w:tcPr>
          <w:p w14:paraId="548682CA"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4.901</w:t>
            </w:r>
          </w:p>
        </w:tc>
        <w:tc>
          <w:tcPr>
            <w:tcW w:w="952" w:type="dxa"/>
            <w:tcBorders>
              <w:top w:val="single" w:sz="4" w:space="0" w:color="auto"/>
            </w:tcBorders>
          </w:tcPr>
          <w:p w14:paraId="47545E8B"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17.08</w:t>
            </w:r>
          </w:p>
        </w:tc>
        <w:tc>
          <w:tcPr>
            <w:tcW w:w="948" w:type="dxa"/>
            <w:tcBorders>
              <w:top w:val="single" w:sz="4" w:space="0" w:color="auto"/>
            </w:tcBorders>
          </w:tcPr>
          <w:p w14:paraId="0ABBC833"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5.221</w:t>
            </w:r>
          </w:p>
        </w:tc>
        <w:tc>
          <w:tcPr>
            <w:tcW w:w="1001" w:type="dxa"/>
            <w:tcBorders>
              <w:top w:val="single" w:sz="4" w:space="0" w:color="auto"/>
            </w:tcBorders>
          </w:tcPr>
          <w:p w14:paraId="60FC0DDD"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13.12***</w:t>
            </w:r>
          </w:p>
        </w:tc>
        <w:tc>
          <w:tcPr>
            <w:tcW w:w="941" w:type="dxa"/>
            <w:tcBorders>
              <w:top w:val="single" w:sz="4" w:space="0" w:color="auto"/>
            </w:tcBorders>
          </w:tcPr>
          <w:p w14:paraId="40ACC01C"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.26</w:t>
            </w:r>
          </w:p>
        </w:tc>
      </w:tr>
      <w:tr w:rsidR="00113944" w:rsidRPr="005847A9" w14:paraId="7AB6DA30" w14:textId="77777777" w:rsidTr="00113944">
        <w:trPr>
          <w:cantSplit/>
        </w:trPr>
        <w:tc>
          <w:tcPr>
            <w:tcW w:w="2178" w:type="dxa"/>
          </w:tcPr>
          <w:p w14:paraId="0A12F923" w14:textId="77777777" w:rsidR="00113944" w:rsidRPr="005847A9" w:rsidRDefault="00113944" w:rsidP="005847A9">
            <w:pPr>
              <w:autoSpaceDE w:val="0"/>
              <w:autoSpaceDN w:val="0"/>
              <w:adjustRightInd w:val="0"/>
              <w:spacing w:after="0" w:line="360" w:lineRule="auto"/>
              <w:ind w:left="60" w:right="60"/>
              <w:rPr>
                <w:rFonts w:ascii="Arial" w:hAnsi="Arial" w:cs="Arial"/>
                <w:sz w:val="24"/>
                <w:szCs w:val="24"/>
                <w:lang w:val="en-US"/>
              </w:rPr>
            </w:pPr>
            <w:r w:rsidRPr="005847A9">
              <w:rPr>
                <w:rFonts w:ascii="Arial" w:hAnsi="Arial" w:cs="Arial"/>
                <w:bCs/>
                <w:sz w:val="24"/>
                <w:szCs w:val="24"/>
                <w:lang w:val="en-US"/>
              </w:rPr>
              <w:t>GAD-7</w:t>
            </w:r>
          </w:p>
        </w:tc>
        <w:tc>
          <w:tcPr>
            <w:tcW w:w="863" w:type="dxa"/>
            <w:shd w:val="clear" w:color="auto" w:fill="auto"/>
          </w:tcPr>
          <w:p w14:paraId="14EC59C8"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38</w:t>
            </w:r>
          </w:p>
        </w:tc>
        <w:tc>
          <w:tcPr>
            <w:tcW w:w="987" w:type="dxa"/>
            <w:shd w:val="clear" w:color="auto" w:fill="auto"/>
          </w:tcPr>
          <w:p w14:paraId="4A3D0B9F"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17.32</w:t>
            </w:r>
          </w:p>
        </w:tc>
        <w:tc>
          <w:tcPr>
            <w:tcW w:w="1019" w:type="dxa"/>
            <w:shd w:val="clear" w:color="auto" w:fill="auto"/>
          </w:tcPr>
          <w:p w14:paraId="22F3B4EB"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3.222</w:t>
            </w:r>
          </w:p>
        </w:tc>
        <w:tc>
          <w:tcPr>
            <w:tcW w:w="952" w:type="dxa"/>
          </w:tcPr>
          <w:p w14:paraId="7A707342"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14.68</w:t>
            </w:r>
          </w:p>
        </w:tc>
        <w:tc>
          <w:tcPr>
            <w:tcW w:w="948" w:type="dxa"/>
          </w:tcPr>
          <w:p w14:paraId="4702ADA7"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4.094</w:t>
            </w:r>
          </w:p>
        </w:tc>
        <w:tc>
          <w:tcPr>
            <w:tcW w:w="1001" w:type="dxa"/>
          </w:tcPr>
          <w:p w14:paraId="4CCCB11D"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23.70***</w:t>
            </w:r>
          </w:p>
        </w:tc>
        <w:tc>
          <w:tcPr>
            <w:tcW w:w="941" w:type="dxa"/>
          </w:tcPr>
          <w:p w14:paraId="63B39062"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.39</w:t>
            </w:r>
          </w:p>
        </w:tc>
      </w:tr>
      <w:tr w:rsidR="00113944" w:rsidRPr="005847A9" w14:paraId="377F1B6B" w14:textId="77777777" w:rsidTr="00113944">
        <w:trPr>
          <w:cantSplit/>
        </w:trPr>
        <w:tc>
          <w:tcPr>
            <w:tcW w:w="2178" w:type="dxa"/>
          </w:tcPr>
          <w:p w14:paraId="53DD546E" w14:textId="77777777" w:rsidR="00113944" w:rsidRPr="005847A9" w:rsidRDefault="00113944" w:rsidP="005847A9">
            <w:pPr>
              <w:autoSpaceDE w:val="0"/>
              <w:autoSpaceDN w:val="0"/>
              <w:adjustRightInd w:val="0"/>
              <w:spacing w:after="0" w:line="360" w:lineRule="auto"/>
              <w:ind w:left="60" w:right="60"/>
              <w:rPr>
                <w:rFonts w:ascii="Arial" w:hAnsi="Arial" w:cs="Arial"/>
                <w:sz w:val="24"/>
                <w:szCs w:val="24"/>
                <w:lang w:val="en-US"/>
              </w:rPr>
            </w:pPr>
            <w:r w:rsidRPr="005847A9">
              <w:rPr>
                <w:rFonts w:ascii="Arial" w:hAnsi="Arial" w:cs="Arial"/>
                <w:bCs/>
                <w:sz w:val="24"/>
                <w:szCs w:val="24"/>
                <w:lang w:val="en-US"/>
              </w:rPr>
              <w:t>IES</w:t>
            </w:r>
          </w:p>
        </w:tc>
        <w:tc>
          <w:tcPr>
            <w:tcW w:w="863" w:type="dxa"/>
            <w:shd w:val="clear" w:color="auto" w:fill="auto"/>
          </w:tcPr>
          <w:p w14:paraId="6CFCD680"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22</w:t>
            </w:r>
          </w:p>
        </w:tc>
        <w:tc>
          <w:tcPr>
            <w:tcW w:w="987" w:type="dxa"/>
            <w:shd w:val="clear" w:color="auto" w:fill="auto"/>
          </w:tcPr>
          <w:p w14:paraId="3ABDE4D6"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66.59</w:t>
            </w:r>
          </w:p>
        </w:tc>
        <w:tc>
          <w:tcPr>
            <w:tcW w:w="1019" w:type="dxa"/>
            <w:shd w:val="clear" w:color="auto" w:fill="auto"/>
          </w:tcPr>
          <w:p w14:paraId="2200B4CB"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12.901</w:t>
            </w:r>
          </w:p>
        </w:tc>
        <w:tc>
          <w:tcPr>
            <w:tcW w:w="952" w:type="dxa"/>
          </w:tcPr>
          <w:p w14:paraId="10249B6D"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58.64</w:t>
            </w:r>
          </w:p>
        </w:tc>
        <w:tc>
          <w:tcPr>
            <w:tcW w:w="948" w:type="dxa"/>
          </w:tcPr>
          <w:p w14:paraId="676B699B"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9.074</w:t>
            </w:r>
          </w:p>
        </w:tc>
        <w:tc>
          <w:tcPr>
            <w:tcW w:w="1001" w:type="dxa"/>
          </w:tcPr>
          <w:p w14:paraId="1EBF4450"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13.60***</w:t>
            </w:r>
          </w:p>
        </w:tc>
        <w:tc>
          <w:tcPr>
            <w:tcW w:w="941" w:type="dxa"/>
          </w:tcPr>
          <w:p w14:paraId="2AAC8535"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.39</w:t>
            </w:r>
          </w:p>
        </w:tc>
      </w:tr>
      <w:tr w:rsidR="00113944" w:rsidRPr="005847A9" w14:paraId="1C2B1C1E" w14:textId="77777777" w:rsidTr="00113944">
        <w:trPr>
          <w:cantSplit/>
        </w:trPr>
        <w:tc>
          <w:tcPr>
            <w:tcW w:w="2178" w:type="dxa"/>
          </w:tcPr>
          <w:p w14:paraId="224BB78F" w14:textId="77777777" w:rsidR="00113944" w:rsidRPr="005847A9" w:rsidRDefault="00113944" w:rsidP="005847A9">
            <w:pPr>
              <w:autoSpaceDE w:val="0"/>
              <w:autoSpaceDN w:val="0"/>
              <w:adjustRightInd w:val="0"/>
              <w:spacing w:after="0" w:line="360" w:lineRule="auto"/>
              <w:ind w:left="60" w:right="60"/>
              <w:rPr>
                <w:rFonts w:ascii="Arial" w:hAnsi="Arial" w:cs="Arial"/>
                <w:bCs/>
                <w:sz w:val="24"/>
                <w:szCs w:val="24"/>
                <w:lang w:val="en-US"/>
              </w:rPr>
            </w:pPr>
            <w:r w:rsidRPr="005847A9">
              <w:rPr>
                <w:rFonts w:ascii="Arial" w:hAnsi="Arial" w:cs="Arial"/>
                <w:bCs/>
                <w:sz w:val="24"/>
                <w:szCs w:val="24"/>
                <w:lang w:val="en-US"/>
              </w:rPr>
              <w:t>Idiographic Scales</w:t>
            </w:r>
          </w:p>
        </w:tc>
        <w:tc>
          <w:tcPr>
            <w:tcW w:w="863" w:type="dxa"/>
            <w:shd w:val="clear" w:color="auto" w:fill="auto"/>
          </w:tcPr>
          <w:p w14:paraId="4DCD9AB3"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p>
        </w:tc>
        <w:tc>
          <w:tcPr>
            <w:tcW w:w="987" w:type="dxa"/>
            <w:shd w:val="clear" w:color="auto" w:fill="auto"/>
          </w:tcPr>
          <w:p w14:paraId="63B4B63E"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p>
        </w:tc>
        <w:tc>
          <w:tcPr>
            <w:tcW w:w="1019" w:type="dxa"/>
            <w:shd w:val="clear" w:color="auto" w:fill="auto"/>
          </w:tcPr>
          <w:p w14:paraId="26C053F9"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p>
        </w:tc>
        <w:tc>
          <w:tcPr>
            <w:tcW w:w="952" w:type="dxa"/>
          </w:tcPr>
          <w:p w14:paraId="3B623D11"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p>
        </w:tc>
        <w:tc>
          <w:tcPr>
            <w:tcW w:w="948" w:type="dxa"/>
          </w:tcPr>
          <w:p w14:paraId="42CD8533"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p>
        </w:tc>
        <w:tc>
          <w:tcPr>
            <w:tcW w:w="1001" w:type="dxa"/>
          </w:tcPr>
          <w:p w14:paraId="617BCF11"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p>
        </w:tc>
        <w:tc>
          <w:tcPr>
            <w:tcW w:w="941" w:type="dxa"/>
          </w:tcPr>
          <w:p w14:paraId="65C39B56"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p>
        </w:tc>
      </w:tr>
      <w:tr w:rsidR="00113944" w:rsidRPr="005847A9" w14:paraId="58EAAEF3" w14:textId="77777777" w:rsidTr="00113944">
        <w:trPr>
          <w:cantSplit/>
        </w:trPr>
        <w:tc>
          <w:tcPr>
            <w:tcW w:w="2178" w:type="dxa"/>
          </w:tcPr>
          <w:p w14:paraId="3CE277A0" w14:textId="77777777" w:rsidR="00113944" w:rsidRPr="005847A9" w:rsidRDefault="00113944" w:rsidP="005847A9">
            <w:pPr>
              <w:autoSpaceDE w:val="0"/>
              <w:autoSpaceDN w:val="0"/>
              <w:adjustRightInd w:val="0"/>
              <w:spacing w:after="0" w:line="360" w:lineRule="auto"/>
              <w:ind w:left="60" w:right="60"/>
              <w:rPr>
                <w:rFonts w:ascii="Arial" w:hAnsi="Arial" w:cs="Arial"/>
                <w:sz w:val="24"/>
                <w:szCs w:val="24"/>
                <w:lang w:val="en-US"/>
              </w:rPr>
            </w:pPr>
            <w:r w:rsidRPr="005847A9">
              <w:rPr>
                <w:rFonts w:ascii="Arial" w:hAnsi="Arial" w:cs="Arial"/>
                <w:bCs/>
                <w:sz w:val="24"/>
                <w:szCs w:val="24"/>
                <w:lang w:val="en-US"/>
              </w:rPr>
              <w:t xml:space="preserve"> 1. Connection</w:t>
            </w:r>
          </w:p>
        </w:tc>
        <w:tc>
          <w:tcPr>
            <w:tcW w:w="863" w:type="dxa"/>
            <w:shd w:val="clear" w:color="auto" w:fill="auto"/>
          </w:tcPr>
          <w:p w14:paraId="57140EF7"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42</w:t>
            </w:r>
          </w:p>
        </w:tc>
        <w:tc>
          <w:tcPr>
            <w:tcW w:w="987" w:type="dxa"/>
            <w:shd w:val="clear" w:color="auto" w:fill="auto"/>
          </w:tcPr>
          <w:p w14:paraId="378EEB67"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2.67</w:t>
            </w:r>
          </w:p>
        </w:tc>
        <w:tc>
          <w:tcPr>
            <w:tcW w:w="1019" w:type="dxa"/>
            <w:shd w:val="clear" w:color="auto" w:fill="auto"/>
          </w:tcPr>
          <w:p w14:paraId="00E9A7D0"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1.692</w:t>
            </w:r>
          </w:p>
        </w:tc>
        <w:tc>
          <w:tcPr>
            <w:tcW w:w="952" w:type="dxa"/>
          </w:tcPr>
          <w:p w14:paraId="1ED77E6D"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4.36</w:t>
            </w:r>
          </w:p>
        </w:tc>
        <w:tc>
          <w:tcPr>
            <w:tcW w:w="948" w:type="dxa"/>
          </w:tcPr>
          <w:p w14:paraId="4C19E75A"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1.936</w:t>
            </w:r>
          </w:p>
        </w:tc>
        <w:tc>
          <w:tcPr>
            <w:tcW w:w="1001" w:type="dxa"/>
          </w:tcPr>
          <w:p w14:paraId="18CD3F2D"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30.57***</w:t>
            </w:r>
          </w:p>
        </w:tc>
        <w:tc>
          <w:tcPr>
            <w:tcW w:w="941" w:type="dxa"/>
          </w:tcPr>
          <w:p w14:paraId="14FD6A7B"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.43</w:t>
            </w:r>
          </w:p>
        </w:tc>
      </w:tr>
      <w:tr w:rsidR="00113944" w:rsidRPr="005847A9" w14:paraId="69EFB085" w14:textId="77777777" w:rsidTr="00113944">
        <w:trPr>
          <w:cantSplit/>
        </w:trPr>
        <w:tc>
          <w:tcPr>
            <w:tcW w:w="2178" w:type="dxa"/>
          </w:tcPr>
          <w:p w14:paraId="3E4677F2" w14:textId="77777777" w:rsidR="00113944" w:rsidRPr="005847A9" w:rsidRDefault="00113944" w:rsidP="005847A9">
            <w:pPr>
              <w:autoSpaceDE w:val="0"/>
              <w:autoSpaceDN w:val="0"/>
              <w:adjustRightInd w:val="0"/>
              <w:spacing w:after="0" w:line="360" w:lineRule="auto"/>
              <w:ind w:left="60" w:right="60"/>
              <w:rPr>
                <w:rFonts w:ascii="Arial" w:hAnsi="Arial" w:cs="Arial"/>
                <w:sz w:val="24"/>
                <w:szCs w:val="24"/>
                <w:lang w:val="en-US"/>
              </w:rPr>
            </w:pPr>
            <w:r w:rsidRPr="005847A9">
              <w:rPr>
                <w:rFonts w:ascii="Arial" w:hAnsi="Arial" w:cs="Arial"/>
                <w:bCs/>
                <w:sz w:val="24"/>
                <w:szCs w:val="24"/>
                <w:lang w:val="en-US"/>
              </w:rPr>
              <w:t xml:space="preserve"> 2. Integration</w:t>
            </w:r>
          </w:p>
        </w:tc>
        <w:tc>
          <w:tcPr>
            <w:tcW w:w="863" w:type="dxa"/>
            <w:shd w:val="clear" w:color="auto" w:fill="auto"/>
          </w:tcPr>
          <w:p w14:paraId="30744652"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42</w:t>
            </w:r>
          </w:p>
        </w:tc>
        <w:tc>
          <w:tcPr>
            <w:tcW w:w="987" w:type="dxa"/>
            <w:shd w:val="clear" w:color="auto" w:fill="auto"/>
          </w:tcPr>
          <w:p w14:paraId="77BA9599"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2.81</w:t>
            </w:r>
          </w:p>
        </w:tc>
        <w:tc>
          <w:tcPr>
            <w:tcW w:w="1019" w:type="dxa"/>
            <w:shd w:val="clear" w:color="auto" w:fill="auto"/>
          </w:tcPr>
          <w:p w14:paraId="4C09F84E"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1.864</w:t>
            </w:r>
          </w:p>
        </w:tc>
        <w:tc>
          <w:tcPr>
            <w:tcW w:w="952" w:type="dxa"/>
          </w:tcPr>
          <w:p w14:paraId="3587AD91"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4.57</w:t>
            </w:r>
          </w:p>
        </w:tc>
        <w:tc>
          <w:tcPr>
            <w:tcW w:w="948" w:type="dxa"/>
          </w:tcPr>
          <w:p w14:paraId="311A565D"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1.810</w:t>
            </w:r>
          </w:p>
        </w:tc>
        <w:tc>
          <w:tcPr>
            <w:tcW w:w="1001" w:type="dxa"/>
          </w:tcPr>
          <w:p w14:paraId="5A6FFA96"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25.26***</w:t>
            </w:r>
          </w:p>
        </w:tc>
        <w:tc>
          <w:tcPr>
            <w:tcW w:w="941" w:type="dxa"/>
          </w:tcPr>
          <w:p w14:paraId="14ED2D4D"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.38</w:t>
            </w:r>
          </w:p>
        </w:tc>
      </w:tr>
      <w:tr w:rsidR="00113944" w:rsidRPr="005847A9" w14:paraId="570ADFA4" w14:textId="77777777" w:rsidTr="00113944">
        <w:trPr>
          <w:cantSplit/>
        </w:trPr>
        <w:tc>
          <w:tcPr>
            <w:tcW w:w="2178" w:type="dxa"/>
            <w:tcBorders>
              <w:bottom w:val="single" w:sz="4" w:space="0" w:color="auto"/>
            </w:tcBorders>
          </w:tcPr>
          <w:p w14:paraId="2B53DE72" w14:textId="77777777" w:rsidR="00113944" w:rsidRPr="005847A9" w:rsidRDefault="00113944" w:rsidP="005847A9">
            <w:pPr>
              <w:autoSpaceDE w:val="0"/>
              <w:autoSpaceDN w:val="0"/>
              <w:adjustRightInd w:val="0"/>
              <w:spacing w:after="0" w:line="360" w:lineRule="auto"/>
              <w:ind w:left="60" w:right="60"/>
              <w:rPr>
                <w:rFonts w:ascii="Arial" w:hAnsi="Arial" w:cs="Arial"/>
                <w:sz w:val="24"/>
                <w:szCs w:val="24"/>
                <w:lang w:val="en-US"/>
              </w:rPr>
            </w:pPr>
            <w:r w:rsidRPr="005847A9">
              <w:rPr>
                <w:rFonts w:ascii="Arial" w:hAnsi="Arial" w:cs="Arial"/>
                <w:bCs/>
                <w:sz w:val="24"/>
                <w:szCs w:val="24"/>
                <w:lang w:val="en-US"/>
              </w:rPr>
              <w:t xml:space="preserve"> 3. PTSD understanding</w:t>
            </w:r>
          </w:p>
        </w:tc>
        <w:tc>
          <w:tcPr>
            <w:tcW w:w="863" w:type="dxa"/>
            <w:tcBorders>
              <w:bottom w:val="single" w:sz="4" w:space="0" w:color="auto"/>
            </w:tcBorders>
            <w:shd w:val="clear" w:color="auto" w:fill="auto"/>
          </w:tcPr>
          <w:p w14:paraId="4B89861E"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42</w:t>
            </w:r>
          </w:p>
        </w:tc>
        <w:tc>
          <w:tcPr>
            <w:tcW w:w="987" w:type="dxa"/>
            <w:tcBorders>
              <w:bottom w:val="single" w:sz="4" w:space="0" w:color="auto"/>
            </w:tcBorders>
            <w:shd w:val="clear" w:color="auto" w:fill="auto"/>
          </w:tcPr>
          <w:p w14:paraId="75EB0A68"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3.17</w:t>
            </w:r>
          </w:p>
        </w:tc>
        <w:tc>
          <w:tcPr>
            <w:tcW w:w="1019" w:type="dxa"/>
            <w:tcBorders>
              <w:bottom w:val="single" w:sz="4" w:space="0" w:color="auto"/>
            </w:tcBorders>
            <w:shd w:val="clear" w:color="auto" w:fill="auto"/>
          </w:tcPr>
          <w:p w14:paraId="54FB2BFE"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2.129</w:t>
            </w:r>
          </w:p>
        </w:tc>
        <w:tc>
          <w:tcPr>
            <w:tcW w:w="952" w:type="dxa"/>
            <w:tcBorders>
              <w:bottom w:val="single" w:sz="4" w:space="0" w:color="auto"/>
            </w:tcBorders>
          </w:tcPr>
          <w:p w14:paraId="42D3A4FC"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6.38</w:t>
            </w:r>
          </w:p>
        </w:tc>
        <w:tc>
          <w:tcPr>
            <w:tcW w:w="948" w:type="dxa"/>
            <w:tcBorders>
              <w:bottom w:val="single" w:sz="4" w:space="0" w:color="auto"/>
            </w:tcBorders>
          </w:tcPr>
          <w:p w14:paraId="4C6D3F19"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2.594</w:t>
            </w:r>
          </w:p>
        </w:tc>
        <w:tc>
          <w:tcPr>
            <w:tcW w:w="1001" w:type="dxa"/>
            <w:tcBorders>
              <w:bottom w:val="single" w:sz="4" w:space="0" w:color="auto"/>
            </w:tcBorders>
          </w:tcPr>
          <w:p w14:paraId="161A7CF9"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45.96***</w:t>
            </w:r>
          </w:p>
        </w:tc>
        <w:tc>
          <w:tcPr>
            <w:tcW w:w="941" w:type="dxa"/>
            <w:tcBorders>
              <w:bottom w:val="single" w:sz="4" w:space="0" w:color="auto"/>
            </w:tcBorders>
          </w:tcPr>
          <w:p w14:paraId="11391C99" w14:textId="77777777" w:rsidR="00113944" w:rsidRPr="005847A9" w:rsidRDefault="00113944" w:rsidP="005847A9">
            <w:pPr>
              <w:autoSpaceDE w:val="0"/>
              <w:autoSpaceDN w:val="0"/>
              <w:adjustRightInd w:val="0"/>
              <w:spacing w:after="0" w:line="360" w:lineRule="auto"/>
              <w:ind w:left="60" w:right="60"/>
              <w:jc w:val="center"/>
              <w:rPr>
                <w:rFonts w:ascii="Arial" w:hAnsi="Arial" w:cs="Arial"/>
                <w:sz w:val="24"/>
                <w:szCs w:val="24"/>
                <w:lang w:val="en-US"/>
              </w:rPr>
            </w:pPr>
            <w:r w:rsidRPr="005847A9">
              <w:rPr>
                <w:rFonts w:ascii="Arial" w:hAnsi="Arial" w:cs="Arial"/>
                <w:sz w:val="24"/>
                <w:szCs w:val="24"/>
                <w:lang w:val="en-US"/>
              </w:rPr>
              <w:t>.53</w:t>
            </w:r>
          </w:p>
        </w:tc>
      </w:tr>
    </w:tbl>
    <w:p w14:paraId="57326A0C" w14:textId="77777777" w:rsidR="00113944" w:rsidRPr="005847A9" w:rsidRDefault="00113944" w:rsidP="005847A9">
      <w:pPr>
        <w:spacing w:line="360" w:lineRule="auto"/>
        <w:rPr>
          <w:rFonts w:ascii="Arial" w:hAnsi="Arial" w:cs="Arial"/>
          <w:bCs/>
          <w:i/>
          <w:iCs/>
          <w:sz w:val="24"/>
          <w:szCs w:val="24"/>
          <w:lang w:val="en-US"/>
        </w:rPr>
      </w:pPr>
      <w:r w:rsidRPr="005847A9">
        <w:rPr>
          <w:rFonts w:ascii="Arial" w:hAnsi="Arial" w:cs="Arial"/>
          <w:bCs/>
          <w:sz w:val="24"/>
          <w:szCs w:val="24"/>
          <w:lang w:val="en-US"/>
        </w:rPr>
        <w:t>***</w:t>
      </w:r>
      <w:r w:rsidRPr="005847A9">
        <w:rPr>
          <w:rFonts w:ascii="Arial" w:hAnsi="Arial" w:cs="Arial"/>
          <w:bCs/>
          <w:i/>
          <w:iCs/>
          <w:sz w:val="24"/>
          <w:szCs w:val="24"/>
          <w:lang w:val="en-US"/>
        </w:rPr>
        <w:t>p&lt;.001</w:t>
      </w:r>
    </w:p>
    <w:p w14:paraId="3F5FA35B" w14:textId="77777777" w:rsidR="0000070F" w:rsidRPr="005847A9" w:rsidRDefault="0000070F" w:rsidP="005847A9">
      <w:pPr>
        <w:spacing w:line="360" w:lineRule="auto"/>
        <w:rPr>
          <w:rFonts w:ascii="Arial" w:hAnsi="Arial" w:cs="Arial"/>
          <w:sz w:val="24"/>
          <w:szCs w:val="24"/>
        </w:rPr>
      </w:pPr>
    </w:p>
    <w:p w14:paraId="055FBC6C" w14:textId="28420256" w:rsidR="00AA0035" w:rsidRPr="005847A9" w:rsidRDefault="00AA0035" w:rsidP="005847A9">
      <w:pPr>
        <w:spacing w:line="360" w:lineRule="auto"/>
        <w:jc w:val="center"/>
        <w:rPr>
          <w:rFonts w:ascii="Arial" w:hAnsi="Arial" w:cs="Arial"/>
          <w:sz w:val="24"/>
          <w:szCs w:val="24"/>
        </w:rPr>
      </w:pPr>
      <w:r w:rsidRPr="005847A9">
        <w:rPr>
          <w:rFonts w:ascii="Arial" w:hAnsi="Arial" w:cs="Arial"/>
          <w:sz w:val="24"/>
          <w:szCs w:val="24"/>
        </w:rPr>
        <w:t>Discussion</w:t>
      </w:r>
    </w:p>
    <w:p w14:paraId="0259B572" w14:textId="496BE948" w:rsidR="00AD45E4" w:rsidRPr="005847A9" w:rsidRDefault="00BE627A" w:rsidP="005847A9">
      <w:pPr>
        <w:spacing w:line="360" w:lineRule="auto"/>
        <w:ind w:firstLine="720"/>
        <w:rPr>
          <w:rFonts w:ascii="Arial" w:hAnsi="Arial" w:cs="Arial"/>
          <w:sz w:val="24"/>
          <w:szCs w:val="24"/>
        </w:rPr>
      </w:pPr>
      <w:bookmarkStart w:id="6" w:name="_Hlk63434621"/>
      <w:r w:rsidRPr="005847A9">
        <w:rPr>
          <w:rFonts w:ascii="Arial" w:hAnsi="Arial" w:cs="Arial"/>
          <w:sz w:val="24"/>
          <w:szCs w:val="24"/>
        </w:rPr>
        <w:t xml:space="preserve">In this study we </w:t>
      </w:r>
      <w:r w:rsidR="00270A9B" w:rsidRPr="005847A9">
        <w:rPr>
          <w:rFonts w:ascii="Arial" w:hAnsi="Arial" w:cs="Arial"/>
          <w:sz w:val="24"/>
          <w:szCs w:val="24"/>
        </w:rPr>
        <w:t>investigated outcomes of</w:t>
      </w:r>
      <w:r w:rsidRPr="005847A9">
        <w:rPr>
          <w:rFonts w:ascii="Arial" w:hAnsi="Arial" w:cs="Arial"/>
          <w:sz w:val="24"/>
          <w:szCs w:val="24"/>
        </w:rPr>
        <w:t xml:space="preserve"> a low-intensity,</w:t>
      </w:r>
      <w:r w:rsidR="00EF3B8E" w:rsidRPr="005847A9">
        <w:rPr>
          <w:rFonts w:ascii="Arial" w:hAnsi="Arial" w:cs="Arial"/>
          <w:sz w:val="24"/>
          <w:szCs w:val="24"/>
        </w:rPr>
        <w:t xml:space="preserve"> group-based stabilisation course</w:t>
      </w:r>
      <w:r w:rsidRPr="005847A9">
        <w:rPr>
          <w:rFonts w:ascii="Arial" w:hAnsi="Arial" w:cs="Arial"/>
          <w:sz w:val="24"/>
          <w:szCs w:val="24"/>
        </w:rPr>
        <w:t xml:space="preserve"> for refugees and asylum seekers with </w:t>
      </w:r>
      <w:r w:rsidR="008C42BC" w:rsidRPr="005847A9">
        <w:rPr>
          <w:rFonts w:ascii="Arial" w:hAnsi="Arial" w:cs="Arial"/>
          <w:sz w:val="24"/>
          <w:szCs w:val="24"/>
        </w:rPr>
        <w:t xml:space="preserve">a </w:t>
      </w:r>
      <w:r w:rsidRPr="005847A9">
        <w:rPr>
          <w:rFonts w:ascii="Arial" w:hAnsi="Arial" w:cs="Arial"/>
          <w:sz w:val="24"/>
          <w:szCs w:val="24"/>
        </w:rPr>
        <w:t>PTSD</w:t>
      </w:r>
      <w:r w:rsidR="00EF3B8E" w:rsidRPr="005847A9">
        <w:rPr>
          <w:rFonts w:ascii="Arial" w:hAnsi="Arial" w:cs="Arial"/>
          <w:sz w:val="24"/>
          <w:szCs w:val="24"/>
        </w:rPr>
        <w:t xml:space="preserve"> presentation</w:t>
      </w:r>
      <w:r w:rsidRPr="005847A9">
        <w:rPr>
          <w:rFonts w:ascii="Arial" w:hAnsi="Arial" w:cs="Arial"/>
          <w:sz w:val="24"/>
          <w:szCs w:val="24"/>
        </w:rPr>
        <w:t xml:space="preserve">. </w:t>
      </w:r>
      <w:r w:rsidR="00D90FC0" w:rsidRPr="005847A9">
        <w:rPr>
          <w:rFonts w:ascii="Arial" w:hAnsi="Arial" w:cs="Arial"/>
          <w:sz w:val="24"/>
          <w:szCs w:val="24"/>
        </w:rPr>
        <w:t>Participants reported</w:t>
      </w:r>
      <w:r w:rsidR="00270A9B" w:rsidRPr="005847A9">
        <w:rPr>
          <w:rFonts w:ascii="Arial" w:hAnsi="Arial" w:cs="Arial"/>
          <w:sz w:val="24"/>
          <w:szCs w:val="24"/>
        </w:rPr>
        <w:t xml:space="preserve"> significantly lower rates of depression, anxiety and PTSD after the intervention, although the lack of comparison group and </w:t>
      </w:r>
      <w:r w:rsidR="002050C6" w:rsidRPr="005847A9">
        <w:rPr>
          <w:rFonts w:ascii="Arial" w:hAnsi="Arial" w:cs="Arial"/>
          <w:sz w:val="24"/>
          <w:szCs w:val="24"/>
        </w:rPr>
        <w:t>non-</w:t>
      </w:r>
      <w:r w:rsidR="00270A9B" w:rsidRPr="005847A9">
        <w:rPr>
          <w:rFonts w:ascii="Arial" w:hAnsi="Arial" w:cs="Arial"/>
          <w:sz w:val="24"/>
          <w:szCs w:val="24"/>
        </w:rPr>
        <w:t>randomised design means that we must interpret these findings with caution. This does indicate that group-based stabilisation work warrants further investigation</w:t>
      </w:r>
      <w:r w:rsidR="002050C6" w:rsidRPr="005847A9">
        <w:rPr>
          <w:rFonts w:ascii="Arial" w:hAnsi="Arial" w:cs="Arial"/>
          <w:sz w:val="24"/>
          <w:szCs w:val="24"/>
        </w:rPr>
        <w:t xml:space="preserve"> as a treatment for PTSD and CPTSD in refugees and asylum seekers</w:t>
      </w:r>
      <w:r w:rsidR="00270A9B" w:rsidRPr="005847A9">
        <w:rPr>
          <w:rFonts w:ascii="Arial" w:hAnsi="Arial" w:cs="Arial"/>
          <w:sz w:val="24"/>
          <w:szCs w:val="24"/>
        </w:rPr>
        <w:t xml:space="preserve">. </w:t>
      </w:r>
    </w:p>
    <w:bookmarkEnd w:id="6"/>
    <w:p w14:paraId="2D8F1C80" w14:textId="61BF3E41" w:rsidR="00542B12" w:rsidRPr="005847A9" w:rsidRDefault="00BE627A" w:rsidP="005847A9">
      <w:pPr>
        <w:spacing w:line="360" w:lineRule="auto"/>
        <w:ind w:firstLine="720"/>
        <w:rPr>
          <w:rFonts w:ascii="Arial" w:hAnsi="Arial" w:cs="Arial"/>
          <w:sz w:val="24"/>
          <w:szCs w:val="24"/>
        </w:rPr>
      </w:pPr>
      <w:r w:rsidRPr="005847A9">
        <w:rPr>
          <w:rFonts w:ascii="Arial" w:hAnsi="Arial" w:cs="Arial"/>
          <w:sz w:val="24"/>
          <w:szCs w:val="24"/>
        </w:rPr>
        <w:t>Completion rates of outcome m</w:t>
      </w:r>
      <w:r w:rsidR="00EF3B8E" w:rsidRPr="005847A9">
        <w:rPr>
          <w:rFonts w:ascii="Arial" w:hAnsi="Arial" w:cs="Arial"/>
          <w:sz w:val="24"/>
          <w:szCs w:val="24"/>
        </w:rPr>
        <w:t>easures reinforced challenges noted by IAPT services</w:t>
      </w:r>
      <w:r w:rsidR="002B0F21" w:rsidRPr="005847A9">
        <w:rPr>
          <w:rFonts w:ascii="Arial" w:hAnsi="Arial" w:cs="Arial"/>
          <w:sz w:val="24"/>
          <w:szCs w:val="24"/>
        </w:rPr>
        <w:t xml:space="preserve"> in </w:t>
      </w:r>
      <w:r w:rsidRPr="005847A9">
        <w:rPr>
          <w:rFonts w:ascii="Arial" w:hAnsi="Arial" w:cs="Arial"/>
          <w:sz w:val="24"/>
          <w:szCs w:val="24"/>
        </w:rPr>
        <w:t>meet</w:t>
      </w:r>
      <w:r w:rsidR="002B0F21" w:rsidRPr="005847A9">
        <w:rPr>
          <w:rFonts w:ascii="Arial" w:hAnsi="Arial" w:cs="Arial"/>
          <w:sz w:val="24"/>
          <w:szCs w:val="24"/>
        </w:rPr>
        <w:t>ing</w:t>
      </w:r>
      <w:r w:rsidR="00EF3B8E" w:rsidRPr="005847A9">
        <w:rPr>
          <w:rFonts w:ascii="Arial" w:hAnsi="Arial" w:cs="Arial"/>
          <w:sz w:val="24"/>
          <w:szCs w:val="24"/>
        </w:rPr>
        <w:t xml:space="preserve"> data reporting targets</w:t>
      </w:r>
      <w:r w:rsidR="002B0F21" w:rsidRPr="005847A9">
        <w:rPr>
          <w:rFonts w:ascii="Arial" w:hAnsi="Arial" w:cs="Arial"/>
          <w:sz w:val="24"/>
          <w:szCs w:val="24"/>
        </w:rPr>
        <w:t>.</w:t>
      </w:r>
      <w:r w:rsidR="009B2FBD" w:rsidRPr="005847A9">
        <w:rPr>
          <w:rFonts w:ascii="Arial" w:hAnsi="Arial" w:cs="Arial"/>
          <w:sz w:val="24"/>
          <w:szCs w:val="24"/>
        </w:rPr>
        <w:t xml:space="preserve"> </w:t>
      </w:r>
      <w:r w:rsidR="00AD45E4" w:rsidRPr="005847A9">
        <w:rPr>
          <w:rFonts w:ascii="Arial" w:hAnsi="Arial" w:cs="Arial"/>
          <w:sz w:val="24"/>
          <w:szCs w:val="24"/>
        </w:rPr>
        <w:t xml:space="preserve"> </w:t>
      </w:r>
      <w:r w:rsidR="0064389F" w:rsidRPr="005847A9">
        <w:rPr>
          <w:rFonts w:ascii="Arial" w:hAnsi="Arial" w:cs="Arial"/>
          <w:sz w:val="24"/>
          <w:szCs w:val="24"/>
        </w:rPr>
        <w:t>Administering standardised IAPT measures pose</w:t>
      </w:r>
      <w:r w:rsidR="00DB2A5D" w:rsidRPr="005847A9">
        <w:rPr>
          <w:rFonts w:ascii="Arial" w:hAnsi="Arial" w:cs="Arial"/>
          <w:sz w:val="24"/>
          <w:szCs w:val="24"/>
        </w:rPr>
        <w:t>d</w:t>
      </w:r>
      <w:r w:rsidR="0064389F" w:rsidRPr="005847A9">
        <w:rPr>
          <w:rFonts w:ascii="Arial" w:hAnsi="Arial" w:cs="Arial"/>
          <w:sz w:val="24"/>
          <w:szCs w:val="24"/>
        </w:rPr>
        <w:t xml:space="preserve"> various issues in terms of accessibility. Pati</w:t>
      </w:r>
      <w:r w:rsidR="00EF3B8E" w:rsidRPr="005847A9">
        <w:rPr>
          <w:rFonts w:ascii="Arial" w:hAnsi="Arial" w:cs="Arial"/>
          <w:sz w:val="24"/>
          <w:szCs w:val="24"/>
        </w:rPr>
        <w:t xml:space="preserve">ents without literacy in English or </w:t>
      </w:r>
      <w:r w:rsidR="000C6DBE" w:rsidRPr="005847A9">
        <w:rPr>
          <w:rFonts w:ascii="Arial" w:hAnsi="Arial" w:cs="Arial"/>
          <w:sz w:val="24"/>
          <w:szCs w:val="24"/>
        </w:rPr>
        <w:t xml:space="preserve">in </w:t>
      </w:r>
      <w:r w:rsidR="00EF3B8E" w:rsidRPr="005847A9">
        <w:rPr>
          <w:rFonts w:ascii="Arial" w:hAnsi="Arial" w:cs="Arial"/>
          <w:sz w:val="24"/>
          <w:szCs w:val="24"/>
        </w:rPr>
        <w:t>their first language</w:t>
      </w:r>
      <w:r w:rsidR="0064389F" w:rsidRPr="005847A9">
        <w:rPr>
          <w:rFonts w:ascii="Arial" w:hAnsi="Arial" w:cs="Arial"/>
          <w:sz w:val="24"/>
          <w:szCs w:val="24"/>
        </w:rPr>
        <w:t xml:space="preserve"> rel</w:t>
      </w:r>
      <w:r w:rsidR="00DB2A5D" w:rsidRPr="005847A9">
        <w:rPr>
          <w:rFonts w:ascii="Arial" w:hAnsi="Arial" w:cs="Arial"/>
          <w:sz w:val="24"/>
          <w:szCs w:val="24"/>
        </w:rPr>
        <w:t>ied</w:t>
      </w:r>
      <w:r w:rsidR="0064389F" w:rsidRPr="005847A9">
        <w:rPr>
          <w:rFonts w:ascii="Arial" w:hAnsi="Arial" w:cs="Arial"/>
          <w:sz w:val="24"/>
          <w:szCs w:val="24"/>
        </w:rPr>
        <w:t xml:space="preserve"> on transla</w:t>
      </w:r>
      <w:r w:rsidR="0052226E" w:rsidRPr="005847A9">
        <w:rPr>
          <w:rFonts w:ascii="Arial" w:hAnsi="Arial" w:cs="Arial"/>
          <w:sz w:val="24"/>
          <w:szCs w:val="24"/>
        </w:rPr>
        <w:t>tion by interpreters.  Even using</w:t>
      </w:r>
      <w:r w:rsidR="0064389F" w:rsidRPr="005847A9">
        <w:rPr>
          <w:rFonts w:ascii="Arial" w:hAnsi="Arial" w:cs="Arial"/>
          <w:sz w:val="24"/>
          <w:szCs w:val="24"/>
        </w:rPr>
        <w:t xml:space="preserve"> exp</w:t>
      </w:r>
      <w:r w:rsidR="000C6DBE" w:rsidRPr="005847A9">
        <w:rPr>
          <w:rFonts w:ascii="Arial" w:hAnsi="Arial" w:cs="Arial"/>
          <w:sz w:val="24"/>
          <w:szCs w:val="24"/>
        </w:rPr>
        <w:t>erienced interpreters there w</w:t>
      </w:r>
      <w:r w:rsidR="008C42BC" w:rsidRPr="005847A9">
        <w:rPr>
          <w:rFonts w:ascii="Arial" w:hAnsi="Arial" w:cs="Arial"/>
          <w:sz w:val="24"/>
          <w:szCs w:val="24"/>
        </w:rPr>
        <w:t>ill</w:t>
      </w:r>
      <w:r w:rsidR="0064389F" w:rsidRPr="005847A9">
        <w:rPr>
          <w:rFonts w:ascii="Arial" w:hAnsi="Arial" w:cs="Arial"/>
          <w:sz w:val="24"/>
          <w:szCs w:val="24"/>
        </w:rPr>
        <w:t xml:space="preserve"> be variation in language and </w:t>
      </w:r>
      <w:r w:rsidR="0052226E" w:rsidRPr="005847A9">
        <w:rPr>
          <w:rFonts w:ascii="Arial" w:hAnsi="Arial" w:cs="Arial"/>
          <w:sz w:val="24"/>
          <w:szCs w:val="24"/>
        </w:rPr>
        <w:t xml:space="preserve">in the </w:t>
      </w:r>
      <w:r w:rsidR="00AD45E4" w:rsidRPr="005847A9">
        <w:rPr>
          <w:rFonts w:ascii="Arial" w:hAnsi="Arial" w:cs="Arial"/>
          <w:sz w:val="24"/>
          <w:szCs w:val="24"/>
        </w:rPr>
        <w:t>administration of measur</w:t>
      </w:r>
      <w:r w:rsidR="00372856" w:rsidRPr="005847A9">
        <w:rPr>
          <w:rFonts w:ascii="Arial" w:hAnsi="Arial" w:cs="Arial"/>
          <w:sz w:val="24"/>
          <w:szCs w:val="24"/>
        </w:rPr>
        <w:t>es.  Translations have been approved</w:t>
      </w:r>
      <w:r w:rsidR="00AD45E4" w:rsidRPr="005847A9">
        <w:rPr>
          <w:rFonts w:ascii="Arial" w:hAnsi="Arial" w:cs="Arial"/>
          <w:sz w:val="24"/>
          <w:szCs w:val="24"/>
        </w:rPr>
        <w:t xml:space="preserve"> for some outcome measures but not in all community languages and these translations have good validity and reliability only for particular BAME communities.  P</w:t>
      </w:r>
      <w:r w:rsidR="00796316" w:rsidRPr="005847A9">
        <w:rPr>
          <w:rFonts w:ascii="Arial" w:hAnsi="Arial" w:cs="Arial"/>
          <w:sz w:val="24"/>
          <w:szCs w:val="24"/>
        </w:rPr>
        <w:t xml:space="preserve">atients </w:t>
      </w:r>
      <w:r w:rsidR="00EB0E34" w:rsidRPr="005847A9">
        <w:rPr>
          <w:rFonts w:ascii="Arial" w:hAnsi="Arial" w:cs="Arial"/>
          <w:sz w:val="24"/>
          <w:szCs w:val="24"/>
        </w:rPr>
        <w:t>accessing translations</w:t>
      </w:r>
      <w:r w:rsidR="00365D74" w:rsidRPr="005847A9">
        <w:rPr>
          <w:rFonts w:ascii="Arial" w:hAnsi="Arial" w:cs="Arial"/>
          <w:sz w:val="24"/>
          <w:szCs w:val="24"/>
        </w:rPr>
        <w:t xml:space="preserve"> </w:t>
      </w:r>
      <w:r w:rsidR="00AD45E4" w:rsidRPr="005847A9">
        <w:rPr>
          <w:rFonts w:ascii="Arial" w:hAnsi="Arial" w:cs="Arial"/>
          <w:sz w:val="24"/>
          <w:szCs w:val="24"/>
        </w:rPr>
        <w:t>require literacy in their own l</w:t>
      </w:r>
      <w:r w:rsidR="00372856" w:rsidRPr="005847A9">
        <w:rPr>
          <w:rFonts w:ascii="Arial" w:hAnsi="Arial" w:cs="Arial"/>
          <w:sz w:val="24"/>
          <w:szCs w:val="24"/>
        </w:rPr>
        <w:t xml:space="preserve">anguage which many refugees and </w:t>
      </w:r>
      <w:r w:rsidR="00AD45E4" w:rsidRPr="005847A9">
        <w:rPr>
          <w:rFonts w:ascii="Arial" w:hAnsi="Arial" w:cs="Arial"/>
          <w:sz w:val="24"/>
          <w:szCs w:val="24"/>
        </w:rPr>
        <w:t>asylum seekers do not have</w:t>
      </w:r>
      <w:r w:rsidR="0064389F" w:rsidRPr="005847A9">
        <w:rPr>
          <w:rFonts w:ascii="Arial" w:hAnsi="Arial" w:cs="Arial"/>
          <w:sz w:val="24"/>
          <w:szCs w:val="24"/>
        </w:rPr>
        <w:t>.</w:t>
      </w:r>
      <w:r w:rsidR="00796316" w:rsidRPr="005847A9">
        <w:rPr>
          <w:rFonts w:ascii="Arial" w:hAnsi="Arial" w:cs="Arial"/>
          <w:sz w:val="24"/>
          <w:szCs w:val="24"/>
        </w:rPr>
        <w:t xml:space="preserve"> Questionnaires vary in length </w:t>
      </w:r>
      <w:r w:rsidR="00365D74" w:rsidRPr="005847A9">
        <w:rPr>
          <w:rFonts w:ascii="Arial" w:hAnsi="Arial" w:cs="Arial"/>
          <w:sz w:val="24"/>
          <w:szCs w:val="24"/>
        </w:rPr>
        <w:t>but even relatively short questionnaires (e.g. GAD-7), together with the additional ti</w:t>
      </w:r>
      <w:r w:rsidR="0052226E" w:rsidRPr="005847A9">
        <w:rPr>
          <w:rFonts w:ascii="Arial" w:hAnsi="Arial" w:cs="Arial"/>
          <w:sz w:val="24"/>
          <w:szCs w:val="24"/>
        </w:rPr>
        <w:t xml:space="preserve">me required for translation can represent </w:t>
      </w:r>
      <w:r w:rsidR="00365D74" w:rsidRPr="005847A9">
        <w:rPr>
          <w:rFonts w:ascii="Arial" w:hAnsi="Arial" w:cs="Arial"/>
          <w:sz w:val="24"/>
          <w:szCs w:val="24"/>
        </w:rPr>
        <w:t xml:space="preserve">strain on already compromised </w:t>
      </w:r>
      <w:r w:rsidR="0052226E" w:rsidRPr="005847A9">
        <w:rPr>
          <w:rFonts w:ascii="Arial" w:hAnsi="Arial" w:cs="Arial"/>
          <w:sz w:val="24"/>
          <w:szCs w:val="24"/>
        </w:rPr>
        <w:t xml:space="preserve">cognitive function, attention and </w:t>
      </w:r>
      <w:r w:rsidR="00365D74" w:rsidRPr="005847A9">
        <w:rPr>
          <w:rFonts w:ascii="Arial" w:hAnsi="Arial" w:cs="Arial"/>
          <w:sz w:val="24"/>
          <w:szCs w:val="24"/>
        </w:rPr>
        <w:t>concentration.</w:t>
      </w:r>
      <w:r w:rsidR="00746C42" w:rsidRPr="005847A9">
        <w:rPr>
          <w:rFonts w:ascii="Arial" w:hAnsi="Arial" w:cs="Arial"/>
          <w:sz w:val="24"/>
          <w:szCs w:val="24"/>
        </w:rPr>
        <w:t xml:space="preserve"> While PTSD scales have been developed specifically for measuring </w:t>
      </w:r>
      <w:r w:rsidR="00E94317" w:rsidRPr="005847A9">
        <w:rPr>
          <w:rFonts w:ascii="Arial" w:hAnsi="Arial" w:cs="Arial"/>
          <w:sz w:val="24"/>
          <w:szCs w:val="24"/>
        </w:rPr>
        <w:t>the impact of torture, trauma and PTSD (e.g. Harvard Trauma Questionnaire</w:t>
      </w:r>
      <w:r w:rsidR="00EA296F" w:rsidRPr="005847A9">
        <w:rPr>
          <w:rFonts w:ascii="Arial" w:hAnsi="Arial" w:cs="Arial"/>
          <w:sz w:val="24"/>
          <w:szCs w:val="24"/>
        </w:rPr>
        <w:t>;</w:t>
      </w:r>
      <w:r w:rsidR="00750495" w:rsidRPr="005847A9">
        <w:rPr>
          <w:rFonts w:ascii="Arial" w:hAnsi="Arial" w:cs="Arial"/>
          <w:sz w:val="24"/>
          <w:szCs w:val="24"/>
        </w:rPr>
        <w:t xml:space="preserve"> Mollica et al</w:t>
      </w:r>
      <w:r w:rsidR="00EA296F" w:rsidRPr="005847A9">
        <w:rPr>
          <w:rFonts w:ascii="Arial" w:hAnsi="Arial" w:cs="Arial"/>
          <w:sz w:val="24"/>
          <w:szCs w:val="24"/>
        </w:rPr>
        <w:t>.,</w:t>
      </w:r>
      <w:r w:rsidR="00750495" w:rsidRPr="005847A9">
        <w:rPr>
          <w:rFonts w:ascii="Arial" w:hAnsi="Arial" w:cs="Arial"/>
          <w:sz w:val="24"/>
          <w:szCs w:val="24"/>
        </w:rPr>
        <w:t xml:space="preserve"> 1992</w:t>
      </w:r>
      <w:r w:rsidR="00E94317" w:rsidRPr="005847A9">
        <w:rPr>
          <w:rFonts w:ascii="Arial" w:hAnsi="Arial" w:cs="Arial"/>
          <w:sz w:val="24"/>
          <w:szCs w:val="24"/>
        </w:rPr>
        <w:t>), the treatment pathw</w:t>
      </w:r>
      <w:r w:rsidR="00EF3B8E" w:rsidRPr="005847A9">
        <w:rPr>
          <w:rFonts w:ascii="Arial" w:hAnsi="Arial" w:cs="Arial"/>
          <w:sz w:val="24"/>
          <w:szCs w:val="24"/>
        </w:rPr>
        <w:t xml:space="preserve">ay described sat within an </w:t>
      </w:r>
      <w:r w:rsidR="0016686A" w:rsidRPr="005847A9">
        <w:rPr>
          <w:rFonts w:ascii="Arial" w:hAnsi="Arial" w:cs="Arial"/>
          <w:sz w:val="24"/>
          <w:szCs w:val="24"/>
        </w:rPr>
        <w:t>IAPT service which</w:t>
      </w:r>
      <w:r w:rsidR="00EF3B8E" w:rsidRPr="005847A9">
        <w:rPr>
          <w:rFonts w:ascii="Arial" w:hAnsi="Arial" w:cs="Arial"/>
          <w:sz w:val="24"/>
          <w:szCs w:val="24"/>
        </w:rPr>
        <w:t xml:space="preserve"> </w:t>
      </w:r>
      <w:r w:rsidR="007321D9" w:rsidRPr="005847A9">
        <w:rPr>
          <w:rFonts w:ascii="Arial" w:hAnsi="Arial" w:cs="Arial"/>
          <w:sz w:val="24"/>
          <w:szCs w:val="24"/>
        </w:rPr>
        <w:t>prescribed</w:t>
      </w:r>
      <w:r w:rsidR="00E94317" w:rsidRPr="005847A9">
        <w:rPr>
          <w:rFonts w:ascii="Arial" w:hAnsi="Arial" w:cs="Arial"/>
          <w:sz w:val="24"/>
          <w:szCs w:val="24"/>
        </w:rPr>
        <w:t xml:space="preserve"> the use of particular standardised assessments, namely</w:t>
      </w:r>
      <w:r w:rsidR="007F4B41" w:rsidRPr="005847A9">
        <w:rPr>
          <w:rFonts w:ascii="Arial" w:hAnsi="Arial" w:cs="Arial"/>
          <w:sz w:val="24"/>
          <w:szCs w:val="24"/>
        </w:rPr>
        <w:t xml:space="preserve"> the</w:t>
      </w:r>
      <w:r w:rsidR="00E94317" w:rsidRPr="005847A9">
        <w:rPr>
          <w:rFonts w:ascii="Arial" w:hAnsi="Arial" w:cs="Arial"/>
          <w:sz w:val="24"/>
          <w:szCs w:val="24"/>
        </w:rPr>
        <w:t xml:space="preserve"> IES-R</w:t>
      </w:r>
      <w:r w:rsidR="00ED3E37" w:rsidRPr="005847A9">
        <w:rPr>
          <w:rFonts w:ascii="Arial" w:hAnsi="Arial" w:cs="Arial"/>
          <w:sz w:val="24"/>
          <w:szCs w:val="24"/>
        </w:rPr>
        <w:t>.  T</w:t>
      </w:r>
      <w:r w:rsidR="00E94317" w:rsidRPr="005847A9">
        <w:rPr>
          <w:rFonts w:ascii="Arial" w:hAnsi="Arial" w:cs="Arial"/>
          <w:sz w:val="24"/>
          <w:szCs w:val="24"/>
        </w:rPr>
        <w:t>he</w:t>
      </w:r>
      <w:r w:rsidR="00372856" w:rsidRPr="005847A9">
        <w:rPr>
          <w:rFonts w:ascii="Arial" w:hAnsi="Arial" w:cs="Arial"/>
          <w:sz w:val="24"/>
          <w:szCs w:val="24"/>
        </w:rPr>
        <w:t xml:space="preserve"> use of further assessment measures</w:t>
      </w:r>
      <w:r w:rsidR="00E94317" w:rsidRPr="005847A9">
        <w:rPr>
          <w:rFonts w:ascii="Arial" w:hAnsi="Arial" w:cs="Arial"/>
          <w:sz w:val="24"/>
          <w:szCs w:val="24"/>
        </w:rPr>
        <w:t xml:space="preserve"> </w:t>
      </w:r>
      <w:r w:rsidR="0016686A" w:rsidRPr="005847A9">
        <w:rPr>
          <w:rFonts w:ascii="Arial" w:hAnsi="Arial" w:cs="Arial"/>
          <w:sz w:val="24"/>
          <w:szCs w:val="24"/>
        </w:rPr>
        <w:t>for PTSD</w:t>
      </w:r>
      <w:r w:rsidR="00E94317" w:rsidRPr="005847A9">
        <w:rPr>
          <w:rFonts w:ascii="Arial" w:hAnsi="Arial" w:cs="Arial"/>
          <w:sz w:val="24"/>
          <w:szCs w:val="24"/>
        </w:rPr>
        <w:t xml:space="preserve"> </w:t>
      </w:r>
      <w:r w:rsidR="0016686A" w:rsidRPr="005847A9">
        <w:rPr>
          <w:rFonts w:ascii="Arial" w:hAnsi="Arial" w:cs="Arial"/>
          <w:sz w:val="24"/>
          <w:szCs w:val="24"/>
        </w:rPr>
        <w:t>was not possible</w:t>
      </w:r>
      <w:r w:rsidR="00ED3E37" w:rsidRPr="005847A9">
        <w:rPr>
          <w:rFonts w:ascii="Arial" w:hAnsi="Arial" w:cs="Arial"/>
          <w:sz w:val="24"/>
          <w:szCs w:val="24"/>
        </w:rPr>
        <w:t xml:space="preserve"> due to the time taken and </w:t>
      </w:r>
      <w:r w:rsidR="00EB0E34" w:rsidRPr="005847A9">
        <w:rPr>
          <w:rFonts w:ascii="Arial" w:hAnsi="Arial" w:cs="Arial"/>
          <w:sz w:val="24"/>
          <w:szCs w:val="24"/>
        </w:rPr>
        <w:t xml:space="preserve">associated </w:t>
      </w:r>
      <w:r w:rsidR="00ED3E37" w:rsidRPr="005847A9">
        <w:rPr>
          <w:rFonts w:ascii="Arial" w:hAnsi="Arial" w:cs="Arial"/>
          <w:sz w:val="24"/>
          <w:szCs w:val="24"/>
        </w:rPr>
        <w:t>increased cognitive load</w:t>
      </w:r>
      <w:r w:rsidR="00542B12" w:rsidRPr="005847A9">
        <w:rPr>
          <w:rFonts w:ascii="Arial" w:hAnsi="Arial" w:cs="Arial"/>
          <w:sz w:val="24"/>
          <w:szCs w:val="24"/>
        </w:rPr>
        <w:t>.</w:t>
      </w:r>
      <w:r w:rsidR="00E94317" w:rsidRPr="005847A9">
        <w:rPr>
          <w:rFonts w:ascii="Arial" w:hAnsi="Arial" w:cs="Arial"/>
          <w:sz w:val="24"/>
          <w:szCs w:val="24"/>
        </w:rPr>
        <w:t xml:space="preserve"> </w:t>
      </w:r>
      <w:r w:rsidR="00746C42" w:rsidRPr="005847A9">
        <w:rPr>
          <w:rFonts w:ascii="Arial" w:hAnsi="Arial" w:cs="Arial"/>
          <w:sz w:val="24"/>
          <w:szCs w:val="24"/>
        </w:rPr>
        <w:t xml:space="preserve"> </w:t>
      </w:r>
      <w:bookmarkStart w:id="7" w:name="_Hlk63434950"/>
      <w:r w:rsidR="00542B12" w:rsidRPr="005847A9">
        <w:rPr>
          <w:rFonts w:ascii="Arial" w:hAnsi="Arial" w:cs="Arial"/>
          <w:sz w:val="24"/>
          <w:szCs w:val="24"/>
        </w:rPr>
        <w:t xml:space="preserve">The use of a shorter measure of change, translated into the patient’s own language, and ideally including an option to access in audio form, would have clear benefits.  </w:t>
      </w:r>
      <w:bookmarkEnd w:id="7"/>
    </w:p>
    <w:p w14:paraId="133D3BAA" w14:textId="1BEA44FB" w:rsidR="00542B12" w:rsidRPr="005847A9" w:rsidRDefault="00542B12" w:rsidP="005847A9">
      <w:pPr>
        <w:spacing w:line="360" w:lineRule="auto"/>
        <w:ind w:firstLine="720"/>
        <w:rPr>
          <w:rFonts w:ascii="Arial" w:hAnsi="Arial" w:cs="Arial"/>
          <w:sz w:val="24"/>
          <w:szCs w:val="24"/>
        </w:rPr>
      </w:pPr>
      <w:r w:rsidRPr="005847A9">
        <w:rPr>
          <w:rFonts w:ascii="Arial" w:hAnsi="Arial" w:cs="Arial"/>
          <w:sz w:val="24"/>
          <w:szCs w:val="24"/>
        </w:rPr>
        <w:t xml:space="preserve">Although patients agreed to try to attend all sessions, they sometimes had to prioritize other appointments at the same time e.g. with solicitor or doctor. </w:t>
      </w:r>
      <w:r w:rsidR="00176958" w:rsidRPr="005847A9">
        <w:rPr>
          <w:rFonts w:ascii="Arial" w:hAnsi="Arial" w:cs="Arial"/>
          <w:sz w:val="24"/>
          <w:szCs w:val="24"/>
        </w:rPr>
        <w:t xml:space="preserve">Patients </w:t>
      </w:r>
      <w:r w:rsidRPr="005847A9">
        <w:rPr>
          <w:rFonts w:ascii="Arial" w:hAnsi="Arial" w:cs="Arial"/>
          <w:sz w:val="24"/>
          <w:szCs w:val="24"/>
        </w:rPr>
        <w:t xml:space="preserve">also </w:t>
      </w:r>
      <w:r w:rsidR="00372856" w:rsidRPr="005847A9">
        <w:rPr>
          <w:rFonts w:ascii="Arial" w:hAnsi="Arial" w:cs="Arial"/>
          <w:sz w:val="24"/>
          <w:szCs w:val="24"/>
        </w:rPr>
        <w:t xml:space="preserve">reported </w:t>
      </w:r>
      <w:r w:rsidRPr="005847A9">
        <w:rPr>
          <w:rFonts w:ascii="Arial" w:hAnsi="Arial" w:cs="Arial"/>
          <w:sz w:val="24"/>
          <w:szCs w:val="24"/>
        </w:rPr>
        <w:t xml:space="preserve">simply </w:t>
      </w:r>
      <w:r w:rsidR="00176958" w:rsidRPr="005847A9">
        <w:rPr>
          <w:rFonts w:ascii="Arial" w:hAnsi="Arial" w:cs="Arial"/>
          <w:sz w:val="24"/>
          <w:szCs w:val="24"/>
        </w:rPr>
        <w:t>being too tired</w:t>
      </w:r>
      <w:r w:rsidR="00372856" w:rsidRPr="005847A9">
        <w:rPr>
          <w:rFonts w:ascii="Arial" w:hAnsi="Arial" w:cs="Arial"/>
          <w:sz w:val="24"/>
          <w:szCs w:val="24"/>
        </w:rPr>
        <w:t xml:space="preserve"> at times</w:t>
      </w:r>
      <w:r w:rsidR="00176958" w:rsidRPr="005847A9">
        <w:rPr>
          <w:rFonts w:ascii="Arial" w:hAnsi="Arial" w:cs="Arial"/>
          <w:sz w:val="24"/>
          <w:szCs w:val="24"/>
        </w:rPr>
        <w:t xml:space="preserve"> to complete questionnaires. Cognitive impairment e.g. concentration difficulties and severe fatigue linked to sleep disturbance are both consistent with PTSD (Herlihy &amp; Turner, 2007)</w:t>
      </w:r>
      <w:r w:rsidR="00BE627A" w:rsidRPr="005847A9">
        <w:rPr>
          <w:rFonts w:ascii="Arial" w:hAnsi="Arial" w:cs="Arial"/>
          <w:sz w:val="24"/>
          <w:szCs w:val="24"/>
        </w:rPr>
        <w:t xml:space="preserve">. </w:t>
      </w:r>
      <w:r w:rsidRPr="005847A9">
        <w:rPr>
          <w:rFonts w:ascii="Arial" w:hAnsi="Arial" w:cs="Arial"/>
          <w:sz w:val="24"/>
          <w:szCs w:val="24"/>
        </w:rPr>
        <w:t xml:space="preserve"> H</w:t>
      </w:r>
      <w:r w:rsidR="00176958" w:rsidRPr="005847A9">
        <w:rPr>
          <w:rFonts w:ascii="Arial" w:hAnsi="Arial" w:cs="Arial"/>
          <w:sz w:val="24"/>
          <w:szCs w:val="24"/>
        </w:rPr>
        <w:t xml:space="preserve">igh levels of physical illness </w:t>
      </w:r>
      <w:r w:rsidRPr="005847A9">
        <w:rPr>
          <w:rFonts w:ascii="Arial" w:hAnsi="Arial" w:cs="Arial"/>
          <w:sz w:val="24"/>
          <w:szCs w:val="24"/>
        </w:rPr>
        <w:t xml:space="preserve">were reported </w:t>
      </w:r>
      <w:r w:rsidR="00176958" w:rsidRPr="005847A9">
        <w:rPr>
          <w:rFonts w:ascii="Arial" w:hAnsi="Arial" w:cs="Arial"/>
          <w:sz w:val="24"/>
          <w:szCs w:val="24"/>
        </w:rPr>
        <w:t>which can be understood in the context of e.g. compromised immune systems (Neigh &amp; Ali, 2016)</w:t>
      </w:r>
      <w:r w:rsidR="00372856" w:rsidRPr="005847A9">
        <w:rPr>
          <w:rFonts w:ascii="Arial" w:hAnsi="Arial" w:cs="Arial"/>
          <w:sz w:val="24"/>
          <w:szCs w:val="24"/>
        </w:rPr>
        <w:t>;</w:t>
      </w:r>
      <w:r w:rsidRPr="005847A9">
        <w:rPr>
          <w:rFonts w:ascii="Arial" w:hAnsi="Arial" w:cs="Arial"/>
          <w:sz w:val="24"/>
          <w:szCs w:val="24"/>
        </w:rPr>
        <w:t xml:space="preserve"> a history of concurrent physical trauma and higher incidence of</w:t>
      </w:r>
      <w:r w:rsidR="00176958" w:rsidRPr="005847A9">
        <w:rPr>
          <w:rFonts w:ascii="Arial" w:hAnsi="Arial" w:cs="Arial"/>
          <w:sz w:val="24"/>
          <w:szCs w:val="24"/>
        </w:rPr>
        <w:t xml:space="preserve"> somatic symptoms</w:t>
      </w:r>
      <w:r w:rsidRPr="005847A9">
        <w:rPr>
          <w:rFonts w:ascii="Arial" w:hAnsi="Arial" w:cs="Arial"/>
          <w:sz w:val="24"/>
          <w:szCs w:val="24"/>
        </w:rPr>
        <w:t xml:space="preserve"> in this group</w:t>
      </w:r>
      <w:r w:rsidR="00176958" w:rsidRPr="005847A9">
        <w:rPr>
          <w:rFonts w:ascii="Arial" w:hAnsi="Arial" w:cs="Arial"/>
          <w:sz w:val="24"/>
          <w:szCs w:val="24"/>
        </w:rPr>
        <w:t xml:space="preserve"> e.g. headaches </w:t>
      </w:r>
      <w:r w:rsidR="00BE627A" w:rsidRPr="005847A9">
        <w:rPr>
          <w:rFonts w:ascii="Arial" w:hAnsi="Arial" w:cs="Arial"/>
          <w:sz w:val="24"/>
          <w:szCs w:val="24"/>
        </w:rPr>
        <w:t>(Neigh &amp; Ali, 2016)</w:t>
      </w:r>
      <w:r w:rsidRPr="005847A9">
        <w:rPr>
          <w:rFonts w:ascii="Arial" w:hAnsi="Arial" w:cs="Arial"/>
          <w:sz w:val="24"/>
          <w:szCs w:val="24"/>
        </w:rPr>
        <w:t xml:space="preserve">. </w:t>
      </w:r>
    </w:p>
    <w:p w14:paraId="04C8C9A7" w14:textId="0A344781" w:rsidR="006D529B" w:rsidRPr="005847A9" w:rsidRDefault="00614A4A" w:rsidP="005847A9">
      <w:pPr>
        <w:spacing w:line="360" w:lineRule="auto"/>
        <w:ind w:firstLine="720"/>
        <w:rPr>
          <w:rFonts w:ascii="Arial" w:hAnsi="Arial" w:cs="Arial"/>
          <w:sz w:val="24"/>
          <w:szCs w:val="24"/>
        </w:rPr>
      </w:pPr>
      <w:r w:rsidRPr="005847A9">
        <w:rPr>
          <w:rFonts w:ascii="Arial" w:hAnsi="Arial" w:cs="Arial"/>
          <w:sz w:val="24"/>
          <w:szCs w:val="24"/>
        </w:rPr>
        <w:t>Frequent s</w:t>
      </w:r>
      <w:r w:rsidR="00796316" w:rsidRPr="005847A9">
        <w:rPr>
          <w:rFonts w:ascii="Arial" w:hAnsi="Arial" w:cs="Arial"/>
          <w:sz w:val="24"/>
          <w:szCs w:val="24"/>
        </w:rPr>
        <w:t>nap</w:t>
      </w:r>
      <w:r w:rsidRPr="005847A9">
        <w:rPr>
          <w:rFonts w:ascii="Arial" w:hAnsi="Arial" w:cs="Arial"/>
          <w:sz w:val="24"/>
          <w:szCs w:val="24"/>
        </w:rPr>
        <w:t>shot data c</w:t>
      </w:r>
      <w:r w:rsidR="00EB5A3E" w:rsidRPr="005847A9">
        <w:rPr>
          <w:rFonts w:ascii="Arial" w:hAnsi="Arial" w:cs="Arial"/>
          <w:sz w:val="24"/>
          <w:szCs w:val="24"/>
        </w:rPr>
        <w:t>ollection during the group session</w:t>
      </w:r>
      <w:r w:rsidRPr="005847A9">
        <w:rPr>
          <w:rFonts w:ascii="Arial" w:hAnsi="Arial" w:cs="Arial"/>
          <w:sz w:val="24"/>
          <w:szCs w:val="24"/>
        </w:rPr>
        <w:t xml:space="preserve"> </w:t>
      </w:r>
      <w:r w:rsidR="00796316" w:rsidRPr="005847A9">
        <w:rPr>
          <w:rFonts w:ascii="Arial" w:hAnsi="Arial" w:cs="Arial"/>
          <w:sz w:val="24"/>
          <w:szCs w:val="24"/>
        </w:rPr>
        <w:t>accommodate</w:t>
      </w:r>
      <w:r w:rsidR="00AE13A6" w:rsidRPr="005847A9">
        <w:rPr>
          <w:rFonts w:ascii="Arial" w:hAnsi="Arial" w:cs="Arial"/>
          <w:sz w:val="24"/>
          <w:szCs w:val="24"/>
        </w:rPr>
        <w:t>d</w:t>
      </w:r>
      <w:r w:rsidRPr="005847A9">
        <w:rPr>
          <w:rFonts w:ascii="Arial" w:hAnsi="Arial" w:cs="Arial"/>
          <w:sz w:val="24"/>
          <w:szCs w:val="24"/>
        </w:rPr>
        <w:t xml:space="preserve"> missed sessions more easily, </w:t>
      </w:r>
      <w:r w:rsidR="00AE13A6" w:rsidRPr="005847A9">
        <w:rPr>
          <w:rFonts w:ascii="Arial" w:hAnsi="Arial" w:cs="Arial"/>
          <w:sz w:val="24"/>
          <w:szCs w:val="24"/>
        </w:rPr>
        <w:t>wa</w:t>
      </w:r>
      <w:r w:rsidRPr="005847A9">
        <w:rPr>
          <w:rFonts w:ascii="Arial" w:hAnsi="Arial" w:cs="Arial"/>
          <w:sz w:val="24"/>
          <w:szCs w:val="24"/>
        </w:rPr>
        <w:t xml:space="preserve">s </w:t>
      </w:r>
      <w:r w:rsidR="00796316" w:rsidRPr="005847A9">
        <w:rPr>
          <w:rFonts w:ascii="Arial" w:hAnsi="Arial" w:cs="Arial"/>
          <w:sz w:val="24"/>
          <w:szCs w:val="24"/>
        </w:rPr>
        <w:t>less time consuming to administer</w:t>
      </w:r>
      <w:r w:rsidR="00365D74" w:rsidRPr="005847A9">
        <w:rPr>
          <w:rFonts w:ascii="Arial" w:hAnsi="Arial" w:cs="Arial"/>
          <w:sz w:val="24"/>
          <w:szCs w:val="24"/>
        </w:rPr>
        <w:t xml:space="preserve"> than</w:t>
      </w:r>
      <w:r w:rsidR="00796316" w:rsidRPr="005847A9">
        <w:rPr>
          <w:rFonts w:ascii="Arial" w:hAnsi="Arial" w:cs="Arial"/>
          <w:sz w:val="24"/>
          <w:szCs w:val="24"/>
        </w:rPr>
        <w:t xml:space="preserve"> standar</w:t>
      </w:r>
      <w:r w:rsidR="00365D74" w:rsidRPr="005847A9">
        <w:rPr>
          <w:rFonts w:ascii="Arial" w:hAnsi="Arial" w:cs="Arial"/>
          <w:sz w:val="24"/>
          <w:szCs w:val="24"/>
        </w:rPr>
        <w:t xml:space="preserve">dised measures and </w:t>
      </w:r>
      <w:r w:rsidR="00372856" w:rsidRPr="005847A9">
        <w:rPr>
          <w:rFonts w:ascii="Arial" w:hAnsi="Arial" w:cs="Arial"/>
          <w:sz w:val="24"/>
          <w:szCs w:val="24"/>
        </w:rPr>
        <w:t>allowed questions to</w:t>
      </w:r>
      <w:r w:rsidR="00365D74" w:rsidRPr="005847A9">
        <w:rPr>
          <w:rFonts w:ascii="Arial" w:hAnsi="Arial" w:cs="Arial"/>
          <w:sz w:val="24"/>
          <w:szCs w:val="24"/>
        </w:rPr>
        <w:t xml:space="preserve"> </w:t>
      </w:r>
      <w:r w:rsidR="00AE13A6" w:rsidRPr="005847A9">
        <w:rPr>
          <w:rFonts w:ascii="Arial" w:hAnsi="Arial" w:cs="Arial"/>
          <w:sz w:val="24"/>
          <w:szCs w:val="24"/>
        </w:rPr>
        <w:t xml:space="preserve">be </w:t>
      </w:r>
      <w:r w:rsidR="00365D74" w:rsidRPr="005847A9">
        <w:rPr>
          <w:rFonts w:ascii="Arial" w:hAnsi="Arial" w:cs="Arial"/>
          <w:sz w:val="24"/>
          <w:szCs w:val="24"/>
        </w:rPr>
        <w:t>more closely linked to patients’ commo</w:t>
      </w:r>
      <w:r w:rsidRPr="005847A9">
        <w:rPr>
          <w:rFonts w:ascii="Arial" w:hAnsi="Arial" w:cs="Arial"/>
          <w:sz w:val="24"/>
          <w:szCs w:val="24"/>
        </w:rPr>
        <w:t>n experiences</w:t>
      </w:r>
      <w:r w:rsidR="00365D74" w:rsidRPr="005847A9">
        <w:rPr>
          <w:rFonts w:ascii="Arial" w:hAnsi="Arial" w:cs="Arial"/>
          <w:sz w:val="24"/>
          <w:szCs w:val="24"/>
        </w:rPr>
        <w:t>.</w:t>
      </w:r>
      <w:r w:rsidR="006D529B" w:rsidRPr="005847A9">
        <w:rPr>
          <w:rFonts w:ascii="Arial" w:hAnsi="Arial" w:cs="Arial"/>
          <w:sz w:val="24"/>
          <w:szCs w:val="24"/>
        </w:rPr>
        <w:t xml:space="preserve">  </w:t>
      </w:r>
    </w:p>
    <w:p w14:paraId="430BD992" w14:textId="12A7CB8D" w:rsidR="002047CF" w:rsidRPr="005847A9" w:rsidRDefault="00862570" w:rsidP="005847A9">
      <w:pPr>
        <w:spacing w:line="360" w:lineRule="auto"/>
        <w:ind w:firstLine="720"/>
        <w:rPr>
          <w:rFonts w:ascii="Arial" w:hAnsi="Arial" w:cs="Arial"/>
          <w:sz w:val="24"/>
          <w:szCs w:val="24"/>
        </w:rPr>
      </w:pPr>
      <w:bookmarkStart w:id="8" w:name="_Hlk63434753"/>
      <w:r w:rsidRPr="005847A9">
        <w:rPr>
          <w:rFonts w:ascii="Arial" w:hAnsi="Arial" w:cs="Arial"/>
          <w:sz w:val="24"/>
          <w:szCs w:val="24"/>
        </w:rPr>
        <w:t xml:space="preserve">In the absence of a control group, the observations and reflections from this service evaluation are speculative. </w:t>
      </w:r>
      <w:r w:rsidR="0069693A" w:rsidRPr="005847A9">
        <w:rPr>
          <w:rFonts w:ascii="Arial" w:hAnsi="Arial" w:cs="Arial"/>
          <w:sz w:val="24"/>
          <w:szCs w:val="24"/>
        </w:rPr>
        <w:t xml:space="preserve">Outcome data </w:t>
      </w:r>
      <w:r w:rsidR="00372856" w:rsidRPr="005847A9">
        <w:rPr>
          <w:rFonts w:ascii="Arial" w:hAnsi="Arial" w:cs="Arial"/>
          <w:sz w:val="24"/>
          <w:szCs w:val="24"/>
        </w:rPr>
        <w:t xml:space="preserve">nevertheless </w:t>
      </w:r>
      <w:r w:rsidR="0069693A" w:rsidRPr="005847A9">
        <w:rPr>
          <w:rFonts w:ascii="Arial" w:hAnsi="Arial" w:cs="Arial"/>
          <w:sz w:val="24"/>
          <w:szCs w:val="24"/>
        </w:rPr>
        <w:t>demonstrated a significant reduction in symptoms of anxiety, depression and PTSD. The changes in average score represented a shift from ‘severe’ to ‘moderately severe’ depression, and from ‘severe’ to ‘moderate’ anxiety. PTSD scores remained well above the cut-off for probable PTSD</w:t>
      </w:r>
      <w:r w:rsidRPr="005847A9">
        <w:rPr>
          <w:rFonts w:ascii="Arial" w:hAnsi="Arial" w:cs="Arial"/>
          <w:sz w:val="24"/>
          <w:szCs w:val="24"/>
        </w:rPr>
        <w:t xml:space="preserve">, indicating the importance of providing a PTSD focused intervention following the group. It may well be that offering </w:t>
      </w:r>
      <w:r w:rsidR="00263A0B" w:rsidRPr="005847A9">
        <w:rPr>
          <w:rFonts w:ascii="Arial" w:hAnsi="Arial" w:cs="Arial"/>
          <w:sz w:val="24"/>
          <w:szCs w:val="24"/>
        </w:rPr>
        <w:t>a</w:t>
      </w:r>
      <w:r w:rsidRPr="005847A9">
        <w:rPr>
          <w:rFonts w:ascii="Arial" w:hAnsi="Arial" w:cs="Arial"/>
          <w:sz w:val="24"/>
          <w:szCs w:val="24"/>
        </w:rPr>
        <w:t xml:space="preserve"> PTSD intervention first is most effective, as argued by</w:t>
      </w:r>
      <w:r w:rsidR="00263A0B" w:rsidRPr="005847A9">
        <w:rPr>
          <w:rFonts w:ascii="Arial" w:hAnsi="Arial" w:cs="Arial"/>
          <w:sz w:val="24"/>
          <w:szCs w:val="24"/>
          <w:u w:val="single"/>
        </w:rPr>
        <w:t xml:space="preserve"> </w:t>
      </w:r>
      <w:r w:rsidR="00263A0B" w:rsidRPr="005847A9">
        <w:rPr>
          <w:rFonts w:ascii="Arial" w:hAnsi="Arial" w:cs="Arial"/>
          <w:sz w:val="24"/>
          <w:szCs w:val="24"/>
        </w:rPr>
        <w:t xml:space="preserve">ter Heide and colleagues (2016). </w:t>
      </w:r>
      <w:r w:rsidR="002047CF" w:rsidRPr="005847A9">
        <w:rPr>
          <w:rFonts w:ascii="Arial" w:hAnsi="Arial" w:cs="Arial"/>
          <w:sz w:val="24"/>
          <w:szCs w:val="24"/>
        </w:rPr>
        <w:t xml:space="preserve">Another possibility is that a minority of participants met the criteria for CPTSD, and so the stabilisation group was effective for just this minority of participants. </w:t>
      </w:r>
      <w:r w:rsidR="00263A0B" w:rsidRPr="005847A9">
        <w:rPr>
          <w:rFonts w:ascii="Arial" w:hAnsi="Arial" w:cs="Arial"/>
          <w:sz w:val="24"/>
          <w:szCs w:val="24"/>
        </w:rPr>
        <w:t>Future research should therefore</w:t>
      </w:r>
      <w:r w:rsidR="002047CF" w:rsidRPr="005847A9">
        <w:rPr>
          <w:rFonts w:ascii="Arial" w:hAnsi="Arial" w:cs="Arial"/>
          <w:sz w:val="24"/>
          <w:szCs w:val="24"/>
        </w:rPr>
        <w:t xml:space="preserve"> carefully establish the rate of CPTSD versus PTSD in participants and </w:t>
      </w:r>
      <w:r w:rsidR="00263A0B" w:rsidRPr="005847A9">
        <w:rPr>
          <w:rFonts w:ascii="Arial" w:hAnsi="Arial" w:cs="Arial"/>
          <w:sz w:val="24"/>
          <w:szCs w:val="24"/>
        </w:rPr>
        <w:t xml:space="preserve">investigate the utility of a pre-trauma treatment phase on stabilisation in this </w:t>
      </w:r>
      <w:r w:rsidR="002047CF" w:rsidRPr="005847A9">
        <w:rPr>
          <w:rFonts w:ascii="Arial" w:hAnsi="Arial" w:cs="Arial"/>
          <w:sz w:val="24"/>
          <w:szCs w:val="24"/>
        </w:rPr>
        <w:t>group</w:t>
      </w:r>
      <w:r w:rsidR="00263A0B" w:rsidRPr="005847A9">
        <w:rPr>
          <w:rFonts w:ascii="Arial" w:hAnsi="Arial" w:cs="Arial"/>
          <w:sz w:val="24"/>
          <w:szCs w:val="24"/>
        </w:rPr>
        <w:t xml:space="preserve">. </w:t>
      </w:r>
    </w:p>
    <w:bookmarkEnd w:id="8"/>
    <w:p w14:paraId="14CF49D0" w14:textId="69830C4C" w:rsidR="0069693A" w:rsidRPr="005847A9" w:rsidRDefault="002047CF" w:rsidP="005847A9">
      <w:pPr>
        <w:spacing w:line="360" w:lineRule="auto"/>
        <w:ind w:firstLine="720"/>
        <w:rPr>
          <w:rFonts w:ascii="Arial" w:hAnsi="Arial" w:cs="Arial"/>
          <w:sz w:val="24"/>
          <w:szCs w:val="24"/>
        </w:rPr>
      </w:pPr>
      <w:r w:rsidRPr="005847A9">
        <w:rPr>
          <w:rFonts w:ascii="Arial" w:hAnsi="Arial" w:cs="Arial"/>
          <w:sz w:val="24"/>
          <w:szCs w:val="24"/>
        </w:rPr>
        <w:t xml:space="preserve">In comparison to 1:1 interventions, there were efficiencies in offering group based stabilisation interventions in terms of reduced clinical time and in the use of interpreters often with more than one patient. </w:t>
      </w:r>
      <w:r w:rsidR="00263A0B" w:rsidRPr="005847A9">
        <w:rPr>
          <w:rFonts w:ascii="Arial" w:hAnsi="Arial" w:cs="Arial"/>
          <w:sz w:val="24"/>
          <w:szCs w:val="24"/>
        </w:rPr>
        <w:t xml:space="preserve">Qualitative feedback from participants indicated that </w:t>
      </w:r>
      <w:r w:rsidRPr="005847A9">
        <w:rPr>
          <w:rFonts w:ascii="Arial" w:hAnsi="Arial" w:cs="Arial"/>
          <w:sz w:val="24"/>
          <w:szCs w:val="24"/>
        </w:rPr>
        <w:t xml:space="preserve">they </w:t>
      </w:r>
      <w:r w:rsidR="00263A0B" w:rsidRPr="005847A9">
        <w:rPr>
          <w:rFonts w:ascii="Arial" w:hAnsi="Arial" w:cs="Arial"/>
          <w:sz w:val="24"/>
          <w:szCs w:val="24"/>
        </w:rPr>
        <w:t>found the practical support offered during the stabilisation group useful, for instance when clinicians</w:t>
      </w:r>
      <w:r w:rsidR="00862570" w:rsidRPr="005847A9">
        <w:rPr>
          <w:rFonts w:ascii="Arial" w:hAnsi="Arial" w:cs="Arial"/>
          <w:sz w:val="24"/>
          <w:szCs w:val="24"/>
          <w:u w:val="single"/>
        </w:rPr>
        <w:t xml:space="preserve"> </w:t>
      </w:r>
      <w:r w:rsidR="00263A0B" w:rsidRPr="005847A9">
        <w:rPr>
          <w:rFonts w:ascii="Arial" w:hAnsi="Arial" w:cs="Arial"/>
          <w:sz w:val="24"/>
          <w:szCs w:val="24"/>
        </w:rPr>
        <w:t xml:space="preserve">liaised with community-based services to challenge internal dispersal by the Home Office while in treatment. Feedback also mentioned the positive effects of building relationships with other members of the group. If offering a trauma-focused treatment as a first-line intervention, clinicians should consider how to offer such practical support alongside therapy. </w:t>
      </w:r>
    </w:p>
    <w:p w14:paraId="1DABC47D" w14:textId="2FECBC4D" w:rsidR="006F627F" w:rsidRPr="005847A9" w:rsidRDefault="00862570" w:rsidP="005847A9">
      <w:pPr>
        <w:spacing w:line="360" w:lineRule="auto"/>
        <w:ind w:firstLine="720"/>
        <w:rPr>
          <w:rFonts w:ascii="Arial" w:hAnsi="Arial" w:cs="Arial"/>
          <w:sz w:val="24"/>
          <w:szCs w:val="24"/>
        </w:rPr>
      </w:pPr>
      <w:bookmarkStart w:id="9" w:name="_Hlk63433677"/>
      <w:r w:rsidRPr="005847A9">
        <w:rPr>
          <w:rFonts w:ascii="Arial" w:hAnsi="Arial" w:cs="Arial"/>
          <w:sz w:val="24"/>
          <w:szCs w:val="24"/>
        </w:rPr>
        <w:t>T</w:t>
      </w:r>
      <w:r w:rsidR="00E9529A" w:rsidRPr="005847A9">
        <w:rPr>
          <w:rFonts w:ascii="Arial" w:hAnsi="Arial" w:cs="Arial"/>
          <w:sz w:val="24"/>
          <w:szCs w:val="24"/>
        </w:rPr>
        <w:t>he principles underlying the delivery of these groups reflect key messages in the IAPT BAME Positive Practice Guide (B</w:t>
      </w:r>
      <w:r w:rsidR="000A67CC" w:rsidRPr="005847A9">
        <w:rPr>
          <w:rFonts w:ascii="Arial" w:hAnsi="Arial" w:cs="Arial"/>
          <w:sz w:val="24"/>
          <w:szCs w:val="24"/>
        </w:rPr>
        <w:t>eck et al</w:t>
      </w:r>
      <w:r w:rsidR="00C65CBE" w:rsidRPr="005847A9">
        <w:rPr>
          <w:rFonts w:ascii="Arial" w:hAnsi="Arial" w:cs="Arial"/>
          <w:sz w:val="24"/>
          <w:szCs w:val="24"/>
        </w:rPr>
        <w:t>.</w:t>
      </w:r>
      <w:r w:rsidR="00E9529A" w:rsidRPr="005847A9">
        <w:rPr>
          <w:rFonts w:ascii="Arial" w:hAnsi="Arial" w:cs="Arial"/>
          <w:sz w:val="24"/>
          <w:szCs w:val="24"/>
        </w:rPr>
        <w:t>, 2019)</w:t>
      </w:r>
      <w:r w:rsidR="00DF718B" w:rsidRPr="005847A9">
        <w:rPr>
          <w:rFonts w:ascii="Arial" w:hAnsi="Arial" w:cs="Arial"/>
          <w:sz w:val="24"/>
          <w:szCs w:val="24"/>
        </w:rPr>
        <w:t>.  This Guidance highlights</w:t>
      </w:r>
      <w:r w:rsidR="002169B7" w:rsidRPr="005847A9">
        <w:rPr>
          <w:rFonts w:ascii="Arial" w:hAnsi="Arial" w:cs="Arial"/>
          <w:sz w:val="24"/>
          <w:szCs w:val="24"/>
        </w:rPr>
        <w:t xml:space="preserve"> the need to provide specialist training</w:t>
      </w:r>
      <w:r w:rsidR="00DF718B" w:rsidRPr="005847A9">
        <w:rPr>
          <w:rFonts w:ascii="Arial" w:hAnsi="Arial" w:cs="Arial"/>
          <w:sz w:val="24"/>
          <w:szCs w:val="24"/>
        </w:rPr>
        <w:t xml:space="preserve"> for staff working with refugees and asylum seekers for example</w:t>
      </w:r>
      <w:r w:rsidR="002169B7" w:rsidRPr="005847A9">
        <w:rPr>
          <w:rFonts w:ascii="Arial" w:hAnsi="Arial" w:cs="Arial"/>
          <w:sz w:val="24"/>
          <w:szCs w:val="24"/>
        </w:rPr>
        <w:t xml:space="preserve"> in how distress is manifested following trauma </w:t>
      </w:r>
      <w:r w:rsidR="00DF718B" w:rsidRPr="005847A9">
        <w:rPr>
          <w:rFonts w:ascii="Arial" w:hAnsi="Arial" w:cs="Arial"/>
          <w:sz w:val="24"/>
          <w:szCs w:val="24"/>
        </w:rPr>
        <w:t xml:space="preserve">or the role of dissociation, sees benefits in multi-agency working and fundamentally reinforces the need for culturally responsive or culturally adapted therapy.    </w:t>
      </w:r>
    </w:p>
    <w:p w14:paraId="23AA3942" w14:textId="2800A074" w:rsidR="00874BAB" w:rsidRPr="005847A9" w:rsidRDefault="00874BAB" w:rsidP="005847A9">
      <w:pPr>
        <w:spacing w:line="360" w:lineRule="auto"/>
        <w:ind w:firstLine="720"/>
        <w:rPr>
          <w:rFonts w:ascii="Arial" w:hAnsi="Arial" w:cs="Arial"/>
          <w:sz w:val="24"/>
          <w:szCs w:val="24"/>
        </w:rPr>
      </w:pPr>
      <w:r w:rsidRPr="005847A9">
        <w:rPr>
          <w:rFonts w:ascii="Arial" w:hAnsi="Arial" w:cs="Arial"/>
          <w:sz w:val="24"/>
          <w:szCs w:val="24"/>
        </w:rPr>
        <w:t xml:space="preserve">Delivering stabilisation groups of this kind requires skilled facilitation, hence groups were led by an experienced clinical psychologist supported by an assistant psychologist.  </w:t>
      </w:r>
      <w:bookmarkStart w:id="10" w:name="_Hlk63433571"/>
      <w:r w:rsidRPr="005847A9">
        <w:rPr>
          <w:rFonts w:ascii="Arial" w:hAnsi="Arial" w:cs="Arial"/>
          <w:sz w:val="24"/>
          <w:szCs w:val="24"/>
        </w:rPr>
        <w:t>In addition to clinical specialism, an understanding of the field and strong links to local community services and resources is recommended</w:t>
      </w:r>
      <w:r w:rsidR="0012521A" w:rsidRPr="005847A9">
        <w:rPr>
          <w:rFonts w:ascii="Arial" w:hAnsi="Arial" w:cs="Arial"/>
          <w:sz w:val="24"/>
          <w:szCs w:val="24"/>
        </w:rPr>
        <w:t>, and again reiterated in good practice guidance (B</w:t>
      </w:r>
      <w:r w:rsidR="000A67CC" w:rsidRPr="005847A9">
        <w:rPr>
          <w:rFonts w:ascii="Arial" w:hAnsi="Arial" w:cs="Arial"/>
          <w:sz w:val="24"/>
          <w:szCs w:val="24"/>
        </w:rPr>
        <w:t>eck et al</w:t>
      </w:r>
      <w:r w:rsidR="00C65CBE" w:rsidRPr="005847A9">
        <w:rPr>
          <w:rFonts w:ascii="Arial" w:hAnsi="Arial" w:cs="Arial"/>
          <w:sz w:val="24"/>
          <w:szCs w:val="24"/>
        </w:rPr>
        <w:t>.</w:t>
      </w:r>
      <w:r w:rsidR="0012521A" w:rsidRPr="005847A9">
        <w:rPr>
          <w:rFonts w:ascii="Arial" w:hAnsi="Arial" w:cs="Arial"/>
          <w:sz w:val="24"/>
          <w:szCs w:val="24"/>
        </w:rPr>
        <w:t>, 2019)</w:t>
      </w:r>
      <w:r w:rsidRPr="005847A9">
        <w:rPr>
          <w:rFonts w:ascii="Arial" w:hAnsi="Arial" w:cs="Arial"/>
          <w:sz w:val="24"/>
          <w:szCs w:val="24"/>
        </w:rPr>
        <w:t>.</w:t>
      </w:r>
    </w:p>
    <w:bookmarkEnd w:id="9"/>
    <w:bookmarkEnd w:id="10"/>
    <w:p w14:paraId="292346A0" w14:textId="77777777" w:rsidR="00FC45E1" w:rsidRPr="005847A9" w:rsidRDefault="00FC45E1" w:rsidP="005847A9">
      <w:pPr>
        <w:spacing w:line="360" w:lineRule="auto"/>
        <w:rPr>
          <w:rFonts w:ascii="Arial" w:hAnsi="Arial" w:cs="Arial"/>
          <w:sz w:val="24"/>
          <w:szCs w:val="24"/>
        </w:rPr>
      </w:pPr>
      <w:r w:rsidRPr="005847A9">
        <w:rPr>
          <w:rFonts w:ascii="Arial" w:hAnsi="Arial" w:cs="Arial"/>
          <w:sz w:val="24"/>
          <w:szCs w:val="24"/>
        </w:rPr>
        <w:t>From this evaluation, key recommendations would include:</w:t>
      </w:r>
    </w:p>
    <w:p w14:paraId="49592A5D" w14:textId="42FEC2FF" w:rsidR="00FC45E1" w:rsidRPr="005847A9" w:rsidRDefault="00FC45E1" w:rsidP="005847A9">
      <w:pPr>
        <w:numPr>
          <w:ilvl w:val="0"/>
          <w:numId w:val="9"/>
        </w:numPr>
        <w:spacing w:line="360" w:lineRule="auto"/>
        <w:rPr>
          <w:rFonts w:ascii="Arial" w:hAnsi="Arial" w:cs="Arial"/>
          <w:sz w:val="24"/>
          <w:szCs w:val="24"/>
        </w:rPr>
      </w:pPr>
      <w:r w:rsidRPr="005847A9">
        <w:rPr>
          <w:rFonts w:ascii="Arial" w:hAnsi="Arial" w:cs="Arial"/>
          <w:sz w:val="24"/>
          <w:szCs w:val="24"/>
        </w:rPr>
        <w:t>clarity on commissioning responsibility for such specialist interventions which could inform the allocation of appropriate resources</w:t>
      </w:r>
    </w:p>
    <w:p w14:paraId="7CBAFB23" w14:textId="428B7DE3" w:rsidR="00FC45E1" w:rsidRPr="005847A9" w:rsidRDefault="00FC45E1" w:rsidP="005847A9">
      <w:pPr>
        <w:numPr>
          <w:ilvl w:val="0"/>
          <w:numId w:val="9"/>
        </w:numPr>
        <w:spacing w:line="360" w:lineRule="auto"/>
        <w:rPr>
          <w:rFonts w:ascii="Arial" w:hAnsi="Arial" w:cs="Arial"/>
          <w:sz w:val="24"/>
          <w:szCs w:val="24"/>
        </w:rPr>
      </w:pPr>
      <w:r w:rsidRPr="005847A9">
        <w:rPr>
          <w:rFonts w:ascii="Arial" w:hAnsi="Arial" w:cs="Arial"/>
          <w:sz w:val="24"/>
          <w:szCs w:val="24"/>
        </w:rPr>
        <w:t>the need to promote accessible services for asylum seekers and refugees which incorporate measures to address structural barriers (e.g. by providing well-trained and supported interpreters, flexible DNA policy) and cultural barriers (working with community organisations; recruiting community based mental health workers)</w:t>
      </w:r>
    </w:p>
    <w:p w14:paraId="2C416740" w14:textId="77777777" w:rsidR="00FC45E1" w:rsidRPr="005847A9" w:rsidRDefault="00FC45E1" w:rsidP="005847A9">
      <w:pPr>
        <w:numPr>
          <w:ilvl w:val="0"/>
          <w:numId w:val="9"/>
        </w:numPr>
        <w:spacing w:line="360" w:lineRule="auto"/>
        <w:rPr>
          <w:rFonts w:ascii="Arial" w:hAnsi="Arial" w:cs="Arial"/>
          <w:sz w:val="24"/>
          <w:szCs w:val="24"/>
        </w:rPr>
      </w:pPr>
      <w:r w:rsidRPr="005847A9">
        <w:rPr>
          <w:rFonts w:ascii="Arial" w:hAnsi="Arial" w:cs="Arial"/>
          <w:sz w:val="24"/>
          <w:szCs w:val="24"/>
        </w:rPr>
        <w:t>formal translation of key routine outcomes measures including audio-translation for those who cannot access outcome measures in written form.</w:t>
      </w:r>
    </w:p>
    <w:p w14:paraId="089EF913" w14:textId="044EE668" w:rsidR="008D252A" w:rsidRPr="005847A9" w:rsidRDefault="008D252A" w:rsidP="005847A9">
      <w:pPr>
        <w:spacing w:line="360" w:lineRule="auto"/>
        <w:rPr>
          <w:rFonts w:ascii="Arial" w:hAnsi="Arial" w:cs="Arial"/>
          <w:sz w:val="24"/>
          <w:szCs w:val="24"/>
        </w:rPr>
      </w:pPr>
    </w:p>
    <w:p w14:paraId="61E9DB61" w14:textId="63920087" w:rsidR="00E5215C" w:rsidRPr="005847A9" w:rsidRDefault="00E5215C" w:rsidP="005847A9">
      <w:pPr>
        <w:spacing w:line="360" w:lineRule="auto"/>
        <w:rPr>
          <w:rFonts w:ascii="Arial" w:hAnsi="Arial" w:cs="Arial"/>
          <w:sz w:val="24"/>
          <w:szCs w:val="24"/>
        </w:rPr>
      </w:pPr>
    </w:p>
    <w:p w14:paraId="732B25F6" w14:textId="7D09B0D7" w:rsidR="00E5215C" w:rsidRDefault="00E5215C" w:rsidP="005847A9">
      <w:pPr>
        <w:spacing w:line="360" w:lineRule="auto"/>
        <w:rPr>
          <w:rFonts w:ascii="Arial" w:hAnsi="Arial" w:cs="Arial"/>
          <w:sz w:val="24"/>
          <w:szCs w:val="24"/>
        </w:rPr>
      </w:pPr>
    </w:p>
    <w:p w14:paraId="77D22AB4" w14:textId="54BD2C4E" w:rsidR="002E358F" w:rsidRDefault="002E358F" w:rsidP="005847A9">
      <w:pPr>
        <w:spacing w:line="360" w:lineRule="auto"/>
        <w:rPr>
          <w:rFonts w:ascii="Arial" w:hAnsi="Arial" w:cs="Arial"/>
          <w:sz w:val="24"/>
          <w:szCs w:val="24"/>
        </w:rPr>
      </w:pPr>
    </w:p>
    <w:p w14:paraId="7859A258" w14:textId="21B60D65" w:rsidR="002E358F" w:rsidRDefault="002E358F" w:rsidP="005847A9">
      <w:pPr>
        <w:spacing w:line="360" w:lineRule="auto"/>
        <w:rPr>
          <w:rFonts w:ascii="Arial" w:hAnsi="Arial" w:cs="Arial"/>
          <w:sz w:val="24"/>
          <w:szCs w:val="24"/>
        </w:rPr>
      </w:pPr>
    </w:p>
    <w:p w14:paraId="602CA63E" w14:textId="2BF28E76" w:rsidR="002E358F" w:rsidRDefault="002E358F" w:rsidP="005847A9">
      <w:pPr>
        <w:spacing w:line="360" w:lineRule="auto"/>
        <w:rPr>
          <w:rFonts w:ascii="Arial" w:hAnsi="Arial" w:cs="Arial"/>
          <w:sz w:val="24"/>
          <w:szCs w:val="24"/>
        </w:rPr>
      </w:pPr>
    </w:p>
    <w:p w14:paraId="13501AF6" w14:textId="03271DE5" w:rsidR="002E358F" w:rsidRDefault="002E358F" w:rsidP="005847A9">
      <w:pPr>
        <w:spacing w:line="360" w:lineRule="auto"/>
        <w:rPr>
          <w:rFonts w:ascii="Arial" w:hAnsi="Arial" w:cs="Arial"/>
          <w:sz w:val="24"/>
          <w:szCs w:val="24"/>
        </w:rPr>
      </w:pPr>
    </w:p>
    <w:p w14:paraId="0EB29B75" w14:textId="750292FF" w:rsidR="002E358F" w:rsidRDefault="002E358F" w:rsidP="005847A9">
      <w:pPr>
        <w:spacing w:line="360" w:lineRule="auto"/>
        <w:rPr>
          <w:rFonts w:ascii="Arial" w:hAnsi="Arial" w:cs="Arial"/>
          <w:sz w:val="24"/>
          <w:szCs w:val="24"/>
        </w:rPr>
      </w:pPr>
    </w:p>
    <w:p w14:paraId="7ECE3A04" w14:textId="4894B58C" w:rsidR="002E358F" w:rsidRDefault="002E358F" w:rsidP="005847A9">
      <w:pPr>
        <w:spacing w:line="360" w:lineRule="auto"/>
        <w:rPr>
          <w:rFonts w:ascii="Arial" w:hAnsi="Arial" w:cs="Arial"/>
          <w:sz w:val="24"/>
          <w:szCs w:val="24"/>
        </w:rPr>
      </w:pPr>
    </w:p>
    <w:p w14:paraId="0C058CB6" w14:textId="4BF3D538" w:rsidR="002E358F" w:rsidRDefault="002E358F" w:rsidP="005847A9">
      <w:pPr>
        <w:spacing w:line="360" w:lineRule="auto"/>
        <w:rPr>
          <w:rFonts w:ascii="Arial" w:hAnsi="Arial" w:cs="Arial"/>
          <w:sz w:val="24"/>
          <w:szCs w:val="24"/>
        </w:rPr>
      </w:pPr>
    </w:p>
    <w:p w14:paraId="64479A89" w14:textId="2A0067C4" w:rsidR="002E358F" w:rsidRDefault="002E358F" w:rsidP="005847A9">
      <w:pPr>
        <w:spacing w:line="360" w:lineRule="auto"/>
        <w:rPr>
          <w:rFonts w:ascii="Arial" w:hAnsi="Arial" w:cs="Arial"/>
          <w:sz w:val="24"/>
          <w:szCs w:val="24"/>
        </w:rPr>
      </w:pPr>
    </w:p>
    <w:p w14:paraId="6C99968D" w14:textId="5B31A2F2" w:rsidR="002E358F" w:rsidRDefault="002E358F" w:rsidP="005847A9">
      <w:pPr>
        <w:spacing w:line="360" w:lineRule="auto"/>
        <w:rPr>
          <w:rFonts w:ascii="Arial" w:hAnsi="Arial" w:cs="Arial"/>
          <w:sz w:val="24"/>
          <w:szCs w:val="24"/>
        </w:rPr>
      </w:pPr>
    </w:p>
    <w:p w14:paraId="1A450458" w14:textId="64C4630E" w:rsidR="002E358F" w:rsidRDefault="002E358F" w:rsidP="005847A9">
      <w:pPr>
        <w:spacing w:line="360" w:lineRule="auto"/>
        <w:rPr>
          <w:rFonts w:ascii="Arial" w:hAnsi="Arial" w:cs="Arial"/>
          <w:sz w:val="24"/>
          <w:szCs w:val="24"/>
        </w:rPr>
      </w:pPr>
    </w:p>
    <w:p w14:paraId="5D190E0A" w14:textId="253C7C70" w:rsidR="002E358F" w:rsidRDefault="002E358F" w:rsidP="005847A9">
      <w:pPr>
        <w:spacing w:line="360" w:lineRule="auto"/>
        <w:rPr>
          <w:rFonts w:ascii="Arial" w:hAnsi="Arial" w:cs="Arial"/>
          <w:sz w:val="24"/>
          <w:szCs w:val="24"/>
        </w:rPr>
      </w:pPr>
    </w:p>
    <w:p w14:paraId="1C7E9042" w14:textId="77777777" w:rsidR="002E358F" w:rsidRPr="005847A9" w:rsidRDefault="002E358F" w:rsidP="005847A9">
      <w:pPr>
        <w:spacing w:line="360" w:lineRule="auto"/>
        <w:rPr>
          <w:rFonts w:ascii="Arial" w:hAnsi="Arial" w:cs="Arial"/>
          <w:sz w:val="24"/>
          <w:szCs w:val="24"/>
        </w:rPr>
      </w:pPr>
    </w:p>
    <w:p w14:paraId="67AD15E6" w14:textId="2B205FD0" w:rsidR="004B4099" w:rsidRPr="005847A9" w:rsidRDefault="006D529B" w:rsidP="005847A9">
      <w:pPr>
        <w:spacing w:line="360" w:lineRule="auto"/>
        <w:jc w:val="center"/>
        <w:rPr>
          <w:rFonts w:ascii="Arial" w:hAnsi="Arial" w:cs="Arial"/>
          <w:sz w:val="24"/>
          <w:szCs w:val="24"/>
        </w:rPr>
      </w:pPr>
      <w:r w:rsidRPr="005847A9">
        <w:rPr>
          <w:rFonts w:ascii="Arial" w:hAnsi="Arial" w:cs="Arial"/>
          <w:sz w:val="24"/>
          <w:szCs w:val="24"/>
        </w:rPr>
        <w:t>References</w:t>
      </w:r>
    </w:p>
    <w:p w14:paraId="6F15DED2" w14:textId="7C6951B7" w:rsidR="00576847" w:rsidRPr="005847A9" w:rsidRDefault="00576847" w:rsidP="005847A9">
      <w:pPr>
        <w:spacing w:line="360" w:lineRule="auto"/>
        <w:ind w:left="851" w:hanging="851"/>
        <w:rPr>
          <w:rFonts w:ascii="Arial" w:hAnsi="Arial" w:cs="Arial"/>
          <w:i/>
          <w:iCs/>
          <w:sz w:val="24"/>
          <w:szCs w:val="24"/>
        </w:rPr>
      </w:pPr>
      <w:r w:rsidRPr="005847A9">
        <w:rPr>
          <w:rFonts w:ascii="Arial" w:hAnsi="Arial" w:cs="Arial"/>
          <w:b/>
          <w:bCs/>
          <w:sz w:val="24"/>
          <w:szCs w:val="24"/>
        </w:rPr>
        <w:t xml:space="preserve">American Psychiatric Association (APA). (2013). </w:t>
      </w:r>
      <w:r w:rsidRPr="005847A9">
        <w:rPr>
          <w:rFonts w:ascii="Arial" w:hAnsi="Arial" w:cs="Arial"/>
          <w:i/>
          <w:iCs/>
          <w:sz w:val="24"/>
          <w:szCs w:val="24"/>
        </w:rPr>
        <w:t xml:space="preserve">Diagnostic and statistical manual of mental disorders, DSM-5. </w:t>
      </w:r>
    </w:p>
    <w:p w14:paraId="2A8A6CF1" w14:textId="0D922661" w:rsidR="000A67CC" w:rsidRPr="005847A9" w:rsidRDefault="000A67CC" w:rsidP="005847A9">
      <w:pPr>
        <w:spacing w:line="360" w:lineRule="auto"/>
        <w:ind w:left="720" w:hanging="720"/>
        <w:rPr>
          <w:rFonts w:ascii="Arial" w:hAnsi="Arial" w:cs="Arial"/>
          <w:bCs/>
          <w:sz w:val="24"/>
          <w:szCs w:val="24"/>
        </w:rPr>
      </w:pPr>
      <w:r w:rsidRPr="005847A9">
        <w:rPr>
          <w:rFonts w:ascii="Arial" w:hAnsi="Arial" w:cs="Arial"/>
          <w:b/>
          <w:bCs/>
          <w:sz w:val="24"/>
          <w:szCs w:val="24"/>
        </w:rPr>
        <w:t xml:space="preserve">Beck, A., Naz, S., Brooks, M., Jankowska, M. (2019). </w:t>
      </w:r>
      <w:r w:rsidRPr="005847A9">
        <w:rPr>
          <w:rFonts w:ascii="Arial" w:hAnsi="Arial" w:cs="Arial"/>
          <w:bCs/>
          <w:sz w:val="24"/>
          <w:szCs w:val="24"/>
        </w:rPr>
        <w:t>Improving Access to Psychological Therapies: Black and minority ethnic service user positive practice guide. British Association for Behavioural and Cognitive Psychotherapies (BABCP).</w:t>
      </w:r>
    </w:p>
    <w:p w14:paraId="06EA939A" w14:textId="7975696F" w:rsidR="000A38BE" w:rsidRPr="005847A9" w:rsidRDefault="000A38BE" w:rsidP="005847A9">
      <w:pPr>
        <w:spacing w:line="360" w:lineRule="auto"/>
        <w:ind w:left="720" w:hanging="720"/>
        <w:rPr>
          <w:rFonts w:ascii="Arial" w:hAnsi="Arial" w:cs="Arial"/>
          <w:sz w:val="24"/>
          <w:szCs w:val="24"/>
        </w:rPr>
      </w:pPr>
      <w:r w:rsidRPr="005847A9">
        <w:rPr>
          <w:rFonts w:ascii="Arial" w:hAnsi="Arial" w:cs="Arial"/>
          <w:b/>
          <w:sz w:val="24"/>
          <w:szCs w:val="24"/>
        </w:rPr>
        <w:t xml:space="preserve">Carswell, K., Blackburn, P., &amp; Barker, C. (2011). </w:t>
      </w:r>
      <w:r w:rsidRPr="005847A9">
        <w:rPr>
          <w:rFonts w:ascii="Arial" w:hAnsi="Arial" w:cs="Arial"/>
          <w:sz w:val="24"/>
          <w:szCs w:val="24"/>
        </w:rPr>
        <w:t>The relationship between post-migration problems and the psychological wellbeing of refugees and asylum seekers</w:t>
      </w:r>
      <w:r w:rsidRPr="005847A9">
        <w:rPr>
          <w:rFonts w:ascii="Arial" w:hAnsi="Arial" w:cs="Arial"/>
          <w:i/>
          <w:sz w:val="24"/>
          <w:szCs w:val="24"/>
        </w:rPr>
        <w:t>. International Journal of</w:t>
      </w:r>
      <w:r w:rsidRPr="005847A9">
        <w:rPr>
          <w:rFonts w:ascii="Arial" w:hAnsi="Arial" w:cs="Arial"/>
          <w:sz w:val="24"/>
          <w:szCs w:val="24"/>
        </w:rPr>
        <w:t xml:space="preserve"> </w:t>
      </w:r>
      <w:r w:rsidRPr="005847A9">
        <w:rPr>
          <w:rFonts w:ascii="Arial" w:hAnsi="Arial" w:cs="Arial"/>
          <w:i/>
          <w:sz w:val="24"/>
          <w:szCs w:val="24"/>
        </w:rPr>
        <w:t>Social Psychiatry, 57(2), 107</w:t>
      </w:r>
      <w:r w:rsidR="004E38D5" w:rsidRPr="005847A9">
        <w:rPr>
          <w:rFonts w:ascii="Arial" w:hAnsi="Arial" w:cs="Arial"/>
          <w:i/>
          <w:sz w:val="24"/>
          <w:szCs w:val="24"/>
        </w:rPr>
        <w:t>-</w:t>
      </w:r>
      <w:r w:rsidRPr="005847A9">
        <w:rPr>
          <w:rFonts w:ascii="Arial" w:hAnsi="Arial" w:cs="Arial"/>
          <w:i/>
          <w:sz w:val="24"/>
          <w:szCs w:val="24"/>
        </w:rPr>
        <w:t>119</w:t>
      </w:r>
      <w:r w:rsidRPr="005847A9">
        <w:rPr>
          <w:rFonts w:ascii="Arial" w:hAnsi="Arial" w:cs="Arial"/>
          <w:sz w:val="24"/>
          <w:szCs w:val="24"/>
        </w:rPr>
        <w:t>.</w:t>
      </w:r>
    </w:p>
    <w:p w14:paraId="285ACB93" w14:textId="2C916BFE" w:rsidR="00B84378" w:rsidRPr="005847A9" w:rsidRDefault="00B84378" w:rsidP="005847A9">
      <w:pPr>
        <w:spacing w:line="360" w:lineRule="auto"/>
        <w:ind w:left="720" w:hanging="720"/>
        <w:rPr>
          <w:rFonts w:ascii="Arial" w:hAnsi="Arial" w:cs="Arial"/>
          <w:bCs/>
          <w:sz w:val="24"/>
          <w:szCs w:val="24"/>
        </w:rPr>
      </w:pPr>
      <w:r w:rsidRPr="005847A9">
        <w:rPr>
          <w:rFonts w:ascii="Arial" w:hAnsi="Arial" w:cs="Arial"/>
          <w:b/>
          <w:bCs/>
          <w:sz w:val="24"/>
          <w:szCs w:val="24"/>
        </w:rPr>
        <w:t>Crawford, M.J., Thana, L., Farquharson, L., Palmer, L., Hancock, E., Bassett, P….&amp; Parry, G.D. (2016).</w:t>
      </w:r>
      <w:r w:rsidRPr="005847A9">
        <w:rPr>
          <w:rFonts w:ascii="Arial" w:hAnsi="Arial" w:cs="Arial"/>
          <w:bCs/>
          <w:sz w:val="24"/>
          <w:szCs w:val="24"/>
        </w:rPr>
        <w:t xml:space="preserve"> Patient experience of negative effects of psychological treatment: results of a national survey. </w:t>
      </w:r>
      <w:r w:rsidRPr="005847A9">
        <w:rPr>
          <w:rFonts w:ascii="Arial" w:hAnsi="Arial" w:cs="Arial"/>
          <w:bCs/>
          <w:i/>
          <w:sz w:val="24"/>
          <w:szCs w:val="24"/>
        </w:rPr>
        <w:t>The British Journal of Psychiatry, 208(3), 260-265.</w:t>
      </w:r>
      <w:r w:rsidRPr="005847A9">
        <w:rPr>
          <w:rFonts w:ascii="Arial" w:hAnsi="Arial" w:cs="Arial"/>
          <w:bCs/>
          <w:sz w:val="24"/>
          <w:szCs w:val="24"/>
        </w:rPr>
        <w:t xml:space="preserve"> </w:t>
      </w:r>
    </w:p>
    <w:p w14:paraId="3844D044" w14:textId="16A9C20B" w:rsidR="00584565" w:rsidRPr="005847A9" w:rsidRDefault="00584565" w:rsidP="005847A9">
      <w:pPr>
        <w:spacing w:line="360" w:lineRule="auto"/>
        <w:ind w:left="720" w:hanging="720"/>
        <w:rPr>
          <w:rFonts w:ascii="Arial" w:hAnsi="Arial" w:cs="Arial"/>
          <w:b/>
          <w:bCs/>
          <w:sz w:val="24"/>
          <w:szCs w:val="24"/>
        </w:rPr>
      </w:pPr>
      <w:r w:rsidRPr="005847A9">
        <w:rPr>
          <w:rFonts w:ascii="Arial" w:hAnsi="Arial" w:cs="Arial"/>
          <w:b/>
          <w:bCs/>
          <w:sz w:val="24"/>
          <w:szCs w:val="24"/>
        </w:rPr>
        <w:t>Davey, C., Heard, R., Lennings, C. (2015).</w:t>
      </w:r>
      <w:r w:rsidRPr="005847A9">
        <w:rPr>
          <w:rFonts w:ascii="Arial" w:hAnsi="Arial" w:cs="Arial"/>
          <w:sz w:val="24"/>
          <w:szCs w:val="24"/>
        </w:rPr>
        <w:t xml:space="preserve"> Development of the Arabic versions of the Impact of Events Scale</w:t>
      </w:r>
      <w:r w:rsidRPr="005847A9">
        <w:rPr>
          <w:rFonts w:ascii="Cambria Math" w:hAnsi="Cambria Math" w:cs="Cambria Math"/>
          <w:sz w:val="24"/>
          <w:szCs w:val="24"/>
        </w:rPr>
        <w:t>‐</w:t>
      </w:r>
      <w:r w:rsidRPr="005847A9">
        <w:rPr>
          <w:rFonts w:ascii="Arial" w:hAnsi="Arial" w:cs="Arial"/>
          <w:sz w:val="24"/>
          <w:szCs w:val="24"/>
        </w:rPr>
        <w:t xml:space="preserve">Revised and the Posttraumatic Growth Inventory to assess trauma and growth in Middle Eastern refugees in Australia. </w:t>
      </w:r>
      <w:r w:rsidRPr="005847A9">
        <w:rPr>
          <w:rFonts w:ascii="Arial" w:hAnsi="Arial" w:cs="Arial"/>
          <w:i/>
          <w:iCs/>
          <w:sz w:val="24"/>
          <w:szCs w:val="24"/>
        </w:rPr>
        <w:t>Clinical Psychologist</w:t>
      </w:r>
      <w:r w:rsidRPr="005847A9">
        <w:rPr>
          <w:rFonts w:ascii="Arial" w:hAnsi="Arial" w:cs="Arial"/>
          <w:sz w:val="24"/>
          <w:szCs w:val="24"/>
        </w:rPr>
        <w:t>, 19, 131–139.</w:t>
      </w:r>
    </w:p>
    <w:p w14:paraId="0985CBD5" w14:textId="3E10CE31" w:rsidR="00882B14" w:rsidRPr="005847A9" w:rsidRDefault="00882B14" w:rsidP="005847A9">
      <w:pPr>
        <w:spacing w:line="360" w:lineRule="auto"/>
        <w:ind w:left="720" w:hanging="720"/>
        <w:rPr>
          <w:rFonts w:ascii="Arial" w:hAnsi="Arial" w:cs="Arial"/>
          <w:sz w:val="24"/>
          <w:szCs w:val="24"/>
        </w:rPr>
      </w:pPr>
      <w:r w:rsidRPr="005847A9">
        <w:rPr>
          <w:rFonts w:ascii="Arial" w:hAnsi="Arial" w:cs="Arial"/>
          <w:b/>
          <w:bCs/>
          <w:sz w:val="24"/>
          <w:szCs w:val="24"/>
        </w:rPr>
        <w:t>Deisenhammer, E.A., Çoban-Başaran, M., Mantar, A. et al. (2012).</w:t>
      </w:r>
      <w:r w:rsidRPr="005847A9">
        <w:rPr>
          <w:rFonts w:ascii="Arial" w:hAnsi="Arial" w:cs="Arial"/>
          <w:sz w:val="24"/>
          <w:szCs w:val="24"/>
        </w:rPr>
        <w:t xml:space="preserve"> Ethnic and migrational impact on the clinical manifestation of depression. </w:t>
      </w:r>
      <w:r w:rsidRPr="005847A9">
        <w:rPr>
          <w:rFonts w:ascii="Arial" w:hAnsi="Arial" w:cs="Arial"/>
          <w:i/>
          <w:iCs/>
          <w:sz w:val="24"/>
          <w:szCs w:val="24"/>
        </w:rPr>
        <w:t>Soc Psychiatry Psychiatr Epidemiol,</w:t>
      </w:r>
      <w:r w:rsidRPr="005847A9">
        <w:rPr>
          <w:rFonts w:ascii="Arial" w:hAnsi="Arial" w:cs="Arial"/>
          <w:sz w:val="24"/>
          <w:szCs w:val="24"/>
        </w:rPr>
        <w:t xml:space="preserve"> 47, 1121–1129.</w:t>
      </w:r>
    </w:p>
    <w:p w14:paraId="4C672894" w14:textId="070498DD" w:rsidR="009B2FBD" w:rsidRPr="005847A9" w:rsidRDefault="009B2FBD" w:rsidP="005847A9">
      <w:pPr>
        <w:spacing w:line="360" w:lineRule="auto"/>
        <w:ind w:left="720" w:hanging="720"/>
        <w:rPr>
          <w:rFonts w:ascii="Arial" w:hAnsi="Arial" w:cs="Arial"/>
          <w:sz w:val="24"/>
          <w:szCs w:val="24"/>
        </w:rPr>
      </w:pPr>
      <w:r w:rsidRPr="005847A9">
        <w:rPr>
          <w:rFonts w:ascii="Arial" w:hAnsi="Arial" w:cs="Arial"/>
          <w:b/>
          <w:sz w:val="24"/>
          <w:szCs w:val="24"/>
        </w:rPr>
        <w:t>Firth, N., Delgadillo, J., Kellett, S., &amp; Lucock, M. (2020).</w:t>
      </w:r>
      <w:r w:rsidRPr="005847A9">
        <w:rPr>
          <w:rFonts w:ascii="Arial" w:hAnsi="Arial" w:cs="Arial"/>
          <w:sz w:val="24"/>
          <w:szCs w:val="24"/>
        </w:rPr>
        <w:t xml:space="preserve"> The influence of socio-demographic similarity and difference on adequate attendance of group psychoeducational cognitive behavioural therapy</w:t>
      </w:r>
      <w:r w:rsidRPr="005847A9">
        <w:rPr>
          <w:rFonts w:ascii="Arial" w:hAnsi="Arial" w:cs="Arial"/>
          <w:i/>
          <w:iCs/>
          <w:sz w:val="24"/>
          <w:szCs w:val="24"/>
        </w:rPr>
        <w:t>. Psychotherapy Research</w:t>
      </w:r>
      <w:r w:rsidRPr="005847A9">
        <w:rPr>
          <w:rFonts w:ascii="Arial" w:hAnsi="Arial" w:cs="Arial"/>
          <w:sz w:val="24"/>
          <w:szCs w:val="24"/>
        </w:rPr>
        <w:t>, 30(3), 362-374.</w:t>
      </w:r>
    </w:p>
    <w:p w14:paraId="5668FD8C" w14:textId="0D12D3CF" w:rsidR="00540435" w:rsidRPr="005847A9" w:rsidRDefault="00540435" w:rsidP="005847A9">
      <w:pPr>
        <w:spacing w:line="360" w:lineRule="auto"/>
        <w:ind w:left="720" w:hanging="720"/>
        <w:rPr>
          <w:rFonts w:ascii="Arial" w:hAnsi="Arial" w:cs="Arial"/>
          <w:sz w:val="24"/>
          <w:szCs w:val="24"/>
        </w:rPr>
      </w:pPr>
      <w:r w:rsidRPr="005847A9">
        <w:rPr>
          <w:rFonts w:ascii="Arial" w:hAnsi="Arial" w:cs="Arial"/>
          <w:b/>
          <w:bCs/>
          <w:sz w:val="24"/>
          <w:szCs w:val="24"/>
        </w:rPr>
        <w:t>García-Campayo, J., Zamorano, E., Ruiz, M.A., Pardo, A., Pérez-Páramo, M., &amp; López-Gómez, V. (2010).</w:t>
      </w:r>
      <w:r w:rsidRPr="005847A9">
        <w:rPr>
          <w:rFonts w:ascii="Arial" w:hAnsi="Arial" w:cs="Arial"/>
          <w:sz w:val="24"/>
          <w:szCs w:val="24"/>
        </w:rPr>
        <w:t xml:space="preserve"> Cultural adaptation into Spanish of the generalized anxiety disorder-7 (GAD-7) scale as a screening tool. </w:t>
      </w:r>
      <w:r w:rsidRPr="005847A9">
        <w:rPr>
          <w:rFonts w:ascii="Arial" w:hAnsi="Arial" w:cs="Arial"/>
          <w:i/>
          <w:iCs/>
          <w:sz w:val="24"/>
          <w:szCs w:val="24"/>
        </w:rPr>
        <w:t>Health and Quality of Life Outcomes</w:t>
      </w:r>
      <w:r w:rsidRPr="005847A9">
        <w:rPr>
          <w:rFonts w:ascii="Arial" w:hAnsi="Arial" w:cs="Arial"/>
          <w:sz w:val="24"/>
          <w:szCs w:val="24"/>
        </w:rPr>
        <w:t>, 8 (8), 1-11.</w:t>
      </w:r>
    </w:p>
    <w:p w14:paraId="03A83E7C" w14:textId="0A7A6495" w:rsidR="00C34B19" w:rsidRPr="005847A9" w:rsidRDefault="00C34B19" w:rsidP="005847A9">
      <w:pPr>
        <w:spacing w:line="360" w:lineRule="auto"/>
        <w:ind w:left="720" w:hanging="720"/>
        <w:rPr>
          <w:rFonts w:ascii="Arial" w:hAnsi="Arial" w:cs="Arial"/>
          <w:sz w:val="24"/>
          <w:szCs w:val="24"/>
        </w:rPr>
      </w:pPr>
      <w:r w:rsidRPr="005847A9">
        <w:rPr>
          <w:rFonts w:ascii="Arial" w:hAnsi="Arial" w:cs="Arial"/>
          <w:b/>
          <w:sz w:val="24"/>
          <w:szCs w:val="24"/>
        </w:rPr>
        <w:t>Grey, N., Young, K. (2009)</w:t>
      </w:r>
      <w:r w:rsidRPr="005847A9">
        <w:rPr>
          <w:rFonts w:ascii="Arial" w:hAnsi="Arial" w:cs="Arial"/>
          <w:sz w:val="24"/>
          <w:szCs w:val="24"/>
        </w:rPr>
        <w:t xml:space="preserve"> Cognitive Behaviour Therapy with Refugees and Asylum Seekers Experiencing Traumatic Stress Symptoms</w:t>
      </w:r>
      <w:r w:rsidR="00383667" w:rsidRPr="005847A9">
        <w:rPr>
          <w:rFonts w:ascii="Arial" w:hAnsi="Arial" w:cs="Arial"/>
          <w:sz w:val="24"/>
          <w:szCs w:val="24"/>
        </w:rPr>
        <w:t xml:space="preserve">. </w:t>
      </w:r>
      <w:r w:rsidR="00383667" w:rsidRPr="005847A9">
        <w:rPr>
          <w:rFonts w:ascii="Arial" w:hAnsi="Arial" w:cs="Arial"/>
          <w:i/>
          <w:iCs/>
          <w:sz w:val="24"/>
          <w:szCs w:val="24"/>
        </w:rPr>
        <w:t>Behavioural and Cognitive Psychotherapy</w:t>
      </w:r>
      <w:r w:rsidR="00383667" w:rsidRPr="005847A9">
        <w:rPr>
          <w:rFonts w:ascii="Arial" w:hAnsi="Arial" w:cs="Arial"/>
          <w:sz w:val="24"/>
          <w:szCs w:val="24"/>
        </w:rPr>
        <w:t>, 2008, 36, 3–19</w:t>
      </w:r>
      <w:r w:rsidR="00AE46D2" w:rsidRPr="005847A9">
        <w:rPr>
          <w:rFonts w:ascii="Arial" w:hAnsi="Arial" w:cs="Arial"/>
          <w:sz w:val="24"/>
          <w:szCs w:val="24"/>
        </w:rPr>
        <w:t>.</w:t>
      </w:r>
    </w:p>
    <w:p w14:paraId="51A13395" w14:textId="2DC388E2" w:rsidR="00383667" w:rsidRPr="005847A9" w:rsidRDefault="00614F66" w:rsidP="005847A9">
      <w:pPr>
        <w:spacing w:line="360" w:lineRule="auto"/>
        <w:ind w:left="720" w:hanging="720"/>
        <w:rPr>
          <w:rFonts w:ascii="Arial" w:hAnsi="Arial" w:cs="Arial"/>
          <w:sz w:val="24"/>
          <w:szCs w:val="24"/>
        </w:rPr>
      </w:pPr>
      <w:r w:rsidRPr="005847A9">
        <w:rPr>
          <w:rFonts w:ascii="Arial" w:hAnsi="Arial" w:cs="Arial"/>
          <w:b/>
          <w:sz w:val="24"/>
          <w:szCs w:val="24"/>
        </w:rPr>
        <w:t>Herlihy J.</w:t>
      </w:r>
      <w:r w:rsidR="007F4B41" w:rsidRPr="005847A9">
        <w:rPr>
          <w:rFonts w:ascii="Arial" w:hAnsi="Arial" w:cs="Arial"/>
          <w:b/>
          <w:sz w:val="24"/>
          <w:szCs w:val="24"/>
        </w:rPr>
        <w:t xml:space="preserve"> &amp;</w:t>
      </w:r>
      <w:r w:rsidRPr="005847A9">
        <w:rPr>
          <w:rFonts w:ascii="Arial" w:hAnsi="Arial" w:cs="Arial"/>
          <w:b/>
          <w:sz w:val="24"/>
          <w:szCs w:val="24"/>
        </w:rPr>
        <w:t xml:space="preserve"> Turner SW</w:t>
      </w:r>
      <w:r w:rsidRPr="005847A9">
        <w:rPr>
          <w:rFonts w:ascii="Arial" w:hAnsi="Arial" w:cs="Arial"/>
          <w:sz w:val="24"/>
          <w:szCs w:val="24"/>
        </w:rPr>
        <w:t xml:space="preserve">. (2007) Asylum claims and memory of trauma: sharing our knowledge. </w:t>
      </w:r>
      <w:r w:rsidRPr="005847A9">
        <w:rPr>
          <w:rFonts w:ascii="Arial" w:hAnsi="Arial" w:cs="Arial"/>
          <w:i/>
          <w:iCs/>
          <w:sz w:val="24"/>
          <w:szCs w:val="24"/>
        </w:rPr>
        <w:t>British Journal of Psychiatry</w:t>
      </w:r>
      <w:r w:rsidR="00AE46D2" w:rsidRPr="005847A9">
        <w:rPr>
          <w:rFonts w:ascii="Arial" w:hAnsi="Arial" w:cs="Arial"/>
          <w:sz w:val="24"/>
          <w:szCs w:val="24"/>
        </w:rPr>
        <w:t>,</w:t>
      </w:r>
      <w:r w:rsidRPr="005847A9">
        <w:rPr>
          <w:rFonts w:ascii="Arial" w:hAnsi="Arial" w:cs="Arial"/>
          <w:sz w:val="24"/>
          <w:szCs w:val="24"/>
        </w:rPr>
        <w:t xml:space="preserve"> 134, 382-389.</w:t>
      </w:r>
    </w:p>
    <w:p w14:paraId="0EA83DAA" w14:textId="2A64A53E" w:rsidR="004B4099" w:rsidRPr="005847A9" w:rsidRDefault="006B0924" w:rsidP="005847A9">
      <w:pPr>
        <w:spacing w:line="360" w:lineRule="auto"/>
        <w:ind w:left="720" w:hanging="720"/>
        <w:rPr>
          <w:rFonts w:ascii="Arial" w:hAnsi="Arial" w:cs="Arial"/>
          <w:sz w:val="24"/>
          <w:szCs w:val="24"/>
        </w:rPr>
      </w:pPr>
      <w:r w:rsidRPr="005847A9">
        <w:rPr>
          <w:rFonts w:ascii="Arial" w:hAnsi="Arial" w:cs="Arial"/>
          <w:b/>
          <w:sz w:val="24"/>
          <w:szCs w:val="24"/>
        </w:rPr>
        <w:t>Kien, C., Sommer, I., Faustmann, A., Gibson, L.,</w:t>
      </w:r>
      <w:r w:rsidR="00EB0E34" w:rsidRPr="005847A9">
        <w:rPr>
          <w:rFonts w:ascii="Arial" w:hAnsi="Arial" w:cs="Arial"/>
          <w:b/>
          <w:sz w:val="24"/>
          <w:szCs w:val="24"/>
        </w:rPr>
        <w:t xml:space="preserve"> Schneider, M., Krczal, E.</w:t>
      </w:r>
      <w:r w:rsidR="00540435" w:rsidRPr="005847A9">
        <w:rPr>
          <w:rFonts w:ascii="Arial" w:hAnsi="Arial" w:cs="Arial"/>
          <w:b/>
          <w:sz w:val="24"/>
          <w:szCs w:val="24"/>
        </w:rPr>
        <w:t xml:space="preserve"> et al.</w:t>
      </w:r>
      <w:r w:rsidRPr="005847A9">
        <w:rPr>
          <w:rFonts w:ascii="Arial" w:hAnsi="Arial" w:cs="Arial"/>
          <w:b/>
          <w:sz w:val="24"/>
          <w:szCs w:val="24"/>
        </w:rPr>
        <w:t xml:space="preserve"> (2018).</w:t>
      </w:r>
      <w:r w:rsidRPr="005847A9">
        <w:rPr>
          <w:rFonts w:ascii="Arial" w:hAnsi="Arial" w:cs="Arial"/>
          <w:sz w:val="24"/>
          <w:szCs w:val="24"/>
        </w:rPr>
        <w:t xml:space="preserve"> Prevalence of mental disorders in young refugees and asylum seekers in European Countries: a systematic review. </w:t>
      </w:r>
      <w:r w:rsidRPr="005847A9">
        <w:rPr>
          <w:rFonts w:ascii="Arial" w:hAnsi="Arial" w:cs="Arial"/>
          <w:i/>
          <w:iCs/>
          <w:sz w:val="24"/>
          <w:szCs w:val="24"/>
        </w:rPr>
        <w:t>European child &amp; adolescent psychiatry</w:t>
      </w:r>
      <w:r w:rsidRPr="005847A9">
        <w:rPr>
          <w:rFonts w:ascii="Arial" w:hAnsi="Arial" w:cs="Arial"/>
          <w:sz w:val="24"/>
          <w:szCs w:val="24"/>
        </w:rPr>
        <w:t>, 1-16.</w:t>
      </w:r>
    </w:p>
    <w:p w14:paraId="78AE0996" w14:textId="4975CD95" w:rsidR="00540435" w:rsidRPr="005847A9" w:rsidRDefault="00540435" w:rsidP="005847A9">
      <w:pPr>
        <w:spacing w:line="360" w:lineRule="auto"/>
        <w:ind w:left="720" w:hanging="720"/>
        <w:rPr>
          <w:rFonts w:ascii="Arial" w:hAnsi="Arial" w:cs="Arial"/>
          <w:sz w:val="24"/>
          <w:szCs w:val="24"/>
        </w:rPr>
      </w:pPr>
      <w:r w:rsidRPr="005847A9">
        <w:rPr>
          <w:rFonts w:ascii="Arial" w:hAnsi="Arial" w:cs="Arial"/>
          <w:b/>
          <w:bCs/>
          <w:sz w:val="24"/>
          <w:szCs w:val="24"/>
        </w:rPr>
        <w:t>Konikan, R., Senormanci, O., Guclu, O., Aydin, E., &amp; Sungur, M.Z. (2013).</w:t>
      </w:r>
      <w:r w:rsidRPr="005847A9">
        <w:rPr>
          <w:rFonts w:ascii="Arial" w:hAnsi="Arial" w:cs="Arial"/>
          <w:sz w:val="24"/>
          <w:szCs w:val="24"/>
        </w:rPr>
        <w:t xml:space="preserve"> Validity and reliability study for the Turkish adaptaion of the generalized anxiety disorder-7 (GAD-7) scale. </w:t>
      </w:r>
      <w:r w:rsidRPr="005847A9">
        <w:rPr>
          <w:rFonts w:ascii="Arial" w:hAnsi="Arial" w:cs="Arial"/>
          <w:i/>
          <w:iCs/>
          <w:sz w:val="24"/>
          <w:szCs w:val="24"/>
        </w:rPr>
        <w:t>Archives of Neuropsychiatry</w:t>
      </w:r>
      <w:r w:rsidRPr="005847A9">
        <w:rPr>
          <w:rFonts w:ascii="Arial" w:hAnsi="Arial" w:cs="Arial"/>
          <w:sz w:val="24"/>
          <w:szCs w:val="24"/>
        </w:rPr>
        <w:t>, 50 (1), 53-58.</w:t>
      </w:r>
    </w:p>
    <w:p w14:paraId="46B22721" w14:textId="731B7000" w:rsidR="00197418" w:rsidRPr="005847A9" w:rsidRDefault="00197418" w:rsidP="005847A9">
      <w:pPr>
        <w:spacing w:line="360" w:lineRule="auto"/>
        <w:ind w:left="720" w:hanging="720"/>
        <w:rPr>
          <w:rFonts w:ascii="Arial" w:hAnsi="Arial" w:cs="Arial"/>
          <w:b/>
          <w:sz w:val="24"/>
          <w:szCs w:val="24"/>
        </w:rPr>
      </w:pPr>
      <w:r w:rsidRPr="005847A9">
        <w:rPr>
          <w:rFonts w:ascii="Arial" w:hAnsi="Arial" w:cs="Arial"/>
          <w:b/>
          <w:sz w:val="24"/>
          <w:szCs w:val="24"/>
        </w:rPr>
        <w:t xml:space="preserve">Laban, C.J., Gernaat, H.B., Komproe, I.H., Schreuders, B.A. &amp; De Jong, J.T. (2004) </w:t>
      </w:r>
      <w:r w:rsidRPr="005847A9">
        <w:rPr>
          <w:rFonts w:ascii="Arial" w:hAnsi="Arial" w:cs="Arial"/>
          <w:sz w:val="24"/>
          <w:szCs w:val="24"/>
        </w:rPr>
        <w:t xml:space="preserve">Impact of a long asylum procedure on the prevalence of psychiatric disorders in Iraqi asylum seekers in The Netherlands. </w:t>
      </w:r>
      <w:r w:rsidRPr="005847A9">
        <w:rPr>
          <w:rFonts w:ascii="Arial" w:hAnsi="Arial" w:cs="Arial"/>
          <w:i/>
          <w:iCs/>
          <w:sz w:val="24"/>
          <w:szCs w:val="24"/>
        </w:rPr>
        <w:t>Journal of Nervous and Mental Diseases</w:t>
      </w:r>
      <w:r w:rsidRPr="005847A9">
        <w:rPr>
          <w:rFonts w:ascii="Arial" w:hAnsi="Arial" w:cs="Arial"/>
          <w:sz w:val="24"/>
          <w:szCs w:val="24"/>
        </w:rPr>
        <w:t>, 192, 843–851.</w:t>
      </w:r>
    </w:p>
    <w:p w14:paraId="7EA4AFE6" w14:textId="3379F8DC" w:rsidR="00621050" w:rsidRPr="005847A9" w:rsidRDefault="00621050" w:rsidP="005847A9">
      <w:pPr>
        <w:spacing w:line="360" w:lineRule="auto"/>
        <w:ind w:left="720" w:hanging="720"/>
        <w:rPr>
          <w:rFonts w:ascii="Arial" w:hAnsi="Arial" w:cs="Arial"/>
          <w:sz w:val="24"/>
          <w:szCs w:val="24"/>
        </w:rPr>
      </w:pPr>
      <w:r w:rsidRPr="005847A9">
        <w:rPr>
          <w:rFonts w:ascii="Arial" w:hAnsi="Arial" w:cs="Arial"/>
          <w:b/>
          <w:sz w:val="24"/>
          <w:szCs w:val="24"/>
        </w:rPr>
        <w:t xml:space="preserve">Laban, C.J., Gernaat, H.B., Komproe, I.H., van der Tweel, I. &amp; De Jong, J.T. V.M. (2005) </w:t>
      </w:r>
      <w:r w:rsidRPr="005847A9">
        <w:rPr>
          <w:rFonts w:ascii="Arial" w:hAnsi="Arial" w:cs="Arial"/>
          <w:sz w:val="24"/>
          <w:szCs w:val="24"/>
        </w:rPr>
        <w:t xml:space="preserve">Postmigration living problems and common psychiatric disorders in Iraqi asylum seekers in the Netherlands. </w:t>
      </w:r>
      <w:r w:rsidRPr="005847A9">
        <w:rPr>
          <w:rFonts w:ascii="Arial" w:hAnsi="Arial" w:cs="Arial"/>
          <w:i/>
          <w:iCs/>
          <w:sz w:val="24"/>
          <w:szCs w:val="24"/>
        </w:rPr>
        <w:t>Journal of Nervous and Mental Diseases,</w:t>
      </w:r>
      <w:r w:rsidRPr="005847A9">
        <w:rPr>
          <w:rFonts w:ascii="Arial" w:hAnsi="Arial" w:cs="Arial"/>
          <w:sz w:val="24"/>
          <w:szCs w:val="24"/>
        </w:rPr>
        <w:t xml:space="preserve"> 193, 825–832.</w:t>
      </w:r>
    </w:p>
    <w:p w14:paraId="694CE005" w14:textId="6348689D" w:rsidR="00540435" w:rsidRPr="005847A9" w:rsidRDefault="00540435" w:rsidP="005847A9">
      <w:pPr>
        <w:spacing w:line="360" w:lineRule="auto"/>
        <w:ind w:left="720" w:hanging="720"/>
        <w:rPr>
          <w:rFonts w:ascii="Arial" w:hAnsi="Arial" w:cs="Arial"/>
          <w:bCs/>
          <w:sz w:val="24"/>
          <w:szCs w:val="24"/>
        </w:rPr>
      </w:pPr>
      <w:r w:rsidRPr="005847A9">
        <w:rPr>
          <w:rFonts w:ascii="Arial" w:hAnsi="Arial" w:cs="Arial"/>
          <w:b/>
          <w:sz w:val="24"/>
          <w:szCs w:val="24"/>
        </w:rPr>
        <w:t>Löwe, B., Kroenke, K., Herzog, W, Gräfe K. (2004).</w:t>
      </w:r>
      <w:r w:rsidRPr="005847A9">
        <w:rPr>
          <w:rFonts w:ascii="Arial" w:hAnsi="Arial" w:cs="Arial"/>
          <w:bCs/>
          <w:sz w:val="24"/>
          <w:szCs w:val="24"/>
        </w:rPr>
        <w:t xml:space="preserve"> Measuring depression outcome with a brief self-report instrument: Sensitivity to change of the patient health questionnaire (PHQ-9). </w:t>
      </w:r>
      <w:r w:rsidRPr="005847A9">
        <w:rPr>
          <w:rFonts w:ascii="Arial" w:hAnsi="Arial" w:cs="Arial"/>
          <w:bCs/>
          <w:i/>
          <w:iCs/>
          <w:sz w:val="24"/>
          <w:szCs w:val="24"/>
        </w:rPr>
        <w:t>Journal of Affective Disorders</w:t>
      </w:r>
      <w:r w:rsidRPr="005847A9">
        <w:rPr>
          <w:rFonts w:ascii="Arial" w:hAnsi="Arial" w:cs="Arial"/>
          <w:bCs/>
          <w:sz w:val="24"/>
          <w:szCs w:val="24"/>
        </w:rPr>
        <w:t>, 81, 61–6.</w:t>
      </w:r>
    </w:p>
    <w:p w14:paraId="6BE23B74" w14:textId="3A930AAF" w:rsidR="00F704E5" w:rsidRPr="005847A9" w:rsidRDefault="00F704E5" w:rsidP="005847A9">
      <w:pPr>
        <w:spacing w:line="360" w:lineRule="auto"/>
        <w:ind w:left="720" w:hanging="720"/>
        <w:rPr>
          <w:rFonts w:ascii="Arial" w:hAnsi="Arial" w:cs="Arial"/>
          <w:bCs/>
          <w:sz w:val="24"/>
          <w:szCs w:val="24"/>
        </w:rPr>
      </w:pPr>
      <w:r w:rsidRPr="005847A9">
        <w:rPr>
          <w:rFonts w:ascii="Arial" w:hAnsi="Arial" w:cs="Arial"/>
          <w:b/>
          <w:sz w:val="24"/>
          <w:szCs w:val="24"/>
        </w:rPr>
        <w:t>Matheson, K., Jorden, S., &amp; Anisman, H. (2008).</w:t>
      </w:r>
      <w:r w:rsidRPr="005847A9">
        <w:rPr>
          <w:rFonts w:ascii="Arial" w:hAnsi="Arial" w:cs="Arial"/>
          <w:bCs/>
          <w:sz w:val="24"/>
          <w:szCs w:val="24"/>
        </w:rPr>
        <w:t xml:space="preserve"> Relations between trauma experiences and psychological, physical and neuroendocrine functioning among Somali refugees: Mediating role of coping with acculturation stressors. </w:t>
      </w:r>
      <w:r w:rsidRPr="005847A9">
        <w:rPr>
          <w:rFonts w:ascii="Arial" w:hAnsi="Arial" w:cs="Arial"/>
          <w:bCs/>
          <w:i/>
          <w:iCs/>
          <w:sz w:val="24"/>
          <w:szCs w:val="24"/>
        </w:rPr>
        <w:t>Journal of Immigrant and Minority Health</w:t>
      </w:r>
      <w:r w:rsidRPr="005847A9">
        <w:rPr>
          <w:rFonts w:ascii="Arial" w:hAnsi="Arial" w:cs="Arial"/>
          <w:bCs/>
          <w:sz w:val="24"/>
          <w:szCs w:val="24"/>
        </w:rPr>
        <w:t>, 10, 291–304.</w:t>
      </w:r>
    </w:p>
    <w:p w14:paraId="360DBFE7" w14:textId="07670A59" w:rsidR="00B84378" w:rsidRPr="005847A9" w:rsidRDefault="00B84378" w:rsidP="005847A9">
      <w:pPr>
        <w:spacing w:line="360" w:lineRule="auto"/>
        <w:ind w:left="720" w:hanging="720"/>
        <w:rPr>
          <w:rFonts w:ascii="Arial" w:hAnsi="Arial" w:cs="Arial"/>
          <w:bCs/>
          <w:i/>
          <w:sz w:val="24"/>
          <w:szCs w:val="24"/>
        </w:rPr>
      </w:pPr>
      <w:r w:rsidRPr="005847A9">
        <w:rPr>
          <w:rFonts w:ascii="Arial" w:hAnsi="Arial" w:cs="Arial"/>
          <w:b/>
          <w:sz w:val="24"/>
          <w:szCs w:val="24"/>
        </w:rPr>
        <w:t>Mercer, L.</w:t>
      </w:r>
      <w:r w:rsidRPr="005847A9">
        <w:rPr>
          <w:rFonts w:ascii="Arial" w:hAnsi="Arial" w:cs="Arial"/>
          <w:b/>
          <w:bCs/>
          <w:sz w:val="24"/>
          <w:szCs w:val="24"/>
        </w:rPr>
        <w:t>, Evans, L.J., Turton, R., &amp; Beck, A. (2018).</w:t>
      </w:r>
      <w:r w:rsidRPr="005847A9">
        <w:rPr>
          <w:rFonts w:ascii="Arial" w:hAnsi="Arial" w:cs="Arial"/>
          <w:bCs/>
          <w:sz w:val="24"/>
          <w:szCs w:val="24"/>
        </w:rPr>
        <w:t xml:space="preserve">  Psychological therapy in secondary mental health care: access and outcomes by ethnic group. </w:t>
      </w:r>
      <w:r w:rsidRPr="005847A9">
        <w:rPr>
          <w:rFonts w:ascii="Arial" w:hAnsi="Arial" w:cs="Arial"/>
          <w:bCs/>
          <w:i/>
          <w:sz w:val="24"/>
          <w:szCs w:val="24"/>
        </w:rPr>
        <w:t>Journal of Racial and Ethnic Health Disparities, 1-8.</w:t>
      </w:r>
    </w:p>
    <w:p w14:paraId="37DB3E48" w14:textId="5E98417E" w:rsidR="00E92266" w:rsidRPr="005847A9" w:rsidRDefault="00E92266" w:rsidP="005847A9">
      <w:pPr>
        <w:spacing w:line="360" w:lineRule="auto"/>
        <w:ind w:left="720" w:hanging="720"/>
        <w:rPr>
          <w:rFonts w:ascii="Arial" w:hAnsi="Arial" w:cs="Arial"/>
          <w:sz w:val="24"/>
          <w:szCs w:val="24"/>
        </w:rPr>
      </w:pPr>
      <w:r w:rsidRPr="005847A9">
        <w:rPr>
          <w:rFonts w:ascii="Arial" w:hAnsi="Arial" w:cs="Arial"/>
          <w:b/>
          <w:sz w:val="24"/>
          <w:szCs w:val="24"/>
        </w:rPr>
        <w:t>Mollica, R. F., Caspi-Yavin, Y., Bollini, P., Truong, T. (1992)</w:t>
      </w:r>
      <w:r w:rsidRPr="005847A9">
        <w:rPr>
          <w:rFonts w:ascii="Arial" w:hAnsi="Arial" w:cs="Arial"/>
          <w:sz w:val="24"/>
          <w:szCs w:val="24"/>
        </w:rPr>
        <w:t xml:space="preserve"> The Harvard Trauma Questionnaire: validating a cross-cultural instrument for measuring torture, trauma, and posttraumatic stress disorder in Indochinese refugees. </w:t>
      </w:r>
      <w:r w:rsidRPr="005847A9">
        <w:rPr>
          <w:rFonts w:ascii="Arial" w:hAnsi="Arial" w:cs="Arial"/>
          <w:i/>
          <w:iCs/>
          <w:sz w:val="24"/>
          <w:szCs w:val="24"/>
        </w:rPr>
        <w:t>Journal of Nervous and Mental Disease</w:t>
      </w:r>
      <w:r w:rsidRPr="005847A9">
        <w:rPr>
          <w:rFonts w:ascii="Arial" w:hAnsi="Arial" w:cs="Arial"/>
          <w:sz w:val="24"/>
          <w:szCs w:val="24"/>
        </w:rPr>
        <w:t>, 180, 111–116.</w:t>
      </w:r>
    </w:p>
    <w:p w14:paraId="767CE7B7" w14:textId="722412E3" w:rsidR="00FD3F25" w:rsidRPr="005847A9" w:rsidRDefault="00FD3F25" w:rsidP="005847A9">
      <w:pPr>
        <w:spacing w:line="360" w:lineRule="auto"/>
        <w:ind w:left="720" w:hanging="720"/>
        <w:rPr>
          <w:rFonts w:ascii="Arial" w:hAnsi="Arial" w:cs="Arial"/>
          <w:sz w:val="24"/>
          <w:szCs w:val="24"/>
        </w:rPr>
      </w:pPr>
      <w:r w:rsidRPr="005847A9">
        <w:rPr>
          <w:rFonts w:ascii="Arial" w:hAnsi="Arial" w:cs="Arial"/>
          <w:b/>
          <w:sz w:val="24"/>
          <w:szCs w:val="24"/>
        </w:rPr>
        <w:t>Morina, N., Akhtar, A., Barth, J., &amp; Schnyder, U. (2018).</w:t>
      </w:r>
      <w:r w:rsidRPr="005847A9">
        <w:rPr>
          <w:rFonts w:ascii="Arial" w:hAnsi="Arial" w:cs="Arial"/>
          <w:sz w:val="24"/>
          <w:szCs w:val="24"/>
        </w:rPr>
        <w:t xml:space="preserve"> Psychiatric disorders in refugees and internally displaced persons after forced displacement: </w:t>
      </w:r>
      <w:r w:rsidR="00FE555F" w:rsidRPr="005847A9">
        <w:rPr>
          <w:rFonts w:ascii="Arial" w:hAnsi="Arial" w:cs="Arial"/>
          <w:sz w:val="24"/>
          <w:szCs w:val="24"/>
        </w:rPr>
        <w:t xml:space="preserve">A </w:t>
      </w:r>
      <w:r w:rsidRPr="005847A9">
        <w:rPr>
          <w:rFonts w:ascii="Arial" w:hAnsi="Arial" w:cs="Arial"/>
          <w:sz w:val="24"/>
          <w:szCs w:val="24"/>
        </w:rPr>
        <w:t>systematic review. </w:t>
      </w:r>
      <w:r w:rsidRPr="005847A9">
        <w:rPr>
          <w:rFonts w:ascii="Arial" w:hAnsi="Arial" w:cs="Arial"/>
          <w:i/>
          <w:iCs/>
          <w:sz w:val="24"/>
          <w:szCs w:val="24"/>
        </w:rPr>
        <w:t>Frontiers in psychiatry</w:t>
      </w:r>
      <w:r w:rsidRPr="005847A9">
        <w:rPr>
          <w:rFonts w:ascii="Arial" w:hAnsi="Arial" w:cs="Arial"/>
          <w:sz w:val="24"/>
          <w:szCs w:val="24"/>
        </w:rPr>
        <w:t>, 9, 433.</w:t>
      </w:r>
    </w:p>
    <w:p w14:paraId="7391C89E" w14:textId="5E3937EA" w:rsidR="00C02014" w:rsidRPr="005847A9" w:rsidRDefault="00555D2D" w:rsidP="005847A9">
      <w:pPr>
        <w:spacing w:line="360" w:lineRule="auto"/>
        <w:ind w:left="720" w:hanging="720"/>
        <w:rPr>
          <w:rFonts w:ascii="Arial" w:hAnsi="Arial" w:cs="Arial"/>
          <w:sz w:val="24"/>
          <w:szCs w:val="24"/>
        </w:rPr>
      </w:pPr>
      <w:hyperlink r:id="rId8" w:history="1">
        <w:r w:rsidR="00C02014" w:rsidRPr="005847A9">
          <w:rPr>
            <w:rFonts w:ascii="Arial" w:hAnsi="Arial" w:cs="Arial"/>
            <w:b/>
            <w:sz w:val="24"/>
            <w:szCs w:val="24"/>
          </w:rPr>
          <w:t>Morgan</w:t>
        </w:r>
      </w:hyperlink>
      <w:r w:rsidR="00C02014" w:rsidRPr="005847A9">
        <w:rPr>
          <w:rFonts w:ascii="Arial" w:hAnsi="Arial" w:cs="Arial"/>
          <w:b/>
          <w:sz w:val="24"/>
          <w:szCs w:val="24"/>
        </w:rPr>
        <w:t xml:space="preserve"> G., </w:t>
      </w:r>
      <w:hyperlink r:id="rId9" w:history="1">
        <w:r w:rsidR="00C02014" w:rsidRPr="005847A9">
          <w:rPr>
            <w:rFonts w:ascii="Arial" w:hAnsi="Arial" w:cs="Arial"/>
            <w:b/>
            <w:sz w:val="24"/>
            <w:szCs w:val="24"/>
          </w:rPr>
          <w:t>Steve Melluish</w:t>
        </w:r>
      </w:hyperlink>
      <w:r w:rsidR="00C02014" w:rsidRPr="005847A9">
        <w:rPr>
          <w:rFonts w:ascii="Arial" w:hAnsi="Arial" w:cs="Arial"/>
          <w:b/>
          <w:sz w:val="24"/>
          <w:szCs w:val="24"/>
        </w:rPr>
        <w:t xml:space="preserve"> S., Welham A. (2017) </w:t>
      </w:r>
      <w:r w:rsidR="00C02014" w:rsidRPr="005847A9">
        <w:rPr>
          <w:rFonts w:ascii="Arial" w:hAnsi="Arial" w:cs="Arial"/>
          <w:sz w:val="24"/>
          <w:szCs w:val="24"/>
        </w:rPr>
        <w:t xml:space="preserve">Exploring the relationship between postmigratory stressors and mental health for asylum seekers and refused asylum seekers in the UK. </w:t>
      </w:r>
      <w:r w:rsidR="00C02014" w:rsidRPr="005847A9">
        <w:rPr>
          <w:rFonts w:ascii="Arial" w:hAnsi="Arial" w:cs="Arial"/>
          <w:i/>
          <w:iCs/>
          <w:sz w:val="24"/>
          <w:szCs w:val="24"/>
        </w:rPr>
        <w:t>Transcult Psychiatry</w:t>
      </w:r>
      <w:r w:rsidR="00FE555F" w:rsidRPr="005847A9">
        <w:rPr>
          <w:rFonts w:ascii="Arial" w:hAnsi="Arial" w:cs="Arial"/>
          <w:sz w:val="24"/>
          <w:szCs w:val="24"/>
        </w:rPr>
        <w:t xml:space="preserve">, </w:t>
      </w:r>
      <w:r w:rsidR="00C02014" w:rsidRPr="005847A9">
        <w:rPr>
          <w:rFonts w:ascii="Arial" w:hAnsi="Arial" w:cs="Arial"/>
          <w:sz w:val="24"/>
          <w:szCs w:val="24"/>
        </w:rPr>
        <w:t>54(5-6)</w:t>
      </w:r>
      <w:r w:rsidR="00FE555F" w:rsidRPr="005847A9">
        <w:rPr>
          <w:rFonts w:ascii="Arial" w:hAnsi="Arial" w:cs="Arial"/>
          <w:sz w:val="24"/>
          <w:szCs w:val="24"/>
        </w:rPr>
        <w:t xml:space="preserve">, </w:t>
      </w:r>
      <w:r w:rsidR="00C02014" w:rsidRPr="005847A9">
        <w:rPr>
          <w:rFonts w:ascii="Arial" w:hAnsi="Arial" w:cs="Arial"/>
          <w:sz w:val="24"/>
          <w:szCs w:val="24"/>
        </w:rPr>
        <w:t>653-674</w:t>
      </w:r>
      <w:r w:rsidR="00FE555F" w:rsidRPr="005847A9">
        <w:rPr>
          <w:rFonts w:ascii="Arial" w:hAnsi="Arial" w:cs="Arial"/>
          <w:sz w:val="24"/>
          <w:szCs w:val="24"/>
        </w:rPr>
        <w:t>.</w:t>
      </w:r>
    </w:p>
    <w:p w14:paraId="1E2B0522" w14:textId="54D7F022" w:rsidR="00246101" w:rsidRPr="005847A9" w:rsidRDefault="00246101" w:rsidP="005847A9">
      <w:pPr>
        <w:spacing w:line="360" w:lineRule="auto"/>
        <w:ind w:left="720" w:hanging="720"/>
        <w:rPr>
          <w:rFonts w:ascii="Arial" w:hAnsi="Arial" w:cs="Arial"/>
          <w:sz w:val="24"/>
          <w:szCs w:val="24"/>
        </w:rPr>
      </w:pPr>
      <w:r w:rsidRPr="005847A9">
        <w:rPr>
          <w:rFonts w:ascii="Arial" w:hAnsi="Arial" w:cs="Arial"/>
          <w:b/>
          <w:bCs/>
          <w:sz w:val="24"/>
          <w:szCs w:val="24"/>
        </w:rPr>
        <w:t>Morina, N., Ehring, T., &amp; Priebe, S. (2013).</w:t>
      </w:r>
      <w:r w:rsidRPr="005847A9">
        <w:rPr>
          <w:rFonts w:ascii="Arial" w:hAnsi="Arial" w:cs="Arial"/>
          <w:sz w:val="24"/>
          <w:szCs w:val="24"/>
        </w:rPr>
        <w:t xml:space="preserve"> Diagnostic utility of the impact of event scale-revised in two samples of survivors of war. </w:t>
      </w:r>
      <w:r w:rsidRPr="005847A9">
        <w:rPr>
          <w:rFonts w:ascii="Arial" w:hAnsi="Arial" w:cs="Arial"/>
          <w:i/>
          <w:iCs/>
          <w:sz w:val="24"/>
          <w:szCs w:val="24"/>
        </w:rPr>
        <w:t>PLOS One</w:t>
      </w:r>
      <w:r w:rsidRPr="005847A9">
        <w:rPr>
          <w:rFonts w:ascii="Arial" w:hAnsi="Arial" w:cs="Arial"/>
          <w:sz w:val="24"/>
          <w:szCs w:val="24"/>
        </w:rPr>
        <w:t>, 8(12).</w:t>
      </w:r>
    </w:p>
    <w:p w14:paraId="7C00DFFB" w14:textId="77777777" w:rsidR="00586EA9" w:rsidRPr="005847A9" w:rsidRDefault="00586EA9" w:rsidP="005847A9">
      <w:pPr>
        <w:spacing w:line="360" w:lineRule="auto"/>
        <w:ind w:left="284" w:hanging="284"/>
        <w:rPr>
          <w:rFonts w:ascii="Arial" w:hAnsi="Arial" w:cs="Arial"/>
          <w:sz w:val="24"/>
          <w:szCs w:val="24"/>
        </w:rPr>
      </w:pPr>
      <w:r w:rsidRPr="005847A9">
        <w:rPr>
          <w:rFonts w:ascii="Arial" w:hAnsi="Arial" w:cs="Arial"/>
          <w:b/>
          <w:bCs/>
          <w:sz w:val="24"/>
          <w:szCs w:val="24"/>
        </w:rPr>
        <w:t>National Institute for Health and Care Excellence (NICE). (2011).</w:t>
      </w:r>
      <w:r w:rsidRPr="005847A9">
        <w:rPr>
          <w:rFonts w:ascii="Arial" w:hAnsi="Arial" w:cs="Arial"/>
          <w:sz w:val="24"/>
          <w:szCs w:val="24"/>
        </w:rPr>
        <w:t xml:space="preserve"> </w:t>
      </w:r>
      <w:r w:rsidRPr="005847A9">
        <w:rPr>
          <w:rFonts w:ascii="Arial" w:hAnsi="Arial" w:cs="Arial"/>
          <w:i/>
          <w:iCs/>
          <w:color w:val="000000"/>
          <w:sz w:val="24"/>
          <w:szCs w:val="24"/>
        </w:rPr>
        <w:t>Depression in adults</w:t>
      </w:r>
      <w:r w:rsidRPr="005847A9">
        <w:rPr>
          <w:rFonts w:ascii="Arial" w:hAnsi="Arial" w:cs="Arial"/>
          <w:color w:val="000000"/>
          <w:sz w:val="24"/>
          <w:szCs w:val="24"/>
        </w:rPr>
        <w:t xml:space="preserve">. </w:t>
      </w:r>
      <w:r w:rsidRPr="005847A9">
        <w:rPr>
          <w:rFonts w:ascii="Arial" w:hAnsi="Arial" w:cs="Arial"/>
          <w:sz w:val="24"/>
          <w:szCs w:val="24"/>
        </w:rPr>
        <w:t>[NICE guideline no. QS8].</w:t>
      </w:r>
    </w:p>
    <w:p w14:paraId="312469C1" w14:textId="3BF8EBEB" w:rsidR="00586EA9" w:rsidRPr="005847A9" w:rsidRDefault="00586EA9" w:rsidP="005847A9">
      <w:pPr>
        <w:spacing w:line="360" w:lineRule="auto"/>
        <w:ind w:left="284" w:hanging="284"/>
        <w:rPr>
          <w:rFonts w:ascii="Arial" w:hAnsi="Arial" w:cs="Arial"/>
          <w:sz w:val="24"/>
          <w:szCs w:val="24"/>
        </w:rPr>
      </w:pPr>
      <w:r w:rsidRPr="005847A9">
        <w:rPr>
          <w:rFonts w:ascii="Arial" w:hAnsi="Arial" w:cs="Arial"/>
          <w:b/>
          <w:bCs/>
          <w:sz w:val="24"/>
          <w:szCs w:val="24"/>
        </w:rPr>
        <w:t>National Institute for Health and Care Excellence (NICE). (2011).</w:t>
      </w:r>
      <w:r w:rsidRPr="005847A9">
        <w:rPr>
          <w:rFonts w:ascii="Arial" w:hAnsi="Arial" w:cs="Arial"/>
          <w:sz w:val="24"/>
          <w:szCs w:val="24"/>
        </w:rPr>
        <w:t xml:space="preserve"> </w:t>
      </w:r>
      <w:r w:rsidRPr="005847A9">
        <w:rPr>
          <w:rFonts w:ascii="Arial" w:hAnsi="Arial" w:cs="Arial"/>
          <w:i/>
          <w:iCs/>
          <w:color w:val="000000"/>
          <w:sz w:val="24"/>
          <w:szCs w:val="24"/>
        </w:rPr>
        <w:t>Generalised anxiety disorder and panic disorder in adults: management</w:t>
      </w:r>
      <w:r w:rsidRPr="005847A9">
        <w:rPr>
          <w:rFonts w:ascii="Arial" w:hAnsi="Arial" w:cs="Arial"/>
          <w:color w:val="000000"/>
          <w:sz w:val="24"/>
          <w:szCs w:val="24"/>
        </w:rPr>
        <w:t xml:space="preserve">. </w:t>
      </w:r>
      <w:r w:rsidRPr="005847A9">
        <w:rPr>
          <w:rFonts w:ascii="Arial" w:hAnsi="Arial" w:cs="Arial"/>
          <w:sz w:val="24"/>
          <w:szCs w:val="24"/>
        </w:rPr>
        <w:t xml:space="preserve">[NICE guideline no. </w:t>
      </w:r>
      <w:r w:rsidRPr="005847A9">
        <w:rPr>
          <w:rFonts w:ascii="Arial" w:hAnsi="Arial" w:cs="Arial"/>
          <w:color w:val="000000"/>
          <w:sz w:val="24"/>
          <w:szCs w:val="24"/>
        </w:rPr>
        <w:t>CG113</w:t>
      </w:r>
      <w:r w:rsidRPr="005847A9">
        <w:rPr>
          <w:rFonts w:ascii="Arial" w:hAnsi="Arial" w:cs="Arial"/>
          <w:sz w:val="24"/>
          <w:szCs w:val="24"/>
        </w:rPr>
        <w:t>].</w:t>
      </w:r>
    </w:p>
    <w:p w14:paraId="3EDBD7F0" w14:textId="73BA42AF" w:rsidR="00FE555F" w:rsidRPr="005847A9" w:rsidRDefault="008B5F56" w:rsidP="005847A9">
      <w:pPr>
        <w:spacing w:line="360" w:lineRule="auto"/>
        <w:ind w:left="720" w:hanging="720"/>
        <w:rPr>
          <w:rFonts w:ascii="Arial" w:hAnsi="Arial" w:cs="Arial"/>
          <w:sz w:val="24"/>
          <w:szCs w:val="24"/>
        </w:rPr>
      </w:pPr>
      <w:r w:rsidRPr="005847A9">
        <w:rPr>
          <w:rFonts w:ascii="Arial" w:hAnsi="Arial" w:cs="Arial"/>
          <w:b/>
          <w:bCs/>
          <w:sz w:val="24"/>
          <w:szCs w:val="24"/>
        </w:rPr>
        <w:t>National Institute for Health and Care Excellence</w:t>
      </w:r>
      <w:r w:rsidR="00586EA9" w:rsidRPr="005847A9">
        <w:rPr>
          <w:rFonts w:ascii="Arial" w:hAnsi="Arial" w:cs="Arial"/>
          <w:b/>
          <w:bCs/>
          <w:sz w:val="24"/>
          <w:szCs w:val="24"/>
        </w:rPr>
        <w:t xml:space="preserve"> (NICE)</w:t>
      </w:r>
      <w:r w:rsidRPr="005847A9">
        <w:rPr>
          <w:rFonts w:ascii="Arial" w:hAnsi="Arial" w:cs="Arial"/>
          <w:b/>
          <w:bCs/>
          <w:sz w:val="24"/>
          <w:szCs w:val="24"/>
        </w:rPr>
        <w:t>.</w:t>
      </w:r>
      <w:r w:rsidRPr="005847A9">
        <w:rPr>
          <w:rFonts w:ascii="Arial" w:hAnsi="Arial" w:cs="Arial"/>
          <w:b/>
          <w:sz w:val="24"/>
          <w:szCs w:val="24"/>
        </w:rPr>
        <w:t xml:space="preserve"> (2018)</w:t>
      </w:r>
      <w:r w:rsidRPr="005847A9">
        <w:rPr>
          <w:rFonts w:ascii="Arial" w:hAnsi="Arial" w:cs="Arial"/>
          <w:i/>
          <w:sz w:val="24"/>
          <w:szCs w:val="24"/>
        </w:rPr>
        <w:t>. Post-traumatic stress disorder</w:t>
      </w:r>
      <w:r w:rsidRPr="005847A9">
        <w:rPr>
          <w:rFonts w:ascii="Arial" w:hAnsi="Arial" w:cs="Arial"/>
          <w:sz w:val="24"/>
          <w:szCs w:val="24"/>
        </w:rPr>
        <w:t xml:space="preserve"> [NICE guideline no. NG116] </w:t>
      </w:r>
      <w:hyperlink r:id="rId10" w:history="1">
        <w:r w:rsidR="00FE555F" w:rsidRPr="005847A9">
          <w:rPr>
            <w:rStyle w:val="Hyperlink"/>
            <w:rFonts w:ascii="Arial" w:hAnsi="Arial" w:cs="Arial"/>
            <w:sz w:val="24"/>
            <w:szCs w:val="24"/>
          </w:rPr>
          <w:t>https://www.nice.org.uk/guidance/ng116</w:t>
        </w:r>
      </w:hyperlink>
    </w:p>
    <w:p w14:paraId="2CE1A983" w14:textId="283CFAD7" w:rsidR="00391F45" w:rsidRPr="005847A9" w:rsidRDefault="00391F45" w:rsidP="005847A9">
      <w:pPr>
        <w:spacing w:line="360" w:lineRule="auto"/>
        <w:ind w:left="720" w:hanging="720"/>
        <w:rPr>
          <w:rFonts w:ascii="Arial" w:hAnsi="Arial" w:cs="Arial"/>
          <w:sz w:val="24"/>
          <w:szCs w:val="24"/>
        </w:rPr>
      </w:pPr>
      <w:r w:rsidRPr="005847A9">
        <w:rPr>
          <w:rFonts w:ascii="Arial" w:hAnsi="Arial" w:cs="Arial"/>
          <w:b/>
          <w:sz w:val="24"/>
          <w:szCs w:val="24"/>
        </w:rPr>
        <w:t>Neigh, G. N., &amp; Ali, F. F. (2016).</w:t>
      </w:r>
      <w:r w:rsidRPr="005847A9">
        <w:rPr>
          <w:rFonts w:ascii="Arial" w:hAnsi="Arial" w:cs="Arial"/>
          <w:sz w:val="24"/>
          <w:szCs w:val="24"/>
        </w:rPr>
        <w:t xml:space="preserve"> Co-morbidity of PTSD and immune system dysfunction: opportunities for treatment. </w:t>
      </w:r>
      <w:r w:rsidRPr="005847A9">
        <w:rPr>
          <w:rFonts w:ascii="Arial" w:hAnsi="Arial" w:cs="Arial"/>
          <w:i/>
          <w:iCs/>
          <w:sz w:val="24"/>
          <w:szCs w:val="24"/>
        </w:rPr>
        <w:t>Current opinion in pharmacology</w:t>
      </w:r>
      <w:r w:rsidRPr="005847A9">
        <w:rPr>
          <w:rFonts w:ascii="Arial" w:hAnsi="Arial" w:cs="Arial"/>
          <w:sz w:val="24"/>
          <w:szCs w:val="24"/>
        </w:rPr>
        <w:t>, 29, 104-110.</w:t>
      </w:r>
    </w:p>
    <w:p w14:paraId="45347C89" w14:textId="2AAEBD24" w:rsidR="00681724" w:rsidRPr="005847A9" w:rsidRDefault="00681724" w:rsidP="005847A9">
      <w:pPr>
        <w:spacing w:line="360" w:lineRule="auto"/>
        <w:ind w:left="720" w:hanging="720"/>
        <w:rPr>
          <w:rFonts w:ascii="Arial" w:hAnsi="Arial" w:cs="Arial"/>
          <w:sz w:val="24"/>
          <w:szCs w:val="24"/>
        </w:rPr>
      </w:pPr>
      <w:r w:rsidRPr="005847A9">
        <w:rPr>
          <w:rFonts w:ascii="Arial" w:hAnsi="Arial" w:cs="Arial"/>
          <w:b/>
          <w:sz w:val="24"/>
          <w:szCs w:val="24"/>
        </w:rPr>
        <w:t>Nickerson, A., Bryant, R. A., Silove, D., &amp; Steel, Z. (2011).</w:t>
      </w:r>
      <w:r w:rsidRPr="005847A9">
        <w:rPr>
          <w:rFonts w:ascii="Arial" w:hAnsi="Arial" w:cs="Arial"/>
          <w:sz w:val="24"/>
          <w:szCs w:val="24"/>
        </w:rPr>
        <w:t xml:space="preserve"> A critical review of psychological treatments of posttraumatic stress disorder in refugees. </w:t>
      </w:r>
      <w:r w:rsidRPr="005847A9">
        <w:rPr>
          <w:rFonts w:ascii="Arial" w:hAnsi="Arial" w:cs="Arial"/>
          <w:i/>
          <w:iCs/>
          <w:sz w:val="24"/>
          <w:szCs w:val="24"/>
        </w:rPr>
        <w:t>Clinical Psychology Review</w:t>
      </w:r>
      <w:r w:rsidRPr="005847A9">
        <w:rPr>
          <w:rFonts w:ascii="Arial" w:hAnsi="Arial" w:cs="Arial"/>
          <w:sz w:val="24"/>
          <w:szCs w:val="24"/>
        </w:rPr>
        <w:t>, 31(3), 399</w:t>
      </w:r>
      <w:r w:rsidR="00FE555F" w:rsidRPr="005847A9">
        <w:rPr>
          <w:rFonts w:ascii="Arial" w:hAnsi="Arial" w:cs="Arial"/>
          <w:sz w:val="24"/>
          <w:szCs w:val="24"/>
        </w:rPr>
        <w:t>-</w:t>
      </w:r>
      <w:r w:rsidRPr="005847A9">
        <w:rPr>
          <w:rFonts w:ascii="Arial" w:hAnsi="Arial" w:cs="Arial"/>
          <w:sz w:val="24"/>
          <w:szCs w:val="24"/>
        </w:rPr>
        <w:t>417.</w:t>
      </w:r>
    </w:p>
    <w:p w14:paraId="0F2C8891" w14:textId="66EA17E6" w:rsidR="00293369" w:rsidRPr="005847A9" w:rsidRDefault="00293369" w:rsidP="005847A9">
      <w:pPr>
        <w:spacing w:line="360" w:lineRule="auto"/>
        <w:ind w:left="720" w:hanging="720"/>
        <w:rPr>
          <w:rFonts w:ascii="Arial" w:hAnsi="Arial" w:cs="Arial"/>
          <w:sz w:val="24"/>
          <w:szCs w:val="24"/>
        </w:rPr>
      </w:pPr>
      <w:r w:rsidRPr="005847A9">
        <w:rPr>
          <w:rFonts w:ascii="Arial" w:hAnsi="Arial" w:cs="Arial"/>
          <w:b/>
          <w:sz w:val="24"/>
          <w:szCs w:val="24"/>
        </w:rPr>
        <w:t>Otto, M. W., Hinton, D. E., Korbly, N. B., Chea, A., Ba, P., Gershuny, B. S., &amp; Pollack, M. H (2003).</w:t>
      </w:r>
      <w:r w:rsidRPr="005847A9">
        <w:rPr>
          <w:rFonts w:ascii="Arial" w:hAnsi="Arial" w:cs="Arial"/>
          <w:sz w:val="24"/>
          <w:szCs w:val="24"/>
        </w:rPr>
        <w:t xml:space="preserve"> Treatment of pharmacotherapy-refractory posttraumatic stress disorder among Cambodian refugees: A pilot study of combination treatment with cognitive behavior therapy vs sertraline alone. </w:t>
      </w:r>
      <w:r w:rsidRPr="005847A9">
        <w:rPr>
          <w:rFonts w:ascii="Arial" w:hAnsi="Arial" w:cs="Arial"/>
          <w:i/>
          <w:iCs/>
          <w:sz w:val="24"/>
          <w:szCs w:val="24"/>
        </w:rPr>
        <w:t>Behaviour Research and Therapy</w:t>
      </w:r>
      <w:r w:rsidRPr="005847A9">
        <w:rPr>
          <w:rFonts w:ascii="Arial" w:hAnsi="Arial" w:cs="Arial"/>
          <w:sz w:val="24"/>
          <w:szCs w:val="24"/>
        </w:rPr>
        <w:t>, 41(41),1271–1276.</w:t>
      </w:r>
    </w:p>
    <w:p w14:paraId="3DA3C92B" w14:textId="65E2A1ED" w:rsidR="00DB10EB" w:rsidRPr="005847A9" w:rsidRDefault="00DB10EB" w:rsidP="005847A9">
      <w:pPr>
        <w:spacing w:line="360" w:lineRule="auto"/>
        <w:ind w:left="720" w:hanging="720"/>
        <w:rPr>
          <w:rFonts w:ascii="Arial" w:hAnsi="Arial" w:cs="Arial"/>
          <w:sz w:val="24"/>
          <w:szCs w:val="24"/>
        </w:rPr>
      </w:pPr>
      <w:r w:rsidRPr="005847A9">
        <w:rPr>
          <w:rFonts w:ascii="Arial" w:hAnsi="Arial" w:cs="Arial"/>
          <w:b/>
          <w:sz w:val="24"/>
          <w:szCs w:val="24"/>
        </w:rPr>
        <w:t xml:space="preserve">Public Health England, (2021) </w:t>
      </w:r>
      <w:r w:rsidRPr="005847A9">
        <w:rPr>
          <w:rFonts w:ascii="Arial" w:hAnsi="Arial" w:cs="Arial"/>
          <w:sz w:val="24"/>
          <w:szCs w:val="24"/>
        </w:rPr>
        <w:t xml:space="preserve">Disparities in the risk and outcomes of Covid-19. </w:t>
      </w:r>
      <w:hyperlink r:id="rId11" w:history="1">
        <w:r w:rsidR="00FE555F" w:rsidRPr="005847A9">
          <w:rPr>
            <w:rStyle w:val="Hyperlink"/>
            <w:rFonts w:ascii="Arial" w:hAnsi="Arial" w:cs="Arial"/>
            <w:sz w:val="24"/>
            <w:szCs w:val="24"/>
          </w:rPr>
          <w:t>https://assets.publishing.service.gov.uk/government/uploads/system/uploads/attachment_data/file/908434/Disparities_in_the_risk_and_outcomes_of_COVID_August_2020_update.pdf</w:t>
        </w:r>
      </w:hyperlink>
    </w:p>
    <w:p w14:paraId="3342F51F" w14:textId="556EFCF8" w:rsidR="00246101" w:rsidRPr="005847A9" w:rsidRDefault="00246101" w:rsidP="005847A9">
      <w:pPr>
        <w:spacing w:line="360" w:lineRule="auto"/>
        <w:ind w:left="720" w:hanging="720"/>
        <w:rPr>
          <w:rFonts w:ascii="Arial" w:hAnsi="Arial" w:cs="Arial"/>
          <w:sz w:val="24"/>
          <w:szCs w:val="24"/>
        </w:rPr>
      </w:pPr>
      <w:r w:rsidRPr="005847A9">
        <w:rPr>
          <w:rFonts w:ascii="Arial" w:hAnsi="Arial" w:cs="Arial"/>
          <w:b/>
          <w:bCs/>
          <w:sz w:val="24"/>
          <w:szCs w:val="24"/>
        </w:rPr>
        <w:t>Reich, H., Rief, W., Brähler, E. et al. (2018).</w:t>
      </w:r>
      <w:r w:rsidRPr="005847A9">
        <w:rPr>
          <w:rFonts w:ascii="Arial" w:hAnsi="Arial" w:cs="Arial"/>
          <w:sz w:val="24"/>
          <w:szCs w:val="24"/>
        </w:rPr>
        <w:t xml:space="preserve"> Cross-cultural validation of the German and Turkish versions of the PHQ-9: An IRT approach. </w:t>
      </w:r>
      <w:r w:rsidRPr="005847A9">
        <w:rPr>
          <w:rFonts w:ascii="Arial" w:hAnsi="Arial" w:cs="Arial"/>
          <w:i/>
          <w:iCs/>
          <w:sz w:val="24"/>
          <w:szCs w:val="24"/>
        </w:rPr>
        <w:t>BMC Psychology</w:t>
      </w:r>
      <w:r w:rsidRPr="005847A9">
        <w:rPr>
          <w:rFonts w:ascii="Arial" w:hAnsi="Arial" w:cs="Arial"/>
          <w:sz w:val="24"/>
          <w:szCs w:val="24"/>
        </w:rPr>
        <w:t>, 6, 26.</w:t>
      </w:r>
    </w:p>
    <w:p w14:paraId="24DB00A4" w14:textId="584E0AE4" w:rsidR="008E6E16" w:rsidRPr="005847A9" w:rsidRDefault="008E6E16" w:rsidP="005847A9">
      <w:pPr>
        <w:spacing w:line="360" w:lineRule="auto"/>
        <w:ind w:left="720" w:hanging="720"/>
        <w:rPr>
          <w:rFonts w:ascii="AdvHE" w:hAnsi="AdvHE" w:cs="AdvHE"/>
          <w:sz w:val="24"/>
          <w:szCs w:val="24"/>
        </w:rPr>
      </w:pPr>
      <w:r w:rsidRPr="005847A9">
        <w:rPr>
          <w:rFonts w:ascii="Arial" w:hAnsi="Arial" w:cs="Arial"/>
          <w:b/>
          <w:sz w:val="24"/>
          <w:szCs w:val="24"/>
        </w:rPr>
        <w:t xml:space="preserve">Robertson, M.E.A, Blumberg, J.M., Gratton J.L., Walsh E.G., Kayal H. (2013). </w:t>
      </w:r>
      <w:r w:rsidRPr="005847A9">
        <w:rPr>
          <w:rFonts w:ascii="Arial" w:hAnsi="Arial" w:cs="Arial"/>
          <w:sz w:val="24"/>
          <w:szCs w:val="24"/>
        </w:rPr>
        <w:t xml:space="preserve">A group-based approach to stabilisation and symptom management in a phased treatment model for refugees and asylum seekers. </w:t>
      </w:r>
      <w:r w:rsidRPr="005847A9">
        <w:rPr>
          <w:rFonts w:ascii="Arial" w:hAnsi="Arial" w:cs="Arial"/>
          <w:i/>
          <w:iCs/>
          <w:sz w:val="24"/>
          <w:szCs w:val="24"/>
        </w:rPr>
        <w:t>European Journal of</w:t>
      </w:r>
      <w:r w:rsidR="00FE555F" w:rsidRPr="005847A9">
        <w:rPr>
          <w:rFonts w:ascii="Arial" w:hAnsi="Arial" w:cs="Arial"/>
          <w:i/>
          <w:iCs/>
          <w:sz w:val="24"/>
          <w:szCs w:val="24"/>
        </w:rPr>
        <w:t xml:space="preserve"> </w:t>
      </w:r>
      <w:r w:rsidRPr="005847A9">
        <w:rPr>
          <w:rFonts w:ascii="Arial" w:hAnsi="Arial" w:cs="Arial"/>
          <w:i/>
          <w:iCs/>
          <w:sz w:val="24"/>
          <w:szCs w:val="24"/>
        </w:rPr>
        <w:t>Psychotraumatology</w:t>
      </w:r>
      <w:r w:rsidR="00FE555F" w:rsidRPr="005847A9">
        <w:rPr>
          <w:rFonts w:ascii="Arial" w:hAnsi="Arial" w:cs="Arial"/>
          <w:i/>
          <w:iCs/>
          <w:sz w:val="24"/>
          <w:szCs w:val="24"/>
        </w:rPr>
        <w:t xml:space="preserve">, </w:t>
      </w:r>
      <w:r w:rsidRPr="005847A9">
        <w:rPr>
          <w:rFonts w:ascii="Arial" w:hAnsi="Arial" w:cs="Arial"/>
          <w:sz w:val="24"/>
          <w:szCs w:val="24"/>
        </w:rPr>
        <w:t>4</w:t>
      </w:r>
      <w:r w:rsidR="00FE555F" w:rsidRPr="005847A9">
        <w:rPr>
          <w:rFonts w:ascii="Arial" w:hAnsi="Arial" w:cs="Arial"/>
          <w:sz w:val="24"/>
          <w:szCs w:val="24"/>
        </w:rPr>
        <w:t>,</w:t>
      </w:r>
      <w:r w:rsidR="00681724" w:rsidRPr="005847A9">
        <w:rPr>
          <w:rFonts w:ascii="Arial" w:hAnsi="Arial" w:cs="Arial"/>
          <w:sz w:val="24"/>
          <w:szCs w:val="24"/>
        </w:rPr>
        <w:t>1-8</w:t>
      </w:r>
      <w:r w:rsidR="00FE555F" w:rsidRPr="005847A9">
        <w:rPr>
          <w:rFonts w:ascii="Arial" w:hAnsi="Arial" w:cs="Arial"/>
          <w:sz w:val="24"/>
          <w:szCs w:val="24"/>
        </w:rPr>
        <w:t>.</w:t>
      </w:r>
    </w:p>
    <w:p w14:paraId="02877243" w14:textId="2C5B9F40" w:rsidR="00197418" w:rsidRPr="005847A9" w:rsidRDefault="00197418" w:rsidP="005847A9">
      <w:pPr>
        <w:spacing w:line="360" w:lineRule="auto"/>
        <w:ind w:left="720" w:hanging="720"/>
        <w:rPr>
          <w:rFonts w:ascii="Arial" w:hAnsi="Arial" w:cs="Arial"/>
          <w:sz w:val="24"/>
          <w:szCs w:val="24"/>
        </w:rPr>
      </w:pPr>
      <w:r w:rsidRPr="005847A9">
        <w:rPr>
          <w:rFonts w:ascii="Arial" w:hAnsi="Arial" w:cs="Arial"/>
          <w:b/>
          <w:sz w:val="24"/>
          <w:szCs w:val="24"/>
        </w:rPr>
        <w:t xml:space="preserve">Schweitzer, R., Melville, F., Steel, Z. &amp; Lacherez, P. (2006) </w:t>
      </w:r>
      <w:r w:rsidRPr="005847A9">
        <w:rPr>
          <w:rFonts w:ascii="Arial" w:hAnsi="Arial" w:cs="Arial"/>
          <w:sz w:val="24"/>
          <w:szCs w:val="24"/>
        </w:rPr>
        <w:t xml:space="preserve">Trauma, post-migration living difficulties, and social support as predictors of psychological adjustment in resettled Sudanese refugees. </w:t>
      </w:r>
      <w:r w:rsidRPr="005847A9">
        <w:rPr>
          <w:rFonts w:ascii="Arial" w:hAnsi="Arial" w:cs="Arial"/>
          <w:i/>
          <w:iCs/>
          <w:sz w:val="24"/>
          <w:szCs w:val="24"/>
        </w:rPr>
        <w:t>Australian and New Zealand Journal of Psychiatry</w:t>
      </w:r>
      <w:r w:rsidRPr="005847A9">
        <w:rPr>
          <w:rFonts w:ascii="Arial" w:hAnsi="Arial" w:cs="Arial"/>
          <w:sz w:val="24"/>
          <w:szCs w:val="24"/>
        </w:rPr>
        <w:t>, 40, 179–187.</w:t>
      </w:r>
    </w:p>
    <w:p w14:paraId="51F92747" w14:textId="2DB712C1" w:rsidR="00246101" w:rsidRPr="005847A9" w:rsidRDefault="00246101" w:rsidP="005847A9">
      <w:pPr>
        <w:spacing w:line="360" w:lineRule="auto"/>
        <w:ind w:left="720" w:hanging="720"/>
        <w:rPr>
          <w:rFonts w:ascii="Arial" w:hAnsi="Arial" w:cs="Arial"/>
          <w:sz w:val="24"/>
          <w:szCs w:val="24"/>
        </w:rPr>
      </w:pPr>
      <w:r w:rsidRPr="005847A9">
        <w:rPr>
          <w:rFonts w:ascii="Arial" w:hAnsi="Arial" w:cs="Arial"/>
          <w:b/>
          <w:bCs/>
          <w:sz w:val="24"/>
          <w:szCs w:val="24"/>
        </w:rPr>
        <w:t>Sohn, J.H., Lim, J., Lee, J.S., Kim, K., Lim, S., Byeon, N., Kim, D. W., Kim, K. H., Kim, M. S., Cho, S. J., Seo, H. Y., Park, J. E., Kwon, Y. J., Kwon, J. S., &amp; Ahn, C. (2019).</w:t>
      </w:r>
      <w:r w:rsidRPr="005847A9">
        <w:rPr>
          <w:rFonts w:ascii="Arial" w:hAnsi="Arial" w:cs="Arial"/>
          <w:sz w:val="24"/>
          <w:szCs w:val="24"/>
        </w:rPr>
        <w:t xml:space="preserve"> Prevalence of Possible Depression and Post-traumatic Stress Disorder among Community Dwelling Adult Refugees and Refugee Applicants in South Korea.</w:t>
      </w:r>
      <w:r w:rsidR="00DE1673" w:rsidRPr="005847A9">
        <w:t xml:space="preserve"> </w:t>
      </w:r>
      <w:r w:rsidR="00DE1673" w:rsidRPr="005847A9">
        <w:rPr>
          <w:rFonts w:ascii="Arial" w:hAnsi="Arial" w:cs="Arial"/>
          <w:i/>
          <w:iCs/>
          <w:sz w:val="24"/>
          <w:szCs w:val="24"/>
        </w:rPr>
        <w:t>Journal of Korean Medical Science</w:t>
      </w:r>
      <w:r w:rsidRPr="005847A9">
        <w:rPr>
          <w:rFonts w:ascii="Arial" w:hAnsi="Arial" w:cs="Arial"/>
          <w:sz w:val="24"/>
          <w:szCs w:val="24"/>
        </w:rPr>
        <w:t>, 34(11).</w:t>
      </w:r>
    </w:p>
    <w:p w14:paraId="789B9125" w14:textId="1951093A" w:rsidR="008B5F56" w:rsidRPr="005847A9" w:rsidRDefault="008B5F56" w:rsidP="005847A9">
      <w:pPr>
        <w:spacing w:line="360" w:lineRule="auto"/>
        <w:ind w:left="720" w:hanging="720"/>
        <w:rPr>
          <w:rFonts w:ascii="Arial" w:hAnsi="Arial" w:cs="Arial"/>
          <w:sz w:val="24"/>
          <w:szCs w:val="24"/>
        </w:rPr>
      </w:pPr>
      <w:r w:rsidRPr="005847A9">
        <w:rPr>
          <w:rFonts w:ascii="Arial" w:hAnsi="Arial" w:cs="Arial"/>
          <w:b/>
          <w:bCs/>
          <w:color w:val="222222"/>
          <w:sz w:val="24"/>
          <w:szCs w:val="24"/>
          <w:shd w:val="clear" w:color="auto" w:fill="FFFFFF"/>
        </w:rPr>
        <w:t>Ter Heide, F. J. J., Mooren, T. M., &amp; Kleber, R. J. (2016).</w:t>
      </w:r>
      <w:r w:rsidRPr="005847A9">
        <w:rPr>
          <w:rFonts w:ascii="Arial" w:hAnsi="Arial" w:cs="Arial"/>
          <w:color w:val="222222"/>
          <w:sz w:val="24"/>
          <w:szCs w:val="24"/>
          <w:shd w:val="clear" w:color="auto" w:fill="FFFFFF"/>
        </w:rPr>
        <w:t xml:space="preserve"> Complex PTSD and phased treatment in refugees: A debate piece. </w:t>
      </w:r>
      <w:r w:rsidRPr="005847A9">
        <w:rPr>
          <w:rFonts w:ascii="Arial" w:hAnsi="Arial" w:cs="Arial"/>
          <w:i/>
          <w:iCs/>
          <w:color w:val="222222"/>
          <w:sz w:val="24"/>
          <w:szCs w:val="24"/>
          <w:shd w:val="clear" w:color="auto" w:fill="FFFFFF"/>
        </w:rPr>
        <w:t>European journal of psychotraumatology</w:t>
      </w:r>
      <w:r w:rsidRPr="005847A9">
        <w:rPr>
          <w:rFonts w:ascii="Arial" w:hAnsi="Arial" w:cs="Arial"/>
          <w:color w:val="222222"/>
          <w:sz w:val="24"/>
          <w:szCs w:val="24"/>
          <w:shd w:val="clear" w:color="auto" w:fill="FFFFFF"/>
        </w:rPr>
        <w:t>, </w:t>
      </w:r>
      <w:r w:rsidRPr="005847A9">
        <w:rPr>
          <w:rFonts w:ascii="Arial" w:hAnsi="Arial" w:cs="Arial"/>
          <w:i/>
          <w:iCs/>
          <w:color w:val="222222"/>
          <w:sz w:val="24"/>
          <w:szCs w:val="24"/>
          <w:shd w:val="clear" w:color="auto" w:fill="FFFFFF"/>
        </w:rPr>
        <w:t>7</w:t>
      </w:r>
      <w:r w:rsidRPr="005847A9">
        <w:rPr>
          <w:rFonts w:ascii="Arial" w:hAnsi="Arial" w:cs="Arial"/>
          <w:color w:val="222222"/>
          <w:sz w:val="24"/>
          <w:szCs w:val="24"/>
          <w:shd w:val="clear" w:color="auto" w:fill="FFFFFF"/>
        </w:rPr>
        <w:t>(1), 28687.</w:t>
      </w:r>
    </w:p>
    <w:p w14:paraId="38E0D9E3" w14:textId="06AC5634" w:rsidR="009255D5" w:rsidRPr="005847A9" w:rsidRDefault="002056D9" w:rsidP="005847A9">
      <w:pPr>
        <w:spacing w:line="360" w:lineRule="auto"/>
        <w:ind w:left="720" w:hanging="720"/>
        <w:rPr>
          <w:rFonts w:ascii="Arial" w:hAnsi="Arial" w:cs="Arial"/>
          <w:sz w:val="24"/>
          <w:szCs w:val="24"/>
        </w:rPr>
      </w:pPr>
      <w:r w:rsidRPr="005847A9">
        <w:rPr>
          <w:rFonts w:ascii="Arial" w:hAnsi="Arial" w:cs="Arial"/>
          <w:b/>
          <w:sz w:val="24"/>
          <w:szCs w:val="24"/>
        </w:rPr>
        <w:t>T</w:t>
      </w:r>
      <w:r w:rsidR="009255D5" w:rsidRPr="005847A9">
        <w:rPr>
          <w:rFonts w:ascii="Arial" w:hAnsi="Arial" w:cs="Arial"/>
          <w:b/>
          <w:sz w:val="24"/>
          <w:szCs w:val="24"/>
        </w:rPr>
        <w:t>er Heide, F. J. J., Mooren, T. M., Van de Schoot, R., De Jongh, A., &amp; Kleber, R. J. (2016).</w:t>
      </w:r>
      <w:r w:rsidR="009255D5" w:rsidRPr="005847A9">
        <w:rPr>
          <w:rFonts w:ascii="Arial" w:hAnsi="Arial" w:cs="Arial"/>
          <w:sz w:val="24"/>
          <w:szCs w:val="24"/>
        </w:rPr>
        <w:t xml:space="preserve"> Eye movement desensitisation and reprocessing therapy v. stabilisation as usual for refugees: Randomised controlled trial. </w:t>
      </w:r>
      <w:r w:rsidR="009255D5" w:rsidRPr="005847A9">
        <w:rPr>
          <w:rFonts w:ascii="Arial" w:hAnsi="Arial" w:cs="Arial"/>
          <w:i/>
          <w:iCs/>
          <w:sz w:val="24"/>
          <w:szCs w:val="24"/>
        </w:rPr>
        <w:t>The British Journal of Psychiatry</w:t>
      </w:r>
      <w:r w:rsidR="009255D5" w:rsidRPr="005847A9">
        <w:rPr>
          <w:rFonts w:ascii="Arial" w:hAnsi="Arial" w:cs="Arial"/>
          <w:sz w:val="24"/>
          <w:szCs w:val="24"/>
        </w:rPr>
        <w:t>, 209(4), 311-318.</w:t>
      </w:r>
    </w:p>
    <w:p w14:paraId="4191A1DA" w14:textId="25437936" w:rsidR="000B5D3E" w:rsidRPr="005847A9" w:rsidRDefault="000B5D3E" w:rsidP="005847A9">
      <w:pPr>
        <w:spacing w:line="360" w:lineRule="auto"/>
        <w:ind w:left="720" w:hanging="720"/>
        <w:rPr>
          <w:rFonts w:ascii="Arial" w:hAnsi="Arial" w:cs="Arial"/>
          <w:sz w:val="24"/>
          <w:szCs w:val="24"/>
        </w:rPr>
      </w:pPr>
      <w:r w:rsidRPr="005847A9">
        <w:rPr>
          <w:rFonts w:ascii="Arial" w:hAnsi="Arial" w:cs="Arial"/>
          <w:b/>
          <w:sz w:val="24"/>
          <w:szCs w:val="24"/>
        </w:rPr>
        <w:t>Thompson, C. T., Vidgen, A., &amp; Roberts, N. P. (2018).</w:t>
      </w:r>
      <w:r w:rsidRPr="005847A9">
        <w:rPr>
          <w:rFonts w:ascii="Arial" w:hAnsi="Arial" w:cs="Arial"/>
          <w:sz w:val="24"/>
          <w:szCs w:val="24"/>
        </w:rPr>
        <w:t xml:space="preserve"> Psychological interventions for post-traumatic stress disorder in refugees and asylum seekers: A systematic review and meta-analysis. </w:t>
      </w:r>
      <w:r w:rsidRPr="005847A9">
        <w:rPr>
          <w:rFonts w:ascii="Arial" w:hAnsi="Arial" w:cs="Arial"/>
          <w:i/>
          <w:iCs/>
          <w:sz w:val="24"/>
          <w:szCs w:val="24"/>
        </w:rPr>
        <w:t>Clinical Psychology Review</w:t>
      </w:r>
      <w:r w:rsidRPr="005847A9">
        <w:rPr>
          <w:rFonts w:ascii="Arial" w:hAnsi="Arial" w:cs="Arial"/>
          <w:sz w:val="24"/>
          <w:szCs w:val="24"/>
        </w:rPr>
        <w:t>, 63, 66-79.</w:t>
      </w:r>
    </w:p>
    <w:p w14:paraId="7FE0C7E1" w14:textId="2BD5ED96" w:rsidR="00971045" w:rsidRPr="005847A9" w:rsidRDefault="00CD1064" w:rsidP="005847A9">
      <w:pPr>
        <w:spacing w:line="360" w:lineRule="auto"/>
        <w:ind w:left="720" w:hanging="720"/>
        <w:rPr>
          <w:rFonts w:ascii="Arial" w:hAnsi="Arial" w:cs="Arial"/>
          <w:sz w:val="24"/>
          <w:szCs w:val="24"/>
          <w:shd w:val="clear" w:color="auto" w:fill="FFFFFF"/>
        </w:rPr>
      </w:pPr>
      <w:r w:rsidRPr="005847A9">
        <w:rPr>
          <w:rFonts w:ascii="Arial" w:hAnsi="Arial" w:cs="Arial"/>
          <w:b/>
          <w:sz w:val="24"/>
          <w:szCs w:val="24"/>
        </w:rPr>
        <w:t>Turrini, G., Purgato, M., Acarturk, C., Anttila, M., Au, T., Ballette, F., ... &amp; Hall, J. (2019).</w:t>
      </w:r>
      <w:r w:rsidRPr="005847A9">
        <w:rPr>
          <w:rFonts w:ascii="Arial" w:hAnsi="Arial" w:cs="Arial"/>
          <w:sz w:val="24"/>
          <w:szCs w:val="24"/>
        </w:rPr>
        <w:t xml:space="preserve"> Efficacy and acceptability of psychosocial interventions in asylum seekers and refugees: systematic review and meta-analysis. </w:t>
      </w:r>
      <w:r w:rsidRPr="005847A9">
        <w:rPr>
          <w:rFonts w:ascii="Arial" w:hAnsi="Arial" w:cs="Arial"/>
          <w:i/>
          <w:iCs/>
          <w:sz w:val="24"/>
          <w:szCs w:val="24"/>
        </w:rPr>
        <w:t>Epidemiology and psychiatric s</w:t>
      </w:r>
      <w:r w:rsidRPr="005847A9">
        <w:rPr>
          <w:rFonts w:ascii="Arial" w:hAnsi="Arial" w:cs="Arial"/>
          <w:i/>
          <w:iCs/>
          <w:sz w:val="24"/>
          <w:szCs w:val="24"/>
          <w:shd w:val="clear" w:color="auto" w:fill="FFFFFF"/>
        </w:rPr>
        <w:t>ciences</w:t>
      </w:r>
      <w:r w:rsidRPr="005847A9">
        <w:rPr>
          <w:rFonts w:ascii="Arial" w:hAnsi="Arial" w:cs="Arial"/>
          <w:sz w:val="24"/>
          <w:szCs w:val="24"/>
          <w:shd w:val="clear" w:color="auto" w:fill="FFFFFF"/>
        </w:rPr>
        <w:t>, </w:t>
      </w:r>
      <w:r w:rsidRPr="005847A9">
        <w:rPr>
          <w:rFonts w:ascii="Arial" w:hAnsi="Arial" w:cs="Arial"/>
          <w:i/>
          <w:iCs/>
          <w:sz w:val="24"/>
          <w:szCs w:val="24"/>
          <w:shd w:val="clear" w:color="auto" w:fill="FFFFFF"/>
        </w:rPr>
        <w:t>28</w:t>
      </w:r>
      <w:r w:rsidRPr="005847A9">
        <w:rPr>
          <w:rFonts w:ascii="Arial" w:hAnsi="Arial" w:cs="Arial"/>
          <w:sz w:val="24"/>
          <w:szCs w:val="24"/>
          <w:shd w:val="clear" w:color="auto" w:fill="FFFFFF"/>
        </w:rPr>
        <w:t>(4), 376-388.</w:t>
      </w:r>
    </w:p>
    <w:p w14:paraId="652AD3AE" w14:textId="2AE33B7B" w:rsidR="00142146" w:rsidRPr="005847A9" w:rsidRDefault="001A2645" w:rsidP="005847A9">
      <w:pPr>
        <w:spacing w:line="360" w:lineRule="auto"/>
        <w:ind w:left="709" w:hanging="709"/>
        <w:rPr>
          <w:rFonts w:ascii="Arial" w:hAnsi="Arial" w:cs="Arial"/>
          <w:sz w:val="24"/>
          <w:szCs w:val="24"/>
        </w:rPr>
      </w:pPr>
      <w:r w:rsidRPr="005847A9">
        <w:rPr>
          <w:rFonts w:ascii="Arial" w:hAnsi="Arial" w:cs="Arial"/>
          <w:b/>
          <w:sz w:val="24"/>
          <w:szCs w:val="24"/>
        </w:rPr>
        <w:t>United Nations</w:t>
      </w:r>
      <w:r w:rsidR="00EC3C41" w:rsidRPr="005847A9">
        <w:rPr>
          <w:rFonts w:ascii="Arial" w:hAnsi="Arial" w:cs="Arial"/>
          <w:b/>
          <w:sz w:val="24"/>
          <w:szCs w:val="24"/>
        </w:rPr>
        <w:t xml:space="preserve"> High Commissioner for Refugees (UNHCR). (1951) </w:t>
      </w:r>
      <w:r w:rsidR="00EC3C41" w:rsidRPr="005847A9">
        <w:rPr>
          <w:rFonts w:ascii="Arial" w:hAnsi="Arial" w:cs="Arial"/>
          <w:i/>
          <w:iCs/>
          <w:sz w:val="24"/>
          <w:szCs w:val="24"/>
        </w:rPr>
        <w:t>The Convention relating to the status of refugees.</w:t>
      </w:r>
      <w:r w:rsidR="00EC3C41" w:rsidRPr="005847A9">
        <w:rPr>
          <w:rFonts w:ascii="Arial" w:hAnsi="Arial" w:cs="Arial"/>
          <w:sz w:val="24"/>
          <w:szCs w:val="24"/>
        </w:rPr>
        <w:t xml:space="preserve"> </w:t>
      </w:r>
      <w:hyperlink r:id="rId12" w:history="1">
        <w:r w:rsidR="00142146" w:rsidRPr="005847A9">
          <w:rPr>
            <w:rStyle w:val="Hyperlink"/>
            <w:rFonts w:ascii="Arial" w:hAnsi="Arial" w:cs="Arial"/>
            <w:sz w:val="24"/>
            <w:szCs w:val="24"/>
          </w:rPr>
          <w:t>www.unhcr.org</w:t>
        </w:r>
      </w:hyperlink>
    </w:p>
    <w:p w14:paraId="564ECECB" w14:textId="0D684C29" w:rsidR="00C5797A" w:rsidRDefault="00C5797A" w:rsidP="005847A9">
      <w:pPr>
        <w:spacing w:line="360" w:lineRule="auto"/>
        <w:ind w:left="720" w:hanging="720"/>
        <w:rPr>
          <w:rFonts w:ascii="Arial" w:hAnsi="Arial" w:cs="Arial"/>
          <w:sz w:val="24"/>
          <w:szCs w:val="24"/>
        </w:rPr>
      </w:pPr>
      <w:r w:rsidRPr="005847A9">
        <w:rPr>
          <w:rFonts w:ascii="Arial" w:hAnsi="Arial" w:cs="Arial"/>
          <w:b/>
          <w:bCs/>
          <w:sz w:val="24"/>
          <w:szCs w:val="24"/>
        </w:rPr>
        <w:t>World Health Organization. (2018).</w:t>
      </w:r>
      <w:r w:rsidRPr="005847A9">
        <w:rPr>
          <w:rFonts w:ascii="Arial" w:hAnsi="Arial" w:cs="Arial"/>
          <w:sz w:val="24"/>
          <w:szCs w:val="24"/>
        </w:rPr>
        <w:t> </w:t>
      </w:r>
      <w:r w:rsidRPr="005847A9">
        <w:rPr>
          <w:rFonts w:ascii="Arial" w:hAnsi="Arial" w:cs="Arial"/>
          <w:i/>
          <w:iCs/>
          <w:sz w:val="24"/>
          <w:szCs w:val="24"/>
        </w:rPr>
        <w:t>International classification of diseases for mortality and morbidity statistics </w:t>
      </w:r>
      <w:r w:rsidRPr="005847A9">
        <w:rPr>
          <w:rFonts w:ascii="Arial" w:hAnsi="Arial" w:cs="Arial"/>
          <w:sz w:val="24"/>
          <w:szCs w:val="24"/>
        </w:rPr>
        <w:t xml:space="preserve">(11th Revision). </w:t>
      </w:r>
      <w:hyperlink r:id="rId13" w:history="1">
        <w:r w:rsidR="008B5AA6" w:rsidRPr="005847A9">
          <w:rPr>
            <w:rStyle w:val="Hyperlink"/>
            <w:rFonts w:ascii="Arial" w:hAnsi="Arial" w:cs="Arial"/>
            <w:sz w:val="24"/>
            <w:szCs w:val="24"/>
          </w:rPr>
          <w:t>https://icd.who.int/browse11/l-m/en</w:t>
        </w:r>
      </w:hyperlink>
    </w:p>
    <w:p w14:paraId="099494F3" w14:textId="77777777" w:rsidR="008B5AA6" w:rsidRPr="00F011A5" w:rsidRDefault="008B5AA6" w:rsidP="005847A9">
      <w:pPr>
        <w:spacing w:line="360" w:lineRule="auto"/>
        <w:ind w:left="720" w:hanging="720"/>
        <w:rPr>
          <w:rFonts w:ascii="Arial" w:hAnsi="Arial" w:cs="Arial"/>
          <w:sz w:val="24"/>
          <w:szCs w:val="24"/>
        </w:rPr>
      </w:pPr>
    </w:p>
    <w:sectPr w:rsidR="008B5AA6" w:rsidRPr="00F011A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BEDF" w14:textId="77777777" w:rsidR="00555D2D" w:rsidRDefault="00555D2D" w:rsidP="000D4807">
      <w:pPr>
        <w:spacing w:after="0" w:line="240" w:lineRule="auto"/>
      </w:pPr>
      <w:r>
        <w:separator/>
      </w:r>
    </w:p>
  </w:endnote>
  <w:endnote w:type="continuationSeparator" w:id="0">
    <w:p w14:paraId="07F2BD14" w14:textId="77777777" w:rsidR="00555D2D" w:rsidRDefault="00555D2D" w:rsidP="000D4807">
      <w:pPr>
        <w:spacing w:after="0" w:line="240" w:lineRule="auto"/>
      </w:pPr>
      <w:r>
        <w:continuationSeparator/>
      </w:r>
    </w:p>
  </w:endnote>
  <w:endnote w:type="continuationNotice" w:id="1">
    <w:p w14:paraId="38715054" w14:textId="77777777" w:rsidR="00555D2D" w:rsidRDefault="00555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H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9BAE" w14:textId="77777777" w:rsidR="00246101" w:rsidRDefault="00246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8D0A" w14:textId="77777777" w:rsidR="00555D2D" w:rsidRDefault="00555D2D" w:rsidP="000D4807">
      <w:pPr>
        <w:spacing w:after="0" w:line="240" w:lineRule="auto"/>
      </w:pPr>
      <w:r>
        <w:separator/>
      </w:r>
    </w:p>
  </w:footnote>
  <w:footnote w:type="continuationSeparator" w:id="0">
    <w:p w14:paraId="7A3D888C" w14:textId="77777777" w:rsidR="00555D2D" w:rsidRDefault="00555D2D" w:rsidP="000D4807">
      <w:pPr>
        <w:spacing w:after="0" w:line="240" w:lineRule="auto"/>
      </w:pPr>
      <w:r>
        <w:continuationSeparator/>
      </w:r>
    </w:p>
  </w:footnote>
  <w:footnote w:type="continuationNotice" w:id="1">
    <w:p w14:paraId="5E6490F5" w14:textId="77777777" w:rsidR="00555D2D" w:rsidRDefault="00555D2D">
      <w:pPr>
        <w:spacing w:after="0" w:line="240" w:lineRule="auto"/>
      </w:pPr>
    </w:p>
  </w:footnote>
  <w:footnote w:id="2">
    <w:p w14:paraId="49223641" w14:textId="77777777" w:rsidR="0049633C" w:rsidRDefault="00496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3DD" w14:textId="427F0AD7" w:rsidR="00246101" w:rsidRDefault="00246101">
    <w:pPr>
      <w:pStyle w:val="Header"/>
    </w:pPr>
    <w:r>
      <w:t xml:space="preserve">GROUP STABILISATION FOR REFUGEES WITH PTSD                                                                                    </w:t>
    </w:r>
    <w:r w:rsidRPr="000D4807">
      <w:fldChar w:fldCharType="begin"/>
    </w:r>
    <w:r w:rsidRPr="000D4807">
      <w:instrText xml:space="preserve"> PAGE   \* MERGEFORMAT </w:instrText>
    </w:r>
    <w:r w:rsidRPr="000D4807">
      <w:fldChar w:fldCharType="separate"/>
    </w:r>
    <w:r w:rsidR="00F8104A">
      <w:rPr>
        <w:noProof/>
      </w:rPr>
      <w:t>6</w:t>
    </w:r>
    <w:r w:rsidRPr="000D4807">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409E"/>
    <w:multiLevelType w:val="hybridMultilevel"/>
    <w:tmpl w:val="4FF02BE8"/>
    <w:lvl w:ilvl="0" w:tplc="6B6C68F0">
      <w:start w:val="1"/>
      <w:numFmt w:val="bullet"/>
      <w:lvlText w:val="-"/>
      <w:lvlJc w:val="left"/>
      <w:pPr>
        <w:ind w:left="1185" w:hanging="360"/>
      </w:pPr>
      <w:rPr>
        <w:rFonts w:ascii="Calibri" w:eastAsiaTheme="minorHAnsi" w:hAnsi="Calibri" w:cs="Calibr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2D05618F"/>
    <w:multiLevelType w:val="hybridMultilevel"/>
    <w:tmpl w:val="5B8095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6853DD"/>
    <w:multiLevelType w:val="hybridMultilevel"/>
    <w:tmpl w:val="1D20AB9A"/>
    <w:lvl w:ilvl="0" w:tplc="6B6C68F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E8484A"/>
    <w:multiLevelType w:val="hybridMultilevel"/>
    <w:tmpl w:val="60FC3F7C"/>
    <w:lvl w:ilvl="0" w:tplc="F6C820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3320C"/>
    <w:multiLevelType w:val="hybridMultilevel"/>
    <w:tmpl w:val="B956CC80"/>
    <w:lvl w:ilvl="0" w:tplc="9698EE18">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0B4A33"/>
    <w:multiLevelType w:val="hybridMultilevel"/>
    <w:tmpl w:val="F4504432"/>
    <w:lvl w:ilvl="0" w:tplc="443414B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A13B96"/>
    <w:multiLevelType w:val="hybridMultilevel"/>
    <w:tmpl w:val="4210D252"/>
    <w:lvl w:ilvl="0" w:tplc="803E3B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62D76"/>
    <w:multiLevelType w:val="hybridMultilevel"/>
    <w:tmpl w:val="63E23832"/>
    <w:lvl w:ilvl="0" w:tplc="1622535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4574F"/>
    <w:multiLevelType w:val="hybridMultilevel"/>
    <w:tmpl w:val="539C21B0"/>
    <w:lvl w:ilvl="0" w:tplc="8E5A8D54">
      <w:start w:val="4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35"/>
    <w:rsid w:val="0000070F"/>
    <w:rsid w:val="0000617C"/>
    <w:rsid w:val="000061DF"/>
    <w:rsid w:val="0001380B"/>
    <w:rsid w:val="00022706"/>
    <w:rsid w:val="00022F2E"/>
    <w:rsid w:val="000245DC"/>
    <w:rsid w:val="00027FDB"/>
    <w:rsid w:val="00035216"/>
    <w:rsid w:val="00041622"/>
    <w:rsid w:val="00041CC1"/>
    <w:rsid w:val="00042A15"/>
    <w:rsid w:val="000433AA"/>
    <w:rsid w:val="00046208"/>
    <w:rsid w:val="0005145C"/>
    <w:rsid w:val="00060D41"/>
    <w:rsid w:val="00061F5B"/>
    <w:rsid w:val="00073201"/>
    <w:rsid w:val="000810CA"/>
    <w:rsid w:val="00081349"/>
    <w:rsid w:val="00096D71"/>
    <w:rsid w:val="000A38BE"/>
    <w:rsid w:val="000A48E1"/>
    <w:rsid w:val="000A4DB7"/>
    <w:rsid w:val="000A67CC"/>
    <w:rsid w:val="000B5D3E"/>
    <w:rsid w:val="000C6DBE"/>
    <w:rsid w:val="000D438C"/>
    <w:rsid w:val="000D4807"/>
    <w:rsid w:val="000E3B48"/>
    <w:rsid w:val="000E6B4E"/>
    <w:rsid w:val="000E7932"/>
    <w:rsid w:val="000F296B"/>
    <w:rsid w:val="001049C4"/>
    <w:rsid w:val="00111760"/>
    <w:rsid w:val="00113944"/>
    <w:rsid w:val="0011402D"/>
    <w:rsid w:val="00116346"/>
    <w:rsid w:val="00117687"/>
    <w:rsid w:val="00117751"/>
    <w:rsid w:val="00123529"/>
    <w:rsid w:val="001245D6"/>
    <w:rsid w:val="0012521A"/>
    <w:rsid w:val="00131090"/>
    <w:rsid w:val="001326AE"/>
    <w:rsid w:val="0013546E"/>
    <w:rsid w:val="00136003"/>
    <w:rsid w:val="00142146"/>
    <w:rsid w:val="00153EE9"/>
    <w:rsid w:val="0016686A"/>
    <w:rsid w:val="00172A21"/>
    <w:rsid w:val="00174328"/>
    <w:rsid w:val="00176958"/>
    <w:rsid w:val="00177252"/>
    <w:rsid w:val="0018304D"/>
    <w:rsid w:val="0018370C"/>
    <w:rsid w:val="00191D05"/>
    <w:rsid w:val="0019244E"/>
    <w:rsid w:val="00192567"/>
    <w:rsid w:val="001937F0"/>
    <w:rsid w:val="00197418"/>
    <w:rsid w:val="001A054B"/>
    <w:rsid w:val="001A2645"/>
    <w:rsid w:val="001B71E9"/>
    <w:rsid w:val="001C0C10"/>
    <w:rsid w:val="001C1DA9"/>
    <w:rsid w:val="001C68B8"/>
    <w:rsid w:val="001D4E2F"/>
    <w:rsid w:val="001D7C27"/>
    <w:rsid w:val="001D7DC4"/>
    <w:rsid w:val="001E172B"/>
    <w:rsid w:val="001E2E20"/>
    <w:rsid w:val="001F00DC"/>
    <w:rsid w:val="001F3CFB"/>
    <w:rsid w:val="001F4DDB"/>
    <w:rsid w:val="002040EC"/>
    <w:rsid w:val="002047CF"/>
    <w:rsid w:val="002050C6"/>
    <w:rsid w:val="002056D9"/>
    <w:rsid w:val="00206034"/>
    <w:rsid w:val="00212DAF"/>
    <w:rsid w:val="0021514A"/>
    <w:rsid w:val="002169B7"/>
    <w:rsid w:val="002238E5"/>
    <w:rsid w:val="002270B2"/>
    <w:rsid w:val="00237520"/>
    <w:rsid w:val="00243694"/>
    <w:rsid w:val="00246101"/>
    <w:rsid w:val="00246FEC"/>
    <w:rsid w:val="002555B5"/>
    <w:rsid w:val="00263A0B"/>
    <w:rsid w:val="00270A9B"/>
    <w:rsid w:val="00270EA6"/>
    <w:rsid w:val="002748D9"/>
    <w:rsid w:val="002859C4"/>
    <w:rsid w:val="0029159B"/>
    <w:rsid w:val="00293369"/>
    <w:rsid w:val="002B0F21"/>
    <w:rsid w:val="002B10BD"/>
    <w:rsid w:val="002B1A58"/>
    <w:rsid w:val="002C1F41"/>
    <w:rsid w:val="002D0273"/>
    <w:rsid w:val="002D40C8"/>
    <w:rsid w:val="002D6C79"/>
    <w:rsid w:val="002E0D55"/>
    <w:rsid w:val="002E358F"/>
    <w:rsid w:val="002E3E62"/>
    <w:rsid w:val="002E6562"/>
    <w:rsid w:val="002F5910"/>
    <w:rsid w:val="00304536"/>
    <w:rsid w:val="00307D5B"/>
    <w:rsid w:val="003154FC"/>
    <w:rsid w:val="0034321B"/>
    <w:rsid w:val="003467C9"/>
    <w:rsid w:val="003539CF"/>
    <w:rsid w:val="00364710"/>
    <w:rsid w:val="00365D74"/>
    <w:rsid w:val="00372856"/>
    <w:rsid w:val="00377FEE"/>
    <w:rsid w:val="00382F89"/>
    <w:rsid w:val="00383667"/>
    <w:rsid w:val="003872B9"/>
    <w:rsid w:val="00391F45"/>
    <w:rsid w:val="00397EAB"/>
    <w:rsid w:val="003A0CF0"/>
    <w:rsid w:val="003A291C"/>
    <w:rsid w:val="003A4738"/>
    <w:rsid w:val="003B10C5"/>
    <w:rsid w:val="003C6561"/>
    <w:rsid w:val="003F09FA"/>
    <w:rsid w:val="004061F8"/>
    <w:rsid w:val="00411936"/>
    <w:rsid w:val="00414125"/>
    <w:rsid w:val="00414386"/>
    <w:rsid w:val="0042733F"/>
    <w:rsid w:val="004275C2"/>
    <w:rsid w:val="00433B70"/>
    <w:rsid w:val="00442675"/>
    <w:rsid w:val="00446661"/>
    <w:rsid w:val="0044770C"/>
    <w:rsid w:val="0046754E"/>
    <w:rsid w:val="004824AE"/>
    <w:rsid w:val="00492C52"/>
    <w:rsid w:val="004934CC"/>
    <w:rsid w:val="0049633C"/>
    <w:rsid w:val="004A7243"/>
    <w:rsid w:val="004B4099"/>
    <w:rsid w:val="004D65B7"/>
    <w:rsid w:val="004E0360"/>
    <w:rsid w:val="004E0A55"/>
    <w:rsid w:val="004E1735"/>
    <w:rsid w:val="004E38D5"/>
    <w:rsid w:val="004E6078"/>
    <w:rsid w:val="004F1772"/>
    <w:rsid w:val="005040FC"/>
    <w:rsid w:val="0052226E"/>
    <w:rsid w:val="00523273"/>
    <w:rsid w:val="00531137"/>
    <w:rsid w:val="005372F0"/>
    <w:rsid w:val="00540435"/>
    <w:rsid w:val="00542B12"/>
    <w:rsid w:val="00543F31"/>
    <w:rsid w:val="00551144"/>
    <w:rsid w:val="00555D2D"/>
    <w:rsid w:val="00565B36"/>
    <w:rsid w:val="00570C7E"/>
    <w:rsid w:val="00572A46"/>
    <w:rsid w:val="00576847"/>
    <w:rsid w:val="00577EB3"/>
    <w:rsid w:val="0058316E"/>
    <w:rsid w:val="00584565"/>
    <w:rsid w:val="005847A9"/>
    <w:rsid w:val="00586EA9"/>
    <w:rsid w:val="005A75D2"/>
    <w:rsid w:val="005B561B"/>
    <w:rsid w:val="005B5914"/>
    <w:rsid w:val="005C0A62"/>
    <w:rsid w:val="005D0026"/>
    <w:rsid w:val="005E1AFE"/>
    <w:rsid w:val="005E1B5E"/>
    <w:rsid w:val="005E1F21"/>
    <w:rsid w:val="005E36E7"/>
    <w:rsid w:val="005E7187"/>
    <w:rsid w:val="005F0042"/>
    <w:rsid w:val="005F27B4"/>
    <w:rsid w:val="005F58AE"/>
    <w:rsid w:val="005F7BCF"/>
    <w:rsid w:val="00600B42"/>
    <w:rsid w:val="0060498E"/>
    <w:rsid w:val="00606429"/>
    <w:rsid w:val="006100AD"/>
    <w:rsid w:val="00612C05"/>
    <w:rsid w:val="00614A4A"/>
    <w:rsid w:val="00614F66"/>
    <w:rsid w:val="0061573F"/>
    <w:rsid w:val="006164CA"/>
    <w:rsid w:val="00621050"/>
    <w:rsid w:val="00622972"/>
    <w:rsid w:val="00633468"/>
    <w:rsid w:val="006346E1"/>
    <w:rsid w:val="0064389F"/>
    <w:rsid w:val="006510E0"/>
    <w:rsid w:val="00652F20"/>
    <w:rsid w:val="00652F38"/>
    <w:rsid w:val="00676737"/>
    <w:rsid w:val="00681724"/>
    <w:rsid w:val="0069693A"/>
    <w:rsid w:val="006A579C"/>
    <w:rsid w:val="006A7E07"/>
    <w:rsid w:val="006B0924"/>
    <w:rsid w:val="006B54B7"/>
    <w:rsid w:val="006B72E7"/>
    <w:rsid w:val="006C1E0C"/>
    <w:rsid w:val="006D2D74"/>
    <w:rsid w:val="006D529B"/>
    <w:rsid w:val="006D7E73"/>
    <w:rsid w:val="006E0108"/>
    <w:rsid w:val="006E7740"/>
    <w:rsid w:val="006F627F"/>
    <w:rsid w:val="0070524A"/>
    <w:rsid w:val="007213E2"/>
    <w:rsid w:val="007321D9"/>
    <w:rsid w:val="00746C42"/>
    <w:rsid w:val="00747BF3"/>
    <w:rsid w:val="00750495"/>
    <w:rsid w:val="00752DDD"/>
    <w:rsid w:val="00756E39"/>
    <w:rsid w:val="00760E2E"/>
    <w:rsid w:val="00760EF3"/>
    <w:rsid w:val="00766696"/>
    <w:rsid w:val="00774400"/>
    <w:rsid w:val="00781E74"/>
    <w:rsid w:val="00796316"/>
    <w:rsid w:val="007A5BF4"/>
    <w:rsid w:val="007A7A3F"/>
    <w:rsid w:val="007B217C"/>
    <w:rsid w:val="007B22CB"/>
    <w:rsid w:val="007B3231"/>
    <w:rsid w:val="007D1514"/>
    <w:rsid w:val="007D2AA1"/>
    <w:rsid w:val="007D48F5"/>
    <w:rsid w:val="007D5FF0"/>
    <w:rsid w:val="007E388F"/>
    <w:rsid w:val="007F10F5"/>
    <w:rsid w:val="007F3CE4"/>
    <w:rsid w:val="007F4B41"/>
    <w:rsid w:val="00810612"/>
    <w:rsid w:val="0083074B"/>
    <w:rsid w:val="0083145C"/>
    <w:rsid w:val="00833848"/>
    <w:rsid w:val="00837080"/>
    <w:rsid w:val="008416EE"/>
    <w:rsid w:val="0084326D"/>
    <w:rsid w:val="00857442"/>
    <w:rsid w:val="00862570"/>
    <w:rsid w:val="00863BD6"/>
    <w:rsid w:val="00874BAB"/>
    <w:rsid w:val="008758BE"/>
    <w:rsid w:val="00882B14"/>
    <w:rsid w:val="00896F08"/>
    <w:rsid w:val="008A453D"/>
    <w:rsid w:val="008A505E"/>
    <w:rsid w:val="008A68E2"/>
    <w:rsid w:val="008B5AA6"/>
    <w:rsid w:val="008B5F56"/>
    <w:rsid w:val="008C42BC"/>
    <w:rsid w:val="008D0009"/>
    <w:rsid w:val="008D252A"/>
    <w:rsid w:val="008E2261"/>
    <w:rsid w:val="008E566A"/>
    <w:rsid w:val="008E6E16"/>
    <w:rsid w:val="00902AB1"/>
    <w:rsid w:val="00903ABB"/>
    <w:rsid w:val="00905643"/>
    <w:rsid w:val="0090592B"/>
    <w:rsid w:val="009117B3"/>
    <w:rsid w:val="00912DB8"/>
    <w:rsid w:val="009229C4"/>
    <w:rsid w:val="009255D5"/>
    <w:rsid w:val="00935239"/>
    <w:rsid w:val="00936D7F"/>
    <w:rsid w:val="00941352"/>
    <w:rsid w:val="009539E6"/>
    <w:rsid w:val="00953E47"/>
    <w:rsid w:val="00956708"/>
    <w:rsid w:val="00970C2A"/>
    <w:rsid w:val="00971045"/>
    <w:rsid w:val="009725F3"/>
    <w:rsid w:val="00972F06"/>
    <w:rsid w:val="00976D1E"/>
    <w:rsid w:val="009972A3"/>
    <w:rsid w:val="009979FF"/>
    <w:rsid w:val="00997C9F"/>
    <w:rsid w:val="009B2FBD"/>
    <w:rsid w:val="009B7920"/>
    <w:rsid w:val="009C5686"/>
    <w:rsid w:val="009E6A01"/>
    <w:rsid w:val="009E77E7"/>
    <w:rsid w:val="00A27542"/>
    <w:rsid w:val="00A5726A"/>
    <w:rsid w:val="00A7113D"/>
    <w:rsid w:val="00A74C5F"/>
    <w:rsid w:val="00A75CFD"/>
    <w:rsid w:val="00A97E67"/>
    <w:rsid w:val="00AA0035"/>
    <w:rsid w:val="00AA50A1"/>
    <w:rsid w:val="00AA5C56"/>
    <w:rsid w:val="00AA7E43"/>
    <w:rsid w:val="00AB1654"/>
    <w:rsid w:val="00AB719B"/>
    <w:rsid w:val="00AC08A1"/>
    <w:rsid w:val="00AC2BDB"/>
    <w:rsid w:val="00AC51F2"/>
    <w:rsid w:val="00AC7057"/>
    <w:rsid w:val="00AD0F21"/>
    <w:rsid w:val="00AD428C"/>
    <w:rsid w:val="00AD45E4"/>
    <w:rsid w:val="00AE13A6"/>
    <w:rsid w:val="00AE46D2"/>
    <w:rsid w:val="00AE4D5F"/>
    <w:rsid w:val="00B07A85"/>
    <w:rsid w:val="00B201C0"/>
    <w:rsid w:val="00B248EA"/>
    <w:rsid w:val="00B2671B"/>
    <w:rsid w:val="00B31D4E"/>
    <w:rsid w:val="00B3315B"/>
    <w:rsid w:val="00B33D50"/>
    <w:rsid w:val="00B37A00"/>
    <w:rsid w:val="00B37FD6"/>
    <w:rsid w:val="00B41FDA"/>
    <w:rsid w:val="00B44AB9"/>
    <w:rsid w:val="00B45CEB"/>
    <w:rsid w:val="00B45E7C"/>
    <w:rsid w:val="00B464BB"/>
    <w:rsid w:val="00B47507"/>
    <w:rsid w:val="00B5290B"/>
    <w:rsid w:val="00B63B1F"/>
    <w:rsid w:val="00B72F5B"/>
    <w:rsid w:val="00B74F7F"/>
    <w:rsid w:val="00B84378"/>
    <w:rsid w:val="00B87028"/>
    <w:rsid w:val="00B8795F"/>
    <w:rsid w:val="00B92488"/>
    <w:rsid w:val="00BB4757"/>
    <w:rsid w:val="00BC4F52"/>
    <w:rsid w:val="00BD5383"/>
    <w:rsid w:val="00BE18CD"/>
    <w:rsid w:val="00BE26FD"/>
    <w:rsid w:val="00BE627A"/>
    <w:rsid w:val="00BF46CA"/>
    <w:rsid w:val="00C02014"/>
    <w:rsid w:val="00C0458D"/>
    <w:rsid w:val="00C07DD3"/>
    <w:rsid w:val="00C321F9"/>
    <w:rsid w:val="00C34B19"/>
    <w:rsid w:val="00C43B9C"/>
    <w:rsid w:val="00C540A7"/>
    <w:rsid w:val="00C549DF"/>
    <w:rsid w:val="00C5797A"/>
    <w:rsid w:val="00C634C2"/>
    <w:rsid w:val="00C65CBE"/>
    <w:rsid w:val="00C766AE"/>
    <w:rsid w:val="00C91378"/>
    <w:rsid w:val="00C934C1"/>
    <w:rsid w:val="00C93AEE"/>
    <w:rsid w:val="00CA3C25"/>
    <w:rsid w:val="00CA511F"/>
    <w:rsid w:val="00CA5F67"/>
    <w:rsid w:val="00CB3D52"/>
    <w:rsid w:val="00CC4D63"/>
    <w:rsid w:val="00CD1064"/>
    <w:rsid w:val="00CD4CD2"/>
    <w:rsid w:val="00CD6433"/>
    <w:rsid w:val="00CE0227"/>
    <w:rsid w:val="00CE4328"/>
    <w:rsid w:val="00D02443"/>
    <w:rsid w:val="00D04943"/>
    <w:rsid w:val="00D07D33"/>
    <w:rsid w:val="00D125AF"/>
    <w:rsid w:val="00D1350E"/>
    <w:rsid w:val="00D15443"/>
    <w:rsid w:val="00D218BB"/>
    <w:rsid w:val="00D22F4A"/>
    <w:rsid w:val="00D30A93"/>
    <w:rsid w:val="00D3225F"/>
    <w:rsid w:val="00D3680C"/>
    <w:rsid w:val="00D43978"/>
    <w:rsid w:val="00D44B6B"/>
    <w:rsid w:val="00D47606"/>
    <w:rsid w:val="00D502C5"/>
    <w:rsid w:val="00D62DC5"/>
    <w:rsid w:val="00D63416"/>
    <w:rsid w:val="00D823EF"/>
    <w:rsid w:val="00D825EA"/>
    <w:rsid w:val="00D85445"/>
    <w:rsid w:val="00D86324"/>
    <w:rsid w:val="00D87BDA"/>
    <w:rsid w:val="00D90FC0"/>
    <w:rsid w:val="00D954BC"/>
    <w:rsid w:val="00DA11A3"/>
    <w:rsid w:val="00DB10EB"/>
    <w:rsid w:val="00DB2A5D"/>
    <w:rsid w:val="00DB2A80"/>
    <w:rsid w:val="00DB61F1"/>
    <w:rsid w:val="00DB6D65"/>
    <w:rsid w:val="00DC0DB6"/>
    <w:rsid w:val="00DC19C5"/>
    <w:rsid w:val="00DC2513"/>
    <w:rsid w:val="00DD0E19"/>
    <w:rsid w:val="00DD1D1C"/>
    <w:rsid w:val="00DE1673"/>
    <w:rsid w:val="00DE5DD8"/>
    <w:rsid w:val="00DE7B7A"/>
    <w:rsid w:val="00DF2754"/>
    <w:rsid w:val="00DF718B"/>
    <w:rsid w:val="00E23094"/>
    <w:rsid w:val="00E2572A"/>
    <w:rsid w:val="00E32FDB"/>
    <w:rsid w:val="00E36CCF"/>
    <w:rsid w:val="00E4295A"/>
    <w:rsid w:val="00E43259"/>
    <w:rsid w:val="00E5215C"/>
    <w:rsid w:val="00E624AC"/>
    <w:rsid w:val="00E65EA1"/>
    <w:rsid w:val="00E766D1"/>
    <w:rsid w:val="00E9125A"/>
    <w:rsid w:val="00E92266"/>
    <w:rsid w:val="00E9292D"/>
    <w:rsid w:val="00E93B45"/>
    <w:rsid w:val="00E94317"/>
    <w:rsid w:val="00E9529A"/>
    <w:rsid w:val="00EA296F"/>
    <w:rsid w:val="00EA39E2"/>
    <w:rsid w:val="00EB00F8"/>
    <w:rsid w:val="00EB0E34"/>
    <w:rsid w:val="00EB5A3E"/>
    <w:rsid w:val="00EB65EA"/>
    <w:rsid w:val="00EB7FD1"/>
    <w:rsid w:val="00EC174E"/>
    <w:rsid w:val="00EC3C41"/>
    <w:rsid w:val="00EC4403"/>
    <w:rsid w:val="00ED38AB"/>
    <w:rsid w:val="00ED3E37"/>
    <w:rsid w:val="00EF077A"/>
    <w:rsid w:val="00EF3B8E"/>
    <w:rsid w:val="00EF6DA0"/>
    <w:rsid w:val="00F011A5"/>
    <w:rsid w:val="00F02511"/>
    <w:rsid w:val="00F15741"/>
    <w:rsid w:val="00F26F43"/>
    <w:rsid w:val="00F37D7B"/>
    <w:rsid w:val="00F43D10"/>
    <w:rsid w:val="00F44AC9"/>
    <w:rsid w:val="00F60173"/>
    <w:rsid w:val="00F60C59"/>
    <w:rsid w:val="00F704E5"/>
    <w:rsid w:val="00F74550"/>
    <w:rsid w:val="00F76874"/>
    <w:rsid w:val="00F8035C"/>
    <w:rsid w:val="00F8104A"/>
    <w:rsid w:val="00F8653B"/>
    <w:rsid w:val="00F90B25"/>
    <w:rsid w:val="00F91D95"/>
    <w:rsid w:val="00F921CA"/>
    <w:rsid w:val="00F93298"/>
    <w:rsid w:val="00FA0332"/>
    <w:rsid w:val="00FA150B"/>
    <w:rsid w:val="00FB4863"/>
    <w:rsid w:val="00FB4D7F"/>
    <w:rsid w:val="00FB50B2"/>
    <w:rsid w:val="00FC158F"/>
    <w:rsid w:val="00FC45E1"/>
    <w:rsid w:val="00FC58F9"/>
    <w:rsid w:val="00FC7BAD"/>
    <w:rsid w:val="00FD3F25"/>
    <w:rsid w:val="00FD571B"/>
    <w:rsid w:val="00FE1354"/>
    <w:rsid w:val="00FE2ABD"/>
    <w:rsid w:val="00FE4406"/>
    <w:rsid w:val="00FE555F"/>
    <w:rsid w:val="00FF3C65"/>
    <w:rsid w:val="00FF6B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C619D"/>
  <w15:chartTrackingRefBased/>
  <w15:docId w15:val="{E2A6C83E-AD88-493F-9349-CA8021D4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F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035"/>
    <w:pPr>
      <w:ind w:left="720"/>
      <w:contextualSpacing/>
    </w:pPr>
  </w:style>
  <w:style w:type="character" w:styleId="CommentReference">
    <w:name w:val="annotation reference"/>
    <w:basedOn w:val="DefaultParagraphFont"/>
    <w:uiPriority w:val="99"/>
    <w:semiHidden/>
    <w:unhideWhenUsed/>
    <w:rsid w:val="004934CC"/>
    <w:rPr>
      <w:sz w:val="16"/>
      <w:szCs w:val="16"/>
    </w:rPr>
  </w:style>
  <w:style w:type="paragraph" w:styleId="CommentText">
    <w:name w:val="annotation text"/>
    <w:basedOn w:val="Normal"/>
    <w:link w:val="CommentTextChar"/>
    <w:uiPriority w:val="99"/>
    <w:semiHidden/>
    <w:unhideWhenUsed/>
    <w:rsid w:val="004934CC"/>
    <w:pPr>
      <w:spacing w:line="240" w:lineRule="auto"/>
    </w:pPr>
    <w:rPr>
      <w:sz w:val="20"/>
      <w:szCs w:val="20"/>
    </w:rPr>
  </w:style>
  <w:style w:type="character" w:customStyle="1" w:styleId="CommentTextChar">
    <w:name w:val="Comment Text Char"/>
    <w:basedOn w:val="DefaultParagraphFont"/>
    <w:link w:val="CommentText"/>
    <w:uiPriority w:val="99"/>
    <w:semiHidden/>
    <w:rsid w:val="004934CC"/>
    <w:rPr>
      <w:sz w:val="20"/>
      <w:szCs w:val="20"/>
    </w:rPr>
  </w:style>
  <w:style w:type="paragraph" w:styleId="CommentSubject">
    <w:name w:val="annotation subject"/>
    <w:basedOn w:val="CommentText"/>
    <w:next w:val="CommentText"/>
    <w:link w:val="CommentSubjectChar"/>
    <w:uiPriority w:val="99"/>
    <w:semiHidden/>
    <w:unhideWhenUsed/>
    <w:rsid w:val="004934CC"/>
    <w:rPr>
      <w:b/>
      <w:bCs/>
    </w:rPr>
  </w:style>
  <w:style w:type="character" w:customStyle="1" w:styleId="CommentSubjectChar">
    <w:name w:val="Comment Subject Char"/>
    <w:basedOn w:val="CommentTextChar"/>
    <w:link w:val="CommentSubject"/>
    <w:uiPriority w:val="99"/>
    <w:semiHidden/>
    <w:rsid w:val="004934CC"/>
    <w:rPr>
      <w:b/>
      <w:bCs/>
      <w:sz w:val="20"/>
      <w:szCs w:val="20"/>
    </w:rPr>
  </w:style>
  <w:style w:type="paragraph" w:styleId="BalloonText">
    <w:name w:val="Balloon Text"/>
    <w:basedOn w:val="Normal"/>
    <w:link w:val="BalloonTextChar"/>
    <w:uiPriority w:val="99"/>
    <w:semiHidden/>
    <w:unhideWhenUsed/>
    <w:rsid w:val="00493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4CC"/>
    <w:rPr>
      <w:rFonts w:ascii="Segoe UI" w:hAnsi="Segoe UI" w:cs="Segoe UI"/>
      <w:sz w:val="18"/>
      <w:szCs w:val="18"/>
    </w:rPr>
  </w:style>
  <w:style w:type="table" w:styleId="TableGrid">
    <w:name w:val="Table Grid"/>
    <w:basedOn w:val="TableNormal"/>
    <w:uiPriority w:val="39"/>
    <w:rsid w:val="0075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5D3E"/>
    <w:rPr>
      <w:color w:val="0000FF"/>
      <w:u w:val="single"/>
    </w:rPr>
  </w:style>
  <w:style w:type="character" w:styleId="FollowedHyperlink">
    <w:name w:val="FollowedHyperlink"/>
    <w:basedOn w:val="DefaultParagraphFont"/>
    <w:uiPriority w:val="99"/>
    <w:semiHidden/>
    <w:unhideWhenUsed/>
    <w:rsid w:val="00D63416"/>
    <w:rPr>
      <w:color w:val="954F72" w:themeColor="followedHyperlink"/>
      <w:u w:val="single"/>
    </w:rPr>
  </w:style>
  <w:style w:type="paragraph" w:styleId="Header">
    <w:name w:val="header"/>
    <w:basedOn w:val="Normal"/>
    <w:link w:val="HeaderChar"/>
    <w:uiPriority w:val="99"/>
    <w:unhideWhenUsed/>
    <w:rsid w:val="000D4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807"/>
  </w:style>
  <w:style w:type="paragraph" w:styleId="Footer">
    <w:name w:val="footer"/>
    <w:basedOn w:val="Normal"/>
    <w:link w:val="FooterChar"/>
    <w:uiPriority w:val="99"/>
    <w:unhideWhenUsed/>
    <w:rsid w:val="000D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807"/>
  </w:style>
  <w:style w:type="character" w:customStyle="1" w:styleId="UnresolvedMention1">
    <w:name w:val="Unresolved Mention1"/>
    <w:basedOn w:val="DefaultParagraphFont"/>
    <w:uiPriority w:val="99"/>
    <w:semiHidden/>
    <w:unhideWhenUsed/>
    <w:rsid w:val="000D4807"/>
    <w:rPr>
      <w:color w:val="605E5C"/>
      <w:shd w:val="clear" w:color="auto" w:fill="E1DFDD"/>
    </w:rPr>
  </w:style>
  <w:style w:type="paragraph" w:styleId="FootnoteText">
    <w:name w:val="footnote text"/>
    <w:basedOn w:val="Normal"/>
    <w:link w:val="FootnoteTextChar"/>
    <w:uiPriority w:val="99"/>
    <w:semiHidden/>
    <w:unhideWhenUsed/>
    <w:rsid w:val="008416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6EE"/>
    <w:rPr>
      <w:sz w:val="20"/>
      <w:szCs w:val="20"/>
    </w:rPr>
  </w:style>
  <w:style w:type="character" w:styleId="FootnoteReference">
    <w:name w:val="footnote reference"/>
    <w:basedOn w:val="DefaultParagraphFont"/>
    <w:uiPriority w:val="99"/>
    <w:semiHidden/>
    <w:unhideWhenUsed/>
    <w:rsid w:val="008416EE"/>
    <w:rPr>
      <w:vertAlign w:val="superscript"/>
    </w:rPr>
  </w:style>
  <w:style w:type="character" w:customStyle="1" w:styleId="nlmyear">
    <w:name w:val="nlm_year"/>
    <w:basedOn w:val="DefaultParagraphFont"/>
    <w:rsid w:val="00E92266"/>
  </w:style>
  <w:style w:type="character" w:customStyle="1" w:styleId="nlmarticle-title">
    <w:name w:val="nlm_article-title"/>
    <w:basedOn w:val="DefaultParagraphFont"/>
    <w:rsid w:val="00E92266"/>
  </w:style>
  <w:style w:type="character" w:customStyle="1" w:styleId="nlmfpage">
    <w:name w:val="nlm_fpage"/>
    <w:basedOn w:val="DefaultParagraphFont"/>
    <w:rsid w:val="00E92266"/>
  </w:style>
  <w:style w:type="character" w:customStyle="1" w:styleId="nlmlpage">
    <w:name w:val="nlm_lpage"/>
    <w:basedOn w:val="DefaultParagraphFont"/>
    <w:rsid w:val="00E92266"/>
  </w:style>
  <w:style w:type="character" w:customStyle="1" w:styleId="Heading1Char">
    <w:name w:val="Heading 1 Char"/>
    <w:basedOn w:val="DefaultParagraphFont"/>
    <w:link w:val="Heading1"/>
    <w:uiPriority w:val="9"/>
    <w:rsid w:val="008B5F56"/>
    <w:rPr>
      <w:rFonts w:asciiTheme="majorHAnsi" w:eastAsiaTheme="majorEastAsia" w:hAnsiTheme="majorHAnsi" w:cstheme="majorBidi"/>
      <w:color w:val="2F5496" w:themeColor="accent1" w:themeShade="BF"/>
      <w:sz w:val="32"/>
      <w:szCs w:val="32"/>
    </w:rPr>
  </w:style>
  <w:style w:type="character" w:customStyle="1" w:styleId="cit">
    <w:name w:val="cit"/>
    <w:basedOn w:val="DefaultParagraphFont"/>
    <w:rsid w:val="00C02014"/>
  </w:style>
  <w:style w:type="paragraph" w:styleId="Revision">
    <w:name w:val="Revision"/>
    <w:hidden/>
    <w:uiPriority w:val="99"/>
    <w:semiHidden/>
    <w:rsid w:val="00760E2E"/>
    <w:pPr>
      <w:spacing w:after="0" w:line="240" w:lineRule="auto"/>
    </w:pPr>
  </w:style>
  <w:style w:type="character" w:customStyle="1" w:styleId="UnresolvedMention2">
    <w:name w:val="Unresolved Mention2"/>
    <w:basedOn w:val="DefaultParagraphFont"/>
    <w:uiPriority w:val="99"/>
    <w:semiHidden/>
    <w:unhideWhenUsed/>
    <w:rsid w:val="00FE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688">
      <w:bodyDiv w:val="1"/>
      <w:marLeft w:val="0"/>
      <w:marRight w:val="0"/>
      <w:marTop w:val="0"/>
      <w:marBottom w:val="0"/>
      <w:divBdr>
        <w:top w:val="none" w:sz="0" w:space="0" w:color="auto"/>
        <w:left w:val="none" w:sz="0" w:space="0" w:color="auto"/>
        <w:bottom w:val="none" w:sz="0" w:space="0" w:color="auto"/>
        <w:right w:val="none" w:sz="0" w:space="0" w:color="auto"/>
      </w:divBdr>
    </w:div>
    <w:div w:id="195506058">
      <w:bodyDiv w:val="1"/>
      <w:marLeft w:val="0"/>
      <w:marRight w:val="0"/>
      <w:marTop w:val="0"/>
      <w:marBottom w:val="0"/>
      <w:divBdr>
        <w:top w:val="none" w:sz="0" w:space="0" w:color="auto"/>
        <w:left w:val="none" w:sz="0" w:space="0" w:color="auto"/>
        <w:bottom w:val="none" w:sz="0" w:space="0" w:color="auto"/>
        <w:right w:val="none" w:sz="0" w:space="0" w:color="auto"/>
      </w:divBdr>
    </w:div>
    <w:div w:id="314726870">
      <w:bodyDiv w:val="1"/>
      <w:marLeft w:val="0"/>
      <w:marRight w:val="0"/>
      <w:marTop w:val="0"/>
      <w:marBottom w:val="0"/>
      <w:divBdr>
        <w:top w:val="none" w:sz="0" w:space="0" w:color="auto"/>
        <w:left w:val="none" w:sz="0" w:space="0" w:color="auto"/>
        <w:bottom w:val="none" w:sz="0" w:space="0" w:color="auto"/>
        <w:right w:val="none" w:sz="0" w:space="0" w:color="auto"/>
      </w:divBdr>
    </w:div>
    <w:div w:id="403992314">
      <w:bodyDiv w:val="1"/>
      <w:marLeft w:val="0"/>
      <w:marRight w:val="0"/>
      <w:marTop w:val="0"/>
      <w:marBottom w:val="0"/>
      <w:divBdr>
        <w:top w:val="none" w:sz="0" w:space="0" w:color="auto"/>
        <w:left w:val="none" w:sz="0" w:space="0" w:color="auto"/>
        <w:bottom w:val="none" w:sz="0" w:space="0" w:color="auto"/>
        <w:right w:val="none" w:sz="0" w:space="0" w:color="auto"/>
      </w:divBdr>
    </w:div>
    <w:div w:id="523396807">
      <w:bodyDiv w:val="1"/>
      <w:marLeft w:val="0"/>
      <w:marRight w:val="0"/>
      <w:marTop w:val="0"/>
      <w:marBottom w:val="0"/>
      <w:divBdr>
        <w:top w:val="none" w:sz="0" w:space="0" w:color="auto"/>
        <w:left w:val="none" w:sz="0" w:space="0" w:color="auto"/>
        <w:bottom w:val="none" w:sz="0" w:space="0" w:color="auto"/>
        <w:right w:val="none" w:sz="0" w:space="0" w:color="auto"/>
      </w:divBdr>
      <w:divsChild>
        <w:div w:id="1861426896">
          <w:marLeft w:val="0"/>
          <w:marRight w:val="0"/>
          <w:marTop w:val="0"/>
          <w:marBottom w:val="0"/>
          <w:divBdr>
            <w:top w:val="none" w:sz="0" w:space="0" w:color="auto"/>
            <w:left w:val="none" w:sz="0" w:space="0" w:color="auto"/>
            <w:bottom w:val="none" w:sz="0" w:space="0" w:color="auto"/>
            <w:right w:val="none" w:sz="0" w:space="0" w:color="auto"/>
          </w:divBdr>
          <w:divsChild>
            <w:div w:id="5791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0655">
      <w:bodyDiv w:val="1"/>
      <w:marLeft w:val="0"/>
      <w:marRight w:val="0"/>
      <w:marTop w:val="0"/>
      <w:marBottom w:val="0"/>
      <w:divBdr>
        <w:top w:val="none" w:sz="0" w:space="0" w:color="auto"/>
        <w:left w:val="none" w:sz="0" w:space="0" w:color="auto"/>
        <w:bottom w:val="none" w:sz="0" w:space="0" w:color="auto"/>
        <w:right w:val="none" w:sz="0" w:space="0" w:color="auto"/>
      </w:divBdr>
    </w:div>
    <w:div w:id="594753453">
      <w:bodyDiv w:val="1"/>
      <w:marLeft w:val="0"/>
      <w:marRight w:val="0"/>
      <w:marTop w:val="0"/>
      <w:marBottom w:val="0"/>
      <w:divBdr>
        <w:top w:val="none" w:sz="0" w:space="0" w:color="auto"/>
        <w:left w:val="none" w:sz="0" w:space="0" w:color="auto"/>
        <w:bottom w:val="none" w:sz="0" w:space="0" w:color="auto"/>
        <w:right w:val="none" w:sz="0" w:space="0" w:color="auto"/>
      </w:divBdr>
    </w:div>
    <w:div w:id="776296900">
      <w:bodyDiv w:val="1"/>
      <w:marLeft w:val="0"/>
      <w:marRight w:val="0"/>
      <w:marTop w:val="0"/>
      <w:marBottom w:val="0"/>
      <w:divBdr>
        <w:top w:val="none" w:sz="0" w:space="0" w:color="auto"/>
        <w:left w:val="none" w:sz="0" w:space="0" w:color="auto"/>
        <w:bottom w:val="none" w:sz="0" w:space="0" w:color="auto"/>
        <w:right w:val="none" w:sz="0" w:space="0" w:color="auto"/>
      </w:divBdr>
    </w:div>
    <w:div w:id="853299572">
      <w:bodyDiv w:val="1"/>
      <w:marLeft w:val="0"/>
      <w:marRight w:val="0"/>
      <w:marTop w:val="0"/>
      <w:marBottom w:val="0"/>
      <w:divBdr>
        <w:top w:val="none" w:sz="0" w:space="0" w:color="auto"/>
        <w:left w:val="none" w:sz="0" w:space="0" w:color="auto"/>
        <w:bottom w:val="none" w:sz="0" w:space="0" w:color="auto"/>
        <w:right w:val="none" w:sz="0" w:space="0" w:color="auto"/>
      </w:divBdr>
    </w:div>
    <w:div w:id="990716275">
      <w:bodyDiv w:val="1"/>
      <w:marLeft w:val="0"/>
      <w:marRight w:val="0"/>
      <w:marTop w:val="0"/>
      <w:marBottom w:val="0"/>
      <w:divBdr>
        <w:top w:val="none" w:sz="0" w:space="0" w:color="auto"/>
        <w:left w:val="none" w:sz="0" w:space="0" w:color="auto"/>
        <w:bottom w:val="none" w:sz="0" w:space="0" w:color="auto"/>
        <w:right w:val="none" w:sz="0" w:space="0" w:color="auto"/>
      </w:divBdr>
    </w:div>
    <w:div w:id="1002662254">
      <w:bodyDiv w:val="1"/>
      <w:marLeft w:val="0"/>
      <w:marRight w:val="0"/>
      <w:marTop w:val="0"/>
      <w:marBottom w:val="0"/>
      <w:divBdr>
        <w:top w:val="none" w:sz="0" w:space="0" w:color="auto"/>
        <w:left w:val="none" w:sz="0" w:space="0" w:color="auto"/>
        <w:bottom w:val="none" w:sz="0" w:space="0" w:color="auto"/>
        <w:right w:val="none" w:sz="0" w:space="0" w:color="auto"/>
      </w:divBdr>
    </w:div>
    <w:div w:id="1147090856">
      <w:bodyDiv w:val="1"/>
      <w:marLeft w:val="0"/>
      <w:marRight w:val="0"/>
      <w:marTop w:val="0"/>
      <w:marBottom w:val="0"/>
      <w:divBdr>
        <w:top w:val="none" w:sz="0" w:space="0" w:color="auto"/>
        <w:left w:val="none" w:sz="0" w:space="0" w:color="auto"/>
        <w:bottom w:val="none" w:sz="0" w:space="0" w:color="auto"/>
        <w:right w:val="none" w:sz="0" w:space="0" w:color="auto"/>
      </w:divBdr>
    </w:div>
    <w:div w:id="1187986625">
      <w:bodyDiv w:val="1"/>
      <w:marLeft w:val="0"/>
      <w:marRight w:val="0"/>
      <w:marTop w:val="0"/>
      <w:marBottom w:val="0"/>
      <w:divBdr>
        <w:top w:val="none" w:sz="0" w:space="0" w:color="auto"/>
        <w:left w:val="none" w:sz="0" w:space="0" w:color="auto"/>
        <w:bottom w:val="none" w:sz="0" w:space="0" w:color="auto"/>
        <w:right w:val="none" w:sz="0" w:space="0" w:color="auto"/>
      </w:divBdr>
    </w:div>
    <w:div w:id="1281448249">
      <w:bodyDiv w:val="1"/>
      <w:marLeft w:val="0"/>
      <w:marRight w:val="0"/>
      <w:marTop w:val="0"/>
      <w:marBottom w:val="0"/>
      <w:divBdr>
        <w:top w:val="none" w:sz="0" w:space="0" w:color="auto"/>
        <w:left w:val="none" w:sz="0" w:space="0" w:color="auto"/>
        <w:bottom w:val="none" w:sz="0" w:space="0" w:color="auto"/>
        <w:right w:val="none" w:sz="0" w:space="0" w:color="auto"/>
      </w:divBdr>
    </w:div>
    <w:div w:id="1304385699">
      <w:bodyDiv w:val="1"/>
      <w:marLeft w:val="0"/>
      <w:marRight w:val="0"/>
      <w:marTop w:val="0"/>
      <w:marBottom w:val="0"/>
      <w:divBdr>
        <w:top w:val="none" w:sz="0" w:space="0" w:color="auto"/>
        <w:left w:val="none" w:sz="0" w:space="0" w:color="auto"/>
        <w:bottom w:val="none" w:sz="0" w:space="0" w:color="auto"/>
        <w:right w:val="none" w:sz="0" w:space="0" w:color="auto"/>
      </w:divBdr>
    </w:div>
    <w:div w:id="1336572844">
      <w:bodyDiv w:val="1"/>
      <w:marLeft w:val="0"/>
      <w:marRight w:val="0"/>
      <w:marTop w:val="0"/>
      <w:marBottom w:val="0"/>
      <w:divBdr>
        <w:top w:val="none" w:sz="0" w:space="0" w:color="auto"/>
        <w:left w:val="none" w:sz="0" w:space="0" w:color="auto"/>
        <w:bottom w:val="none" w:sz="0" w:space="0" w:color="auto"/>
        <w:right w:val="none" w:sz="0" w:space="0" w:color="auto"/>
      </w:divBdr>
    </w:div>
    <w:div w:id="1359509321">
      <w:bodyDiv w:val="1"/>
      <w:marLeft w:val="0"/>
      <w:marRight w:val="0"/>
      <w:marTop w:val="0"/>
      <w:marBottom w:val="0"/>
      <w:divBdr>
        <w:top w:val="none" w:sz="0" w:space="0" w:color="auto"/>
        <w:left w:val="none" w:sz="0" w:space="0" w:color="auto"/>
        <w:bottom w:val="none" w:sz="0" w:space="0" w:color="auto"/>
        <w:right w:val="none" w:sz="0" w:space="0" w:color="auto"/>
      </w:divBdr>
    </w:div>
    <w:div w:id="1409571633">
      <w:bodyDiv w:val="1"/>
      <w:marLeft w:val="0"/>
      <w:marRight w:val="0"/>
      <w:marTop w:val="0"/>
      <w:marBottom w:val="0"/>
      <w:divBdr>
        <w:top w:val="none" w:sz="0" w:space="0" w:color="auto"/>
        <w:left w:val="none" w:sz="0" w:space="0" w:color="auto"/>
        <w:bottom w:val="none" w:sz="0" w:space="0" w:color="auto"/>
        <w:right w:val="none" w:sz="0" w:space="0" w:color="auto"/>
      </w:divBdr>
    </w:div>
    <w:div w:id="1457598277">
      <w:bodyDiv w:val="1"/>
      <w:marLeft w:val="0"/>
      <w:marRight w:val="0"/>
      <w:marTop w:val="0"/>
      <w:marBottom w:val="0"/>
      <w:divBdr>
        <w:top w:val="none" w:sz="0" w:space="0" w:color="auto"/>
        <w:left w:val="none" w:sz="0" w:space="0" w:color="auto"/>
        <w:bottom w:val="none" w:sz="0" w:space="0" w:color="auto"/>
        <w:right w:val="none" w:sz="0" w:space="0" w:color="auto"/>
      </w:divBdr>
      <w:divsChild>
        <w:div w:id="1974097081">
          <w:marLeft w:val="0"/>
          <w:marRight w:val="0"/>
          <w:marTop w:val="0"/>
          <w:marBottom w:val="0"/>
          <w:divBdr>
            <w:top w:val="none" w:sz="0" w:space="0" w:color="auto"/>
            <w:left w:val="none" w:sz="0" w:space="0" w:color="auto"/>
            <w:bottom w:val="none" w:sz="0" w:space="0" w:color="auto"/>
            <w:right w:val="none" w:sz="0" w:space="0" w:color="auto"/>
          </w:divBdr>
          <w:divsChild>
            <w:div w:id="14295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426">
      <w:bodyDiv w:val="1"/>
      <w:marLeft w:val="0"/>
      <w:marRight w:val="0"/>
      <w:marTop w:val="0"/>
      <w:marBottom w:val="0"/>
      <w:divBdr>
        <w:top w:val="none" w:sz="0" w:space="0" w:color="auto"/>
        <w:left w:val="none" w:sz="0" w:space="0" w:color="auto"/>
        <w:bottom w:val="none" w:sz="0" w:space="0" w:color="auto"/>
        <w:right w:val="none" w:sz="0" w:space="0" w:color="auto"/>
      </w:divBdr>
    </w:div>
    <w:div w:id="1523863585">
      <w:bodyDiv w:val="1"/>
      <w:marLeft w:val="0"/>
      <w:marRight w:val="0"/>
      <w:marTop w:val="0"/>
      <w:marBottom w:val="0"/>
      <w:divBdr>
        <w:top w:val="none" w:sz="0" w:space="0" w:color="auto"/>
        <w:left w:val="none" w:sz="0" w:space="0" w:color="auto"/>
        <w:bottom w:val="none" w:sz="0" w:space="0" w:color="auto"/>
        <w:right w:val="none" w:sz="0" w:space="0" w:color="auto"/>
      </w:divBdr>
    </w:div>
    <w:div w:id="1549997580">
      <w:bodyDiv w:val="1"/>
      <w:marLeft w:val="0"/>
      <w:marRight w:val="0"/>
      <w:marTop w:val="0"/>
      <w:marBottom w:val="0"/>
      <w:divBdr>
        <w:top w:val="none" w:sz="0" w:space="0" w:color="auto"/>
        <w:left w:val="none" w:sz="0" w:space="0" w:color="auto"/>
        <w:bottom w:val="none" w:sz="0" w:space="0" w:color="auto"/>
        <w:right w:val="none" w:sz="0" w:space="0" w:color="auto"/>
      </w:divBdr>
    </w:div>
    <w:div w:id="1590038264">
      <w:bodyDiv w:val="1"/>
      <w:marLeft w:val="0"/>
      <w:marRight w:val="0"/>
      <w:marTop w:val="0"/>
      <w:marBottom w:val="0"/>
      <w:divBdr>
        <w:top w:val="none" w:sz="0" w:space="0" w:color="auto"/>
        <w:left w:val="none" w:sz="0" w:space="0" w:color="auto"/>
        <w:bottom w:val="none" w:sz="0" w:space="0" w:color="auto"/>
        <w:right w:val="none" w:sz="0" w:space="0" w:color="auto"/>
      </w:divBdr>
    </w:div>
    <w:div w:id="1625118868">
      <w:bodyDiv w:val="1"/>
      <w:marLeft w:val="0"/>
      <w:marRight w:val="0"/>
      <w:marTop w:val="0"/>
      <w:marBottom w:val="0"/>
      <w:divBdr>
        <w:top w:val="none" w:sz="0" w:space="0" w:color="auto"/>
        <w:left w:val="none" w:sz="0" w:space="0" w:color="auto"/>
        <w:bottom w:val="none" w:sz="0" w:space="0" w:color="auto"/>
        <w:right w:val="none" w:sz="0" w:space="0" w:color="auto"/>
      </w:divBdr>
    </w:div>
    <w:div w:id="1795177208">
      <w:bodyDiv w:val="1"/>
      <w:marLeft w:val="0"/>
      <w:marRight w:val="0"/>
      <w:marTop w:val="0"/>
      <w:marBottom w:val="0"/>
      <w:divBdr>
        <w:top w:val="none" w:sz="0" w:space="0" w:color="auto"/>
        <w:left w:val="none" w:sz="0" w:space="0" w:color="auto"/>
        <w:bottom w:val="none" w:sz="0" w:space="0" w:color="auto"/>
        <w:right w:val="none" w:sz="0" w:space="0" w:color="auto"/>
      </w:divBdr>
    </w:div>
    <w:div w:id="1874031738">
      <w:bodyDiv w:val="1"/>
      <w:marLeft w:val="0"/>
      <w:marRight w:val="0"/>
      <w:marTop w:val="0"/>
      <w:marBottom w:val="0"/>
      <w:divBdr>
        <w:top w:val="none" w:sz="0" w:space="0" w:color="auto"/>
        <w:left w:val="none" w:sz="0" w:space="0" w:color="auto"/>
        <w:bottom w:val="none" w:sz="0" w:space="0" w:color="auto"/>
        <w:right w:val="none" w:sz="0" w:space="0" w:color="auto"/>
      </w:divBdr>
    </w:div>
    <w:div w:id="1879513262">
      <w:bodyDiv w:val="1"/>
      <w:marLeft w:val="0"/>
      <w:marRight w:val="0"/>
      <w:marTop w:val="0"/>
      <w:marBottom w:val="0"/>
      <w:divBdr>
        <w:top w:val="none" w:sz="0" w:space="0" w:color="auto"/>
        <w:left w:val="none" w:sz="0" w:space="0" w:color="auto"/>
        <w:bottom w:val="none" w:sz="0" w:space="0" w:color="auto"/>
        <w:right w:val="none" w:sz="0" w:space="0" w:color="auto"/>
      </w:divBdr>
    </w:div>
    <w:div w:id="2016224919">
      <w:bodyDiv w:val="1"/>
      <w:marLeft w:val="0"/>
      <w:marRight w:val="0"/>
      <w:marTop w:val="0"/>
      <w:marBottom w:val="0"/>
      <w:divBdr>
        <w:top w:val="none" w:sz="0" w:space="0" w:color="auto"/>
        <w:left w:val="none" w:sz="0" w:space="0" w:color="auto"/>
        <w:bottom w:val="none" w:sz="0" w:space="0" w:color="auto"/>
        <w:right w:val="none" w:sz="0" w:space="0" w:color="auto"/>
      </w:divBdr>
    </w:div>
    <w:div w:id="21341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Morgan+G&amp;cauthor_id=29134922" TargetMode="External"/><Relationship Id="rId13" Type="http://schemas.openxmlformats.org/officeDocument/2006/relationships/hyperlink" Target="https://icd.who.int/browse11/l-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hc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08434/Disparities_in_the_risk_and_outcomes_of_COVID_August_2020_updat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ce.org.uk/guidance/ng116" TargetMode="External"/><Relationship Id="rId4" Type="http://schemas.openxmlformats.org/officeDocument/2006/relationships/settings" Target="settings.xml"/><Relationship Id="rId9" Type="http://schemas.openxmlformats.org/officeDocument/2006/relationships/hyperlink" Target="https://pubmed.ncbi.nlm.nih.gov/?term=Melluish+S&amp;cauthor_id=291349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2F3A-2420-4FC3-A60F-5B32CFC0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6000</Words>
  <Characters>34203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Cooper</dc:creator>
  <cp:keywords/>
  <dc:description/>
  <cp:lastModifiedBy>Stephanie Curnow</cp:lastModifiedBy>
  <cp:revision>2</cp:revision>
  <dcterms:created xsi:type="dcterms:W3CDTF">2021-05-17T10:11:00Z</dcterms:created>
  <dcterms:modified xsi:type="dcterms:W3CDTF">2021-05-17T10:11:00Z</dcterms:modified>
</cp:coreProperties>
</file>